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922" w:rsidP="00B47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TAEASS402 Assess competence</w:t>
      </w:r>
      <w:r>
        <w:fldChar w:fldCharType="end"/>
      </w:r>
    </w:p>
    <w:p w:rsidR="00B47922" w:rsidP="00B47922">
      <w:pPr>
        <w:pStyle w:val="Version"/>
        <w:sectPr w:rsidSect="00ED0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0651" w:rsidP="00ED0651">
      <w:pPr>
        <w:pStyle w:val="SuperHeading"/>
      </w:pPr>
      <w:r w:rsidRPr="00ED0651">
        <w:t>Assessment Requirements for TAEASS402 Assess competence</w:t>
      </w:r>
    </w:p>
    <w:p w:rsidR="00000000" w:rsidRPr="00ED0651" w:rsidP="00ED0651">
      <w:pPr>
        <w:pStyle w:val="Heading1"/>
      </w:pPr>
      <w:bookmarkStart w:id="1" w:name="O_953280"/>
      <w:bookmarkEnd w:id="1"/>
      <w:r w:rsidRPr="00ED0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0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51" w:rsidP="00ED0651">
            <w:pPr>
              <w:pStyle w:val="BodyText"/>
            </w:pPr>
            <w:r w:rsidRPr="00ED06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51">
            <w:pPr>
              <w:pStyle w:val="BodyText"/>
              <w:rPr>
                <w:lang w:val="en-NZ"/>
              </w:rPr>
            </w:pPr>
            <w:r w:rsidRPr="00ED0651">
              <w:rPr>
                <w:rStyle w:val="SpecialBold"/>
              </w:rPr>
              <w:t>Comments</w:t>
            </w:r>
          </w:p>
        </w:tc>
      </w:tr>
      <w:tr w:rsidTr="00ED0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51">
            <w:pPr>
              <w:pStyle w:val="BodyText"/>
              <w:rPr>
                <w:lang w:val="en-NZ"/>
              </w:rPr>
            </w:pPr>
            <w:r w:rsidRPr="00ED0651">
              <w:t xml:space="preserve">Release 2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51" w:rsidP="00ED0651">
            <w:pPr>
              <w:pStyle w:val="BodyText"/>
            </w:pPr>
            <w:r w:rsidRPr="00ED0651">
              <w:t xml:space="preserve">This was first released with </w:t>
            </w:r>
            <w:r w:rsidRPr="00ED0651">
              <w:rPr>
                <w:rStyle w:val="Emphasis"/>
              </w:rPr>
              <w:t>TAE Training and Education Training Package Release 2.1.</w:t>
            </w:r>
          </w:p>
          <w:p w:rsidR="00000000" w:rsidP="00ED0651">
            <w:pPr>
              <w:pStyle w:val="BodyText"/>
              <w:rPr>
                <w:lang w:val="en-NZ"/>
              </w:rPr>
            </w:pPr>
            <w:r w:rsidRPr="00ED0651">
              <w:t>Minor update to Assessment Conditions.</w:t>
            </w:r>
          </w:p>
        </w:tc>
      </w:tr>
      <w:tr w:rsidTr="00ED0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51">
            <w:pPr>
              <w:pStyle w:val="BodyText"/>
              <w:rPr>
                <w:lang w:val="en-NZ"/>
              </w:rPr>
            </w:pPr>
            <w:r w:rsidRPr="00ED06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51" w:rsidP="00ED0651">
            <w:pPr>
              <w:pStyle w:val="BodyText"/>
            </w:pPr>
            <w:r w:rsidRPr="00ED0651">
              <w:t xml:space="preserve">This version first released with </w:t>
            </w:r>
            <w:r w:rsidRPr="00ED0651">
              <w:rPr>
                <w:rStyle w:val="Emphasis"/>
              </w:rPr>
              <w:t>TAE Training and Educ</w:t>
            </w:r>
            <w:r w:rsidRPr="00ED0651">
              <w:rPr>
                <w:rStyle w:val="Emphasis"/>
              </w:rPr>
              <w:t>ation Training Package Release 2.0.</w:t>
            </w:r>
          </w:p>
        </w:tc>
      </w:tr>
    </w:tbl>
    <w:p w:rsidR="00000000" w:rsidRPr="00ED0651" w:rsidP="00ED0651">
      <w:pPr>
        <w:pStyle w:val="BodyText"/>
      </w:pPr>
    </w:p>
    <w:p w:rsidR="00000000" w:rsidRPr="00ED0651" w:rsidP="00ED0651">
      <w:pPr>
        <w:pStyle w:val="AllowPageBreak"/>
      </w:pPr>
    </w:p>
    <w:p w:rsidR="00000000" w:rsidRPr="00ED0651" w:rsidP="00ED0651">
      <w:pPr>
        <w:pStyle w:val="Heading1"/>
      </w:pPr>
      <w:bookmarkStart w:id="2" w:name="O_953278"/>
      <w:bookmarkEnd w:id="2"/>
      <w:r w:rsidRPr="00ED0651">
        <w:t>Performance Evidence</w:t>
      </w:r>
    </w:p>
    <w:p w:rsidR="00000000" w:rsidRPr="00ED0651" w:rsidP="00B47922">
      <w:pPr>
        <w:pStyle w:val="BodyText"/>
      </w:pPr>
      <w:r w:rsidRPr="00ED0651">
        <w:t>The candidate must show evidence of the ability to complete tasks outlined in the elements and performance criteria of this unit, including:</w:t>
      </w:r>
    </w:p>
    <w:p w:rsidR="00000000" w:rsidRPr="00ED0651" w:rsidP="00ED0651">
      <w:pPr>
        <w:pStyle w:val="ListBullet"/>
      </w:pPr>
      <w:r w:rsidRPr="00ED0651">
        <w:t>assessment of at least five candidates</w:t>
      </w:r>
      <w:r w:rsidRPr="00ED0651">
        <w:t xml:space="preserve"> within the vocational education and training (VET) context against at least one endorsed or accredited unit of competency according to the organisation</w:t>
      </w:r>
      <w:r>
        <w:t>’</w:t>
      </w:r>
      <w:r w:rsidRPr="00ED0651">
        <w:t>s assessment processes and practices.</w:t>
      </w:r>
    </w:p>
    <w:p w:rsidR="00000000" w:rsidRPr="00ED0651" w:rsidP="00ED0651">
      <w:pPr>
        <w:pStyle w:val="ListBullet"/>
      </w:pPr>
      <w:r w:rsidRPr="00ED0651">
        <w:t>using recognition of prior learning (RPL) processes in the assessment of at least one candidate (which may be one of the five candidates above)</w:t>
      </w:r>
    </w:p>
    <w:p w:rsidR="00000000" w:rsidRPr="00ED0651" w:rsidP="00ED0651">
      <w:pPr>
        <w:pStyle w:val="ListBullet"/>
      </w:pPr>
      <w:r w:rsidRPr="00ED0651">
        <w:t>making reasonable adjustments in the assessment of at least one candidate.</w:t>
      </w:r>
    </w:p>
    <w:p w:rsidR="00000000" w:rsidRPr="00ED0651" w:rsidP="00ED0651">
      <w:pPr>
        <w:pStyle w:val="BodyText"/>
      </w:pPr>
    </w:p>
    <w:p w:rsidR="00000000" w:rsidRPr="00ED0651" w:rsidP="00B47922">
      <w:pPr>
        <w:pStyle w:val="BodyText"/>
      </w:pPr>
      <w:r w:rsidRPr="00ED0651">
        <w:t>The assessments must be undertaken u</w:t>
      </w:r>
      <w:r w:rsidRPr="00ED0651">
        <w:t>nder the supervision of a qualified assessor and cover an entire unit of competency for each candidate, including:</w:t>
      </w:r>
    </w:p>
    <w:p w:rsidR="00000000" w:rsidRPr="00ED0651" w:rsidP="00ED0651">
      <w:pPr>
        <w:pStyle w:val="ListBullet"/>
      </w:pPr>
      <w:r w:rsidRPr="00ED0651">
        <w:t>the application of different assessment methods and instruments involving a range of activities and events</w:t>
      </w:r>
    </w:p>
    <w:p w:rsidR="00000000" w:rsidRPr="00ED0651" w:rsidP="00ED0651">
      <w:pPr>
        <w:pStyle w:val="ListBullet"/>
      </w:pPr>
      <w:r w:rsidRPr="00ED0651">
        <w:t>using two-way communication and f</w:t>
      </w:r>
      <w:r w:rsidRPr="00ED0651">
        <w:t>eedback with the candidate</w:t>
      </w:r>
    </w:p>
    <w:p w:rsidR="00000000" w:rsidRPr="00ED0651" w:rsidP="00ED0651">
      <w:pPr>
        <w:pStyle w:val="ListBullet"/>
      </w:pPr>
      <w:r w:rsidRPr="00ED0651">
        <w:t>exercising judgement in making the assessment decision</w:t>
      </w:r>
    </w:p>
    <w:p w:rsidR="00000000" w:rsidRPr="00ED0651" w:rsidP="00ED0651">
      <w:pPr>
        <w:pStyle w:val="ListBullet"/>
      </w:pPr>
      <w:r w:rsidRPr="00ED0651">
        <w:t>recording and reporting assessment outcomes in accordance with the assessment system and organisational, legal and ethical requirements</w:t>
      </w:r>
    </w:p>
    <w:p w:rsidR="00B47922" w:rsidP="00B47922">
      <w:pPr>
        <w:pStyle w:val="BodyText"/>
      </w:pPr>
      <w:r w:rsidRPr="00ED0651">
        <w:t>reviewing the assessment process.</w:t>
      </w:r>
    </w:p>
    <w:p w:rsidR="00000000" w:rsidRPr="00ED0651" w:rsidP="00ED0651">
      <w:pPr>
        <w:pStyle w:val="Heading1"/>
      </w:pPr>
      <w:bookmarkStart w:id="3" w:name="O_953276"/>
      <w:bookmarkEnd w:id="3"/>
      <w:r w:rsidRPr="00ED0651">
        <w:t>Knowledge Evidence</w:t>
      </w:r>
    </w:p>
    <w:p w:rsidR="00000000" w:rsidRPr="00ED0651" w:rsidP="00B47922">
      <w:pPr>
        <w:pStyle w:val="BodyText"/>
      </w:pPr>
      <w:r w:rsidRPr="00ED0651">
        <w:t>The candidate must be able to demonstrate essential knowledge to effectively complete the task outlined in the elements and performance criteria of this unit. This includes knowledge of:</w:t>
      </w:r>
    </w:p>
    <w:p w:rsidR="00000000" w:rsidRPr="00ED0651" w:rsidP="00ED0651">
      <w:pPr>
        <w:pStyle w:val="ListBullet"/>
      </w:pPr>
      <w:r w:rsidRPr="00ED0651">
        <w:t>competency-based assessment, includ</w:t>
      </w:r>
      <w:r w:rsidRPr="00ED0651">
        <w:t>ing:</w:t>
      </w:r>
    </w:p>
    <w:p w:rsidR="00000000" w:rsidRPr="00ED0651" w:rsidP="00ED0651">
      <w:pPr>
        <w:pStyle w:val="ListBullet2"/>
      </w:pPr>
      <w:r w:rsidRPr="00ED0651">
        <w:t>VET as a competency-based system</w:t>
      </w:r>
    </w:p>
    <w:p w:rsidR="00000000" w:rsidRPr="00ED0651" w:rsidP="00ED0651">
      <w:pPr>
        <w:pStyle w:val="ListBullet2"/>
      </w:pPr>
      <w:r w:rsidRPr="00ED0651">
        <w:t xml:space="preserve">how competency based assessment differs from other types of assessment </w:t>
      </w:r>
    </w:p>
    <w:p w:rsidR="00000000" w:rsidRPr="00ED0651" w:rsidP="00ED0651">
      <w:pPr>
        <w:pStyle w:val="ListBullet2"/>
      </w:pPr>
      <w:r w:rsidRPr="00ED0651">
        <w:t>competency standards as the basis of qualifications</w:t>
      </w:r>
    </w:p>
    <w:p w:rsidR="00000000" w:rsidRPr="00ED0651" w:rsidP="00ED0651">
      <w:pPr>
        <w:pStyle w:val="ListBullet2"/>
      </w:pPr>
      <w:r w:rsidRPr="00ED0651">
        <w:t>structure and application of competency standards</w:t>
      </w:r>
    </w:p>
    <w:p w:rsidR="00000000" w:rsidRPr="00ED0651" w:rsidP="00ED0651">
      <w:pPr>
        <w:pStyle w:val="ListBullet2"/>
      </w:pPr>
      <w:r w:rsidRPr="00ED0651">
        <w:t>the principles of assessment and how they are applied</w:t>
      </w:r>
    </w:p>
    <w:p w:rsidR="00000000" w:rsidRPr="00ED0651" w:rsidP="00ED0651">
      <w:pPr>
        <w:pStyle w:val="ListBullet2"/>
      </w:pPr>
      <w:r w:rsidRPr="00ED0651">
        <w:t>the distinction between assessment tools and assessment instruments</w:t>
      </w:r>
    </w:p>
    <w:p w:rsidR="00000000" w:rsidRPr="00ED0651" w:rsidP="00ED0651">
      <w:pPr>
        <w:pStyle w:val="ListBullet2"/>
      </w:pPr>
      <w:r w:rsidRPr="00ED0651">
        <w:t>the rules of evidence and how they are applied</w:t>
      </w:r>
    </w:p>
    <w:p w:rsidR="00000000" w:rsidRPr="00ED0651" w:rsidP="00ED0651">
      <w:pPr>
        <w:pStyle w:val="ListBullet2"/>
      </w:pPr>
      <w:r w:rsidRPr="00ED0651">
        <w:t>the range of assessment purposes and assessment contexts, including RPL</w:t>
      </w:r>
    </w:p>
    <w:p w:rsidR="00000000" w:rsidRPr="00ED0651" w:rsidP="00ED0651">
      <w:pPr>
        <w:pStyle w:val="ListBullet2"/>
      </w:pPr>
      <w:r w:rsidRPr="00ED0651">
        <w:t>different asses</w:t>
      </w:r>
      <w:r w:rsidRPr="00ED0651">
        <w:t>sment methods, including suitability for gathering various types of evidence, suitability for the content of units, and resource requirements and associated costs</w:t>
      </w:r>
    </w:p>
    <w:p w:rsidR="00000000" w:rsidRPr="00ED0651" w:rsidP="00ED0651">
      <w:pPr>
        <w:pStyle w:val="ListBullet2"/>
      </w:pPr>
      <w:r w:rsidRPr="00ED0651">
        <w:t>reasonable adjustments and when they are applicable</w:t>
      </w:r>
    </w:p>
    <w:p w:rsidR="00000000" w:rsidRPr="00ED0651" w:rsidP="00ED0651">
      <w:pPr>
        <w:pStyle w:val="ListBullet2"/>
      </w:pPr>
      <w:r w:rsidRPr="00ED0651">
        <w:t>types and forms of evidence, including as</w:t>
      </w:r>
      <w:r w:rsidRPr="00ED0651">
        <w:t xml:space="preserve">sessment instruments that are relevant to gathering different types of evidence used in competency-based assessment, including RPL </w:t>
      </w:r>
    </w:p>
    <w:p w:rsidR="00000000" w:rsidRPr="00ED0651" w:rsidP="00ED0651">
      <w:pPr>
        <w:pStyle w:val="ListBullet2"/>
      </w:pPr>
      <w:r w:rsidRPr="00ED0651">
        <w:t>the training and assessment strategies, including policies and procedures established by the industry, organisation or train</w:t>
      </w:r>
      <w:r w:rsidRPr="00ED0651">
        <w:t>ing authority</w:t>
      </w:r>
    </w:p>
    <w:p w:rsidR="00000000" w:rsidRPr="00ED0651" w:rsidP="00ED0651">
      <w:pPr>
        <w:pStyle w:val="ListBullet"/>
      </w:pPr>
      <w:r w:rsidRPr="00ED0651">
        <w:t>RPL policies and procedures established by the organisation</w:t>
      </w:r>
    </w:p>
    <w:p w:rsidR="00000000" w:rsidRPr="00ED0651" w:rsidP="00ED0651">
      <w:pPr>
        <w:pStyle w:val="ListBullet"/>
      </w:pPr>
      <w:r w:rsidRPr="00ED0651">
        <w:t>cultural sensitivity and equity considerations in assessment activities</w:t>
      </w:r>
    </w:p>
    <w:p w:rsidR="00000000" w:rsidRPr="00ED0651" w:rsidP="00ED0651">
      <w:pPr>
        <w:pStyle w:val="ListBullet"/>
      </w:pPr>
      <w:r w:rsidRPr="00ED0651">
        <w:t>current legislative requirements relevant to the assessor and the assessment process</w:t>
      </w:r>
    </w:p>
    <w:p w:rsidR="00000000" w:rsidRPr="00ED0651" w:rsidP="00ED0651">
      <w:pPr>
        <w:pStyle w:val="ListBullet"/>
      </w:pPr>
      <w:r w:rsidRPr="00ED0651">
        <w:t>workplace health and saf</w:t>
      </w:r>
      <w:r w:rsidRPr="00ED0651">
        <w:t>ety (WHS) responsibilities associated with assessing competence, including:</w:t>
      </w:r>
    </w:p>
    <w:p w:rsidR="00000000" w:rsidRPr="00ED0651" w:rsidP="00ED0651">
      <w:pPr>
        <w:pStyle w:val="ListBullet2"/>
      </w:pPr>
      <w:r w:rsidRPr="00ED0651">
        <w:t>requirements for reporting hazards and incidents</w:t>
      </w:r>
    </w:p>
    <w:p w:rsidR="00000000" w:rsidRPr="00ED0651" w:rsidP="00ED0651">
      <w:pPr>
        <w:pStyle w:val="ListBullet2"/>
      </w:pPr>
      <w:r w:rsidRPr="00ED0651">
        <w:t>emergency procedures</w:t>
      </w:r>
    </w:p>
    <w:p w:rsidR="00000000" w:rsidRPr="00ED0651" w:rsidP="00ED0651">
      <w:pPr>
        <w:pStyle w:val="ListBullet2"/>
      </w:pPr>
      <w:r w:rsidRPr="00ED0651">
        <w:t>procedures for the use of relevant personal protective equipment</w:t>
      </w:r>
    </w:p>
    <w:p w:rsidR="00000000" w:rsidRPr="00ED0651" w:rsidP="00ED0651">
      <w:pPr>
        <w:pStyle w:val="ListBullet2"/>
      </w:pPr>
      <w:r w:rsidRPr="00ED0651">
        <w:t>the safe use and maintenance of relevant equipment</w:t>
      </w:r>
    </w:p>
    <w:p w:rsidR="00000000" w:rsidRPr="00ED0651" w:rsidP="00ED0651">
      <w:pPr>
        <w:pStyle w:val="ListBullet2"/>
      </w:pPr>
      <w:r w:rsidRPr="00ED0651">
        <w:t>sources of WHS information.</w:t>
      </w:r>
    </w:p>
    <w:p w:rsidR="00000000" w:rsidRPr="00ED0651" w:rsidP="00ED0651">
      <w:pPr>
        <w:pStyle w:val="AllowPageBreak"/>
      </w:pPr>
    </w:p>
    <w:p w:rsidR="00000000" w:rsidRPr="00ED0651" w:rsidP="00ED0651">
      <w:pPr>
        <w:pStyle w:val="Heading1"/>
      </w:pPr>
      <w:bookmarkStart w:id="4" w:name="O_953273"/>
      <w:bookmarkEnd w:id="4"/>
      <w:r w:rsidRPr="00ED0651">
        <w:t>Assessment Conditions</w:t>
      </w:r>
    </w:p>
    <w:p w:rsidR="00000000" w:rsidRPr="00ED0651" w:rsidP="00B47922">
      <w:pPr>
        <w:pStyle w:val="BodyText"/>
      </w:pPr>
      <w:r w:rsidRPr="00ED0651">
        <w:t xml:space="preserve">Gather evidence to demonstrate consistent performance in a real assessment environment. The assessment environment must include access to </w:t>
      </w:r>
      <w:r w:rsidRPr="00ED0651">
        <w:t>assessment tools and recording materials.</w:t>
      </w:r>
    </w:p>
    <w:p w:rsidR="00B47922" w:rsidP="00B47922">
      <w:pPr>
        <w:pStyle w:val="BodyText"/>
      </w:pPr>
      <w:r w:rsidRPr="00ED0651">
        <w:t>Assessors must satisfy the requirements for assessors in applicable vocational education and training legislation, frameworks and/or standards.</w:t>
      </w:r>
    </w:p>
    <w:p w:rsidR="00000000" w:rsidRPr="00ED0651" w:rsidP="00ED0651">
      <w:pPr>
        <w:pStyle w:val="Heading1"/>
      </w:pPr>
      <w:bookmarkStart w:id="5" w:name="O_953298"/>
      <w:bookmarkEnd w:id="5"/>
      <w:r w:rsidRPr="00ED0651">
        <w:t>Links</w:t>
      </w:r>
    </w:p>
    <w:p w:rsidR="00000000" w:rsidRPr="00ED0651" w:rsidP="00B47922">
      <w:pPr>
        <w:pStyle w:val="BodyText"/>
      </w:pPr>
      <w:r w:rsidRPr="00ED0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2321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D0651" w:rsidP="00ED0651"/>
    <w:sectPr w:rsidSect="00ED0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51" w:rsidRPr="00B47922" w:rsidP="00B47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22" w:rsidP="00ED0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922" w:rsidP="00ED0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47922" w:rsidP="00ED0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651" w:rsidRPr="00B47922" w:rsidP="00B47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22" w:rsidRPr="002D2AF8" w:rsidP="00ED0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TAEASS402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47922" w:rsidP="00ED0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3C1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60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E1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651"/>
  </w:style>
  <w:style w:type="character" w:customStyle="1" w:styleId="Heading1Char">
    <w:name w:val="Heading 1 Char"/>
    <w:basedOn w:val="DefaultParagraphFont"/>
    <w:link w:val="Heading1"/>
    <w:rsid w:val="00ED0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651"/>
    <w:rPr>
      <w:b/>
      <w:spacing w:val="0"/>
    </w:rPr>
  </w:style>
  <w:style w:type="paragraph" w:styleId="ListBullet2">
    <w:name w:val="List Bullet 2"/>
    <w:basedOn w:val="List2"/>
    <w:rsid w:val="00ED06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651"/>
    <w:rPr>
      <w:i/>
    </w:rPr>
  </w:style>
  <w:style w:type="paragraph" w:customStyle="1" w:styleId="SuperHeading">
    <w:name w:val="SuperHeading"/>
    <w:basedOn w:val="Normal"/>
    <w:rsid w:val="00ED0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651"/>
  </w:style>
  <w:style w:type="paragraph" w:styleId="TableofFigures">
    <w:name w:val="table of figures"/>
    <w:basedOn w:val="Normal"/>
    <w:next w:val="Normal"/>
    <w:semiHidden/>
    <w:rsid w:val="00ED0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651"/>
    <w:rPr>
      <w:rFonts w:ascii="Wingdings" w:hAnsi="Wingdings"/>
    </w:rPr>
  </w:style>
  <w:style w:type="paragraph" w:customStyle="1" w:styleId="TableHeading">
    <w:name w:val="Table Heading"/>
    <w:basedOn w:val="HeadingBase"/>
    <w:rsid w:val="00ED0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651"/>
    <w:rPr>
      <w:color w:val="0033CC"/>
      <w:u w:val="none"/>
    </w:rPr>
  </w:style>
  <w:style w:type="paragraph" w:customStyle="1" w:styleId="BodyTextRight">
    <w:name w:val="Body Text Right"/>
    <w:basedOn w:val="BodyText"/>
    <w:rsid w:val="00ED0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651"/>
    <w:rPr>
      <w:sz w:val="32"/>
    </w:rPr>
  </w:style>
  <w:style w:type="paragraph" w:customStyle="1" w:styleId="HeadingProcedure">
    <w:name w:val="Heading Procedure"/>
    <w:basedOn w:val="HeadingBase"/>
    <w:next w:val="Normal"/>
    <w:rsid w:val="00ED0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651"/>
    <w:pPr>
      <w:spacing w:before="60" w:after="60"/>
    </w:pPr>
  </w:style>
  <w:style w:type="paragraph" w:styleId="ListContinue">
    <w:name w:val="List Continue"/>
    <w:basedOn w:val="List"/>
    <w:rsid w:val="00ED0651"/>
    <w:pPr>
      <w:ind w:firstLine="0"/>
    </w:pPr>
  </w:style>
  <w:style w:type="paragraph" w:customStyle="1" w:styleId="ListNote">
    <w:name w:val="List Note"/>
    <w:basedOn w:val="List"/>
    <w:rsid w:val="00ED0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651"/>
    <w:rPr>
      <w:rFonts w:ascii="Courier New" w:hAnsi="Courier New"/>
    </w:rPr>
  </w:style>
  <w:style w:type="paragraph" w:customStyle="1" w:styleId="NoteBullet">
    <w:name w:val="Note Bullet"/>
    <w:basedOn w:val="Note"/>
    <w:rsid w:val="00ED0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651"/>
    <w:rPr>
      <w:b/>
      <w:smallCaps/>
    </w:rPr>
  </w:style>
  <w:style w:type="paragraph" w:customStyle="1" w:styleId="TableListNumber">
    <w:name w:val="Table List Number"/>
    <w:basedOn w:val="ListNumber"/>
    <w:rsid w:val="00ED0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651"/>
    <w:pPr>
      <w:numPr>
        <w:numId w:val="9"/>
      </w:numPr>
    </w:pPr>
  </w:style>
  <w:style w:type="paragraph" w:customStyle="1" w:styleId="ListAlpha2">
    <w:name w:val="List Alpha 2"/>
    <w:basedOn w:val="List2"/>
    <w:rsid w:val="00ED0651"/>
    <w:pPr>
      <w:numPr>
        <w:numId w:val="8"/>
      </w:numPr>
    </w:pPr>
  </w:style>
  <w:style w:type="paragraph" w:styleId="List2">
    <w:name w:val="List 2"/>
    <w:basedOn w:val="BodyText"/>
    <w:rsid w:val="00ED0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651"/>
    <w:pPr>
      <w:numPr>
        <w:numId w:val="4"/>
      </w:numPr>
    </w:pPr>
  </w:style>
  <w:style w:type="paragraph" w:styleId="ListContinue2">
    <w:name w:val="List Continue 2"/>
    <w:basedOn w:val="List2"/>
    <w:rsid w:val="00ED0651"/>
    <w:pPr>
      <w:ind w:firstLine="0"/>
    </w:pPr>
  </w:style>
  <w:style w:type="paragraph" w:styleId="ListContinue3">
    <w:name w:val="List Continue 3"/>
    <w:basedOn w:val="List3"/>
    <w:rsid w:val="00ED0651"/>
    <w:pPr>
      <w:ind w:left="1021" w:firstLine="0"/>
    </w:pPr>
  </w:style>
  <w:style w:type="paragraph" w:styleId="ListContinue4">
    <w:name w:val="List Continue 4"/>
    <w:basedOn w:val="List4"/>
    <w:rsid w:val="00ED0651"/>
    <w:pPr>
      <w:ind w:firstLine="0"/>
    </w:pPr>
  </w:style>
  <w:style w:type="paragraph" w:styleId="ListContinue5">
    <w:name w:val="List Continue 5"/>
    <w:basedOn w:val="List5"/>
    <w:rsid w:val="00ED0651"/>
    <w:pPr>
      <w:ind w:firstLine="0"/>
    </w:pPr>
  </w:style>
  <w:style w:type="paragraph" w:styleId="ListNumber3">
    <w:name w:val="List Number 3"/>
    <w:basedOn w:val="List3"/>
    <w:rsid w:val="00ED0651"/>
    <w:pPr>
      <w:numPr>
        <w:numId w:val="5"/>
      </w:numPr>
    </w:pPr>
  </w:style>
  <w:style w:type="paragraph" w:styleId="ListNumber4">
    <w:name w:val="List Number 4"/>
    <w:basedOn w:val="List4"/>
    <w:rsid w:val="00ED0651"/>
    <w:pPr>
      <w:numPr>
        <w:numId w:val="6"/>
      </w:numPr>
    </w:pPr>
  </w:style>
  <w:style w:type="paragraph" w:styleId="ListNumber5">
    <w:name w:val="List Number 5"/>
    <w:basedOn w:val="List5"/>
    <w:rsid w:val="00ED0651"/>
    <w:pPr>
      <w:numPr>
        <w:numId w:val="7"/>
      </w:numPr>
    </w:pPr>
  </w:style>
  <w:style w:type="paragraph" w:styleId="BlockText">
    <w:name w:val="Block Text"/>
    <w:basedOn w:val="Normal"/>
    <w:rsid w:val="00ED0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651"/>
    <w:rPr>
      <w:sz w:val="16"/>
      <w:vertAlign w:val="superscript"/>
    </w:rPr>
  </w:style>
  <w:style w:type="character" w:customStyle="1" w:styleId="Symbols">
    <w:name w:val="Symbols"/>
    <w:basedOn w:val="DefaultParagraphFont"/>
    <w:rsid w:val="00ED0651"/>
    <w:rPr>
      <w:rFonts w:ascii="Symbol" w:hAnsi="Symbol"/>
    </w:rPr>
  </w:style>
  <w:style w:type="character" w:customStyle="1" w:styleId="MenuOptions">
    <w:name w:val="Menu Options"/>
    <w:basedOn w:val="DefaultParagraphFont"/>
    <w:rsid w:val="00ED0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651"/>
    <w:rPr>
      <w:b/>
    </w:rPr>
  </w:style>
  <w:style w:type="character" w:customStyle="1" w:styleId="Underlined">
    <w:name w:val="Underlined"/>
    <w:basedOn w:val="DefaultParagraphFont"/>
    <w:rsid w:val="00ED0651"/>
    <w:rPr>
      <w:u w:val="single"/>
    </w:rPr>
  </w:style>
  <w:style w:type="paragraph" w:customStyle="1" w:styleId="TableBodyTextRight">
    <w:name w:val="Table Body Text Right"/>
    <w:basedOn w:val="TableBodyText"/>
    <w:rsid w:val="00ED0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651"/>
    <w:rPr>
      <w:sz w:val="18"/>
    </w:rPr>
  </w:style>
  <w:style w:type="paragraph" w:customStyle="1" w:styleId="BodySmallRight">
    <w:name w:val="Body Small Right"/>
    <w:basedOn w:val="BodyTextRight"/>
    <w:rsid w:val="00ED0651"/>
    <w:rPr>
      <w:sz w:val="18"/>
      <w:szCs w:val="18"/>
    </w:rPr>
  </w:style>
  <w:style w:type="paragraph" w:customStyle="1" w:styleId="MarginEdition">
    <w:name w:val="Margin Edition"/>
    <w:basedOn w:val="MarginNote"/>
    <w:rsid w:val="00ED0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651"/>
    <w:rPr>
      <w:sz w:val="2"/>
      <w:szCs w:val="2"/>
    </w:rPr>
  </w:style>
  <w:style w:type="character" w:customStyle="1" w:styleId="Small">
    <w:name w:val="Small"/>
    <w:basedOn w:val="DefaultParagraphFont"/>
    <w:rsid w:val="00ED0651"/>
    <w:rPr>
      <w:sz w:val="16"/>
    </w:rPr>
  </w:style>
  <w:style w:type="paragraph" w:customStyle="1" w:styleId="WideTable">
    <w:name w:val="Wide Table"/>
    <w:basedOn w:val="Normal"/>
    <w:rsid w:val="00ED0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651"/>
  </w:style>
  <w:style w:type="paragraph" w:styleId="Quote">
    <w:name w:val="Quote"/>
    <w:basedOn w:val="Heading1"/>
    <w:link w:val="QuoteChar"/>
    <w:qFormat/>
    <w:rsid w:val="00ED0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651"/>
    <w:pPr>
      <w:pageBreakBefore/>
    </w:pPr>
  </w:style>
  <w:style w:type="paragraph" w:customStyle="1" w:styleId="Border">
    <w:name w:val="Border"/>
    <w:basedOn w:val="Normal"/>
    <w:qFormat/>
    <w:rsid w:val="00ED0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651"/>
    <w:rPr>
      <w:u w:val="single"/>
    </w:rPr>
  </w:style>
  <w:style w:type="character" w:customStyle="1" w:styleId="BoldandItalics">
    <w:name w:val="Bold and Italics"/>
    <w:qFormat/>
    <w:rsid w:val="00ED0651"/>
    <w:rPr>
      <w:b/>
      <w:i/>
      <w:u w:val="none"/>
    </w:rPr>
  </w:style>
  <w:style w:type="paragraph" w:styleId="BalloonText">
    <w:name w:val="Balloon Text"/>
    <w:basedOn w:val="Normal"/>
    <w:link w:val="BalloonTextChar"/>
    <w:rsid w:val="00ED0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651"/>
    <w:pPr>
      <w:spacing w:before="0" w:after="0"/>
    </w:pPr>
  </w:style>
  <w:style w:type="paragraph" w:customStyle="1" w:styleId="BodyTextBold">
    <w:name w:val="Body Text Bold"/>
    <w:basedOn w:val="BodyText"/>
    <w:qFormat/>
    <w:rsid w:val="00ED0651"/>
    <w:rPr>
      <w:b/>
    </w:rPr>
  </w:style>
  <w:style w:type="character" w:styleId="Hyperlink">
    <w:name w:val="Hyperlink"/>
    <w:basedOn w:val="DefaultParagraphFont"/>
    <w:uiPriority w:val="99"/>
    <w:unhideWhenUsed/>
    <w:rsid w:val="00B47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3467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TAEASS402 Assess competence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