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12DB" w:rsidP="00B312DB">
      <w:pPr>
        <w:pStyle w:val="Title"/>
      </w:pPr>
      <w:r>
        <w:fldChar w:fldCharType="begin"/>
      </w:r>
      <w:r>
        <w:instrText xml:space="preserve"> TITLE   \* MERGEFORMAT </w:instrText>
      </w:r>
      <w:r>
        <w:fldChar w:fldCharType="separate"/>
      </w:r>
      <w:r>
        <w:t>SUGTASD3A Adjust schedule(s) to meet daily workplace requirements</w:t>
      </w:r>
      <w:r>
        <w:fldChar w:fldCharType="end"/>
      </w:r>
    </w:p>
    <w:p w:rsidR="00B312DB" w:rsidP="00B312DB">
      <w:pPr>
        <w:pStyle w:val="Version"/>
        <w:sectPr w:rsidSect="00EE07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E075E" w:rsidP="00EE075E">
      <w:pPr>
        <w:pStyle w:val="SuperHeading"/>
      </w:pPr>
      <w:r w:rsidRPr="00EE075E">
        <w:t>SUGTASD3A Adjust schedule(s) to meet daily workplace requirements</w:t>
      </w:r>
    </w:p>
    <w:p w:rsidR="00000000" w:rsidRPr="00EE075E" w:rsidP="00EE075E">
      <w:pPr>
        <w:pStyle w:val="SuperHeading"/>
      </w:pPr>
    </w:p>
    <w:p w:rsidR="00000000" w:rsidRPr="00EE075E" w:rsidP="00EE075E">
      <w:pPr>
        <w:pStyle w:val="Heading1"/>
      </w:pPr>
      <w:bookmarkStart w:id="1" w:name="O_149607"/>
      <w:bookmarkEnd w:id="1"/>
      <w:r w:rsidRPr="00EE075E">
        <w:t>Modification History</w:t>
      </w:r>
    </w:p>
    <w:p w:rsidR="00000000" w:rsidRPr="00EE075E" w:rsidP="00EE075E">
      <w:pPr>
        <w:pStyle w:val="BodyText"/>
      </w:pPr>
      <w:r w:rsidRPr="00EE075E">
        <w:t>Not applicable.</w:t>
      </w:r>
    </w:p>
    <w:p w:rsidR="00000000" w:rsidRPr="00EE075E" w:rsidP="00EE075E">
      <w:pPr>
        <w:pStyle w:val="AllowPageBreak"/>
      </w:pPr>
    </w:p>
    <w:p w:rsidR="00000000" w:rsidRPr="00EE075E" w:rsidP="00EE075E">
      <w:pPr>
        <w:pStyle w:val="Heading1"/>
      </w:pPr>
      <w:bookmarkStart w:id="2" w:name="O_149608"/>
      <w:bookmarkEnd w:id="2"/>
      <w:r w:rsidRPr="00EE075E">
        <w:t>Unit Descriptor</w:t>
      </w:r>
    </w:p>
    <w:tbl>
      <w:tblPr>
        <w:tblW w:w="0" w:type="auto"/>
        <w:tblLayout w:type="fixed"/>
        <w:tblCellMar>
          <w:left w:w="62" w:type="dxa"/>
          <w:right w:w="62" w:type="dxa"/>
        </w:tblCellMar>
        <w:tblLook w:val="0000"/>
      </w:tblPr>
      <w:tblGrid>
        <w:gridCol w:w="8550"/>
      </w:tblGrid>
      <w:tr w:rsidTr="00B312DB">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P="00EE075E">
            <w:pPr>
              <w:pStyle w:val="BodyText"/>
              <w:rPr>
                <w:lang w:val="en-NZ"/>
              </w:rPr>
            </w:pPr>
            <w:r w:rsidRPr="00EE075E">
              <w:rPr>
                <w:rStyle w:val="SpecialBold"/>
              </w:rPr>
              <w:t>Unit descriptor</w:t>
            </w:r>
          </w:p>
        </w:tc>
      </w:tr>
      <w:tr w:rsidTr="00B312DB">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EE075E" w:rsidP="00EE075E">
            <w:pPr>
              <w:pStyle w:val="BodyText"/>
            </w:pPr>
            <w:r w:rsidRPr="00EE075E">
              <w:t>This is a Specialist unit. It covers the skills and knowledge required to adjust schedules to meet daily sugar mill operational requirements.</w:t>
            </w:r>
          </w:p>
        </w:tc>
      </w:tr>
    </w:tbl>
    <w:p w:rsidR="00000000" w:rsidRPr="00EE075E" w:rsidP="00EE075E">
      <w:pPr>
        <w:pStyle w:val="BodyText"/>
      </w:pPr>
    </w:p>
    <w:p w:rsidR="00000000" w:rsidRPr="00EE075E" w:rsidP="00EE075E">
      <w:pPr>
        <w:pStyle w:val="AllowPageBreak"/>
      </w:pPr>
    </w:p>
    <w:p w:rsidR="00000000" w:rsidRPr="00EE075E" w:rsidP="00EE075E">
      <w:pPr>
        <w:pStyle w:val="Heading1"/>
      </w:pPr>
      <w:bookmarkStart w:id="3" w:name="O_149609"/>
      <w:bookmarkEnd w:id="3"/>
      <w:r w:rsidRPr="00EE075E">
        <w:t>Application of the Unit</w:t>
      </w:r>
    </w:p>
    <w:p w:rsidR="00000000" w:rsidRPr="00EE075E" w:rsidP="00EE075E">
      <w:pPr>
        <w:pStyle w:val="BodyText"/>
      </w:pPr>
      <w:r w:rsidRPr="00EE075E">
        <w:t>Not applicable.</w:t>
      </w:r>
    </w:p>
    <w:p w:rsidR="00000000" w:rsidRPr="00EE075E" w:rsidP="00EE075E">
      <w:pPr>
        <w:pStyle w:val="AllowPageBreak"/>
      </w:pPr>
    </w:p>
    <w:p w:rsidR="00000000" w:rsidRPr="00EE075E" w:rsidP="00EE075E">
      <w:pPr>
        <w:pStyle w:val="Heading1"/>
      </w:pPr>
      <w:bookmarkStart w:id="4" w:name="O_149610"/>
      <w:bookmarkEnd w:id="4"/>
      <w:r w:rsidRPr="00EE075E">
        <w:t>Licensing/Regulatory Information</w:t>
      </w:r>
    </w:p>
    <w:p w:rsidR="00000000" w:rsidRPr="00EE075E" w:rsidP="00EE075E">
      <w:pPr>
        <w:pStyle w:val="BodyText"/>
      </w:pPr>
      <w:r w:rsidRPr="00EE075E">
        <w:t>Not a</w:t>
      </w:r>
      <w:r w:rsidRPr="00EE075E">
        <w:t>pplicable.</w:t>
      </w:r>
    </w:p>
    <w:p w:rsidR="00000000" w:rsidRPr="00EE075E" w:rsidP="00EE075E">
      <w:pPr>
        <w:pStyle w:val="AllowPageBreak"/>
      </w:pPr>
    </w:p>
    <w:p w:rsidR="00000000" w:rsidRPr="00EE075E" w:rsidP="00EE075E">
      <w:pPr>
        <w:pStyle w:val="Heading1"/>
      </w:pPr>
      <w:bookmarkStart w:id="5" w:name="O_149611"/>
      <w:bookmarkEnd w:id="5"/>
      <w:r w:rsidRPr="00EE075E">
        <w:t>Pre-Requisites</w:t>
      </w:r>
    </w:p>
    <w:p w:rsidR="00000000" w:rsidRPr="00EE075E" w:rsidP="00EE075E">
      <w:pPr>
        <w:pStyle w:val="BodyText"/>
      </w:pPr>
      <w:r w:rsidRPr="00EE075E">
        <w:t>Not applicable.</w:t>
      </w:r>
    </w:p>
    <w:p w:rsidR="00000000" w:rsidRPr="00EE075E" w:rsidP="00EE075E">
      <w:pPr>
        <w:pStyle w:val="AllowPageBreak"/>
      </w:pPr>
    </w:p>
    <w:p w:rsidR="00000000" w:rsidRPr="00EE075E" w:rsidP="00EE075E">
      <w:pPr>
        <w:pStyle w:val="Heading1"/>
      </w:pPr>
      <w:bookmarkStart w:id="6" w:name="O_149612"/>
      <w:bookmarkEnd w:id="6"/>
      <w:r w:rsidRPr="00EE075E">
        <w:t>Employability Skills Information</w:t>
      </w:r>
    </w:p>
    <w:p w:rsidR="00000000" w:rsidRPr="00EE075E" w:rsidP="00EE075E">
      <w:pPr>
        <w:pStyle w:val="BodyText"/>
      </w:pPr>
      <w:r w:rsidRPr="00EE075E">
        <w:t>Not applicable.</w:t>
      </w:r>
    </w:p>
    <w:p w:rsidR="00000000" w:rsidRPr="00EE075E" w:rsidP="00EE075E">
      <w:pPr>
        <w:pStyle w:val="AllowPageBreak"/>
      </w:pPr>
    </w:p>
    <w:p w:rsidR="00000000" w:rsidRPr="00EE075E" w:rsidP="00EE075E">
      <w:pPr>
        <w:pStyle w:val="Heading1"/>
      </w:pPr>
      <w:bookmarkStart w:id="7" w:name="O_149613"/>
      <w:bookmarkEnd w:id="7"/>
      <w:r w:rsidRPr="00EE075E">
        <w:t>Elements and Performance Criteria Pre-Content</w:t>
      </w:r>
    </w:p>
    <w:p w:rsidR="00000000" w:rsidRPr="00EE075E" w:rsidP="00EE075E">
      <w:pPr>
        <w:pStyle w:val="BodyText"/>
      </w:pPr>
      <w:r w:rsidRPr="00EE075E">
        <w:t>Not applicable.</w:t>
      </w:r>
    </w:p>
    <w:p w:rsidR="00000000" w:rsidRPr="00EE075E" w:rsidP="00EE075E">
      <w:pPr>
        <w:pStyle w:val="AllowPageBreak"/>
      </w:pPr>
    </w:p>
    <w:p w:rsidR="00000000" w:rsidRPr="00EE075E" w:rsidP="00EE075E">
      <w:pPr>
        <w:pStyle w:val="Heading1"/>
      </w:pPr>
      <w:bookmarkStart w:id="8" w:name="O_149614"/>
      <w:bookmarkEnd w:id="8"/>
      <w:r w:rsidRPr="00EE075E">
        <w:t>Elements and Performance Criteria</w:t>
      </w:r>
    </w:p>
    <w:tbl>
      <w:tblPr>
        <w:tblW w:w="0" w:type="auto"/>
        <w:tblLayout w:type="fixed"/>
        <w:tblCellMar>
          <w:left w:w="62" w:type="dxa"/>
          <w:right w:w="62" w:type="dxa"/>
        </w:tblCellMar>
        <w:tblLook w:val="0000"/>
      </w:tblPr>
      <w:tblGrid>
        <w:gridCol w:w="3261"/>
        <w:gridCol w:w="5289"/>
      </w:tblGrid>
      <w:tr w:rsidTr="00B312D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E075E" w:rsidP="00EE075E">
            <w:pPr>
              <w:pStyle w:val="BodyText"/>
            </w:pPr>
            <w:r w:rsidRPr="00EE075E">
              <w:rPr>
                <w:rStyle w:val="SpecialBold"/>
              </w:rPr>
              <w:t>Element</w:t>
            </w:r>
          </w:p>
        </w:tc>
        <w:tc>
          <w:tcPr>
            <w:tcW w:w="5289" w:type="dxa"/>
            <w:tcBorders>
              <w:top w:val="nil"/>
              <w:left w:val="nil"/>
              <w:bottom w:val="nil"/>
              <w:right w:val="nil"/>
            </w:tcBorders>
            <w:tcMar>
              <w:top w:w="0" w:type="dxa"/>
              <w:left w:w="62" w:type="dxa"/>
              <w:bottom w:w="0" w:type="dxa"/>
              <w:right w:w="62" w:type="dxa"/>
            </w:tcMar>
          </w:tcPr>
          <w:p w:rsidR="00000000" w:rsidP="00EE075E">
            <w:pPr>
              <w:pStyle w:val="BodyText"/>
              <w:rPr>
                <w:lang w:val="en-NZ"/>
              </w:rPr>
            </w:pPr>
            <w:r w:rsidRPr="00EE075E">
              <w:rPr>
                <w:rStyle w:val="SpecialBold"/>
              </w:rPr>
              <w:t>Performance criteria</w:t>
            </w:r>
          </w:p>
        </w:tc>
      </w:tr>
      <w:tr w:rsidTr="00B312D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E075E">
            <w:pPr>
              <w:pStyle w:val="List"/>
              <w:rPr>
                <w:lang w:val="en-NZ"/>
              </w:rPr>
            </w:pPr>
            <w:r w:rsidRPr="00EE075E">
              <w:t>1.</w:t>
            </w:r>
            <w:r w:rsidRPr="00EE075E">
              <w:tab/>
              <w:t>Identify daily factory requirements for cane supply</w:t>
            </w:r>
          </w:p>
        </w:tc>
        <w:tc>
          <w:tcPr>
            <w:tcW w:w="5289" w:type="dxa"/>
            <w:tcBorders>
              <w:top w:val="nil"/>
              <w:left w:val="nil"/>
              <w:bottom w:val="nil"/>
              <w:right w:val="nil"/>
            </w:tcBorders>
            <w:tcMar>
              <w:top w:w="0" w:type="dxa"/>
              <w:left w:w="62" w:type="dxa"/>
              <w:bottom w:w="0" w:type="dxa"/>
              <w:right w:w="62" w:type="dxa"/>
            </w:tcMar>
          </w:tcPr>
          <w:p w:rsidR="00000000" w:rsidRPr="00EE075E" w:rsidP="00EE075E">
            <w:pPr>
              <w:pStyle w:val="List"/>
            </w:pPr>
            <w:r w:rsidRPr="00EE075E">
              <w:t>1.1</w:t>
            </w:r>
            <w:r w:rsidRPr="00EE075E">
              <w:tab/>
              <w:t>Workplace information are accessed</w:t>
            </w:r>
          </w:p>
          <w:p w:rsidR="00000000" w:rsidP="00EE075E">
            <w:pPr>
              <w:pStyle w:val="List"/>
              <w:rPr>
                <w:lang w:val="en-NZ"/>
              </w:rPr>
            </w:pPr>
            <w:r w:rsidRPr="00EE075E">
              <w:t>1.2</w:t>
            </w:r>
            <w:r w:rsidRPr="00EE075E">
              <w:tab/>
              <w:t>Factors that impact on cane supply are identified</w:t>
            </w:r>
          </w:p>
        </w:tc>
      </w:tr>
      <w:tr w:rsidTr="00B312D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E075E">
            <w:pPr>
              <w:pStyle w:val="List"/>
              <w:rPr>
                <w:lang w:val="en-NZ"/>
              </w:rPr>
            </w:pPr>
            <w:r w:rsidRPr="00EE075E">
              <w:t>2.</w:t>
            </w:r>
            <w:r w:rsidRPr="00EE075E">
              <w:tab/>
              <w:t>Calculate zero hour</w:t>
            </w:r>
          </w:p>
        </w:tc>
        <w:tc>
          <w:tcPr>
            <w:tcW w:w="5289" w:type="dxa"/>
            <w:tcBorders>
              <w:top w:val="nil"/>
              <w:left w:val="nil"/>
              <w:bottom w:val="nil"/>
              <w:right w:val="nil"/>
            </w:tcBorders>
            <w:tcMar>
              <w:top w:w="0" w:type="dxa"/>
              <w:left w:w="62" w:type="dxa"/>
              <w:bottom w:w="0" w:type="dxa"/>
              <w:right w:w="62" w:type="dxa"/>
            </w:tcMar>
          </w:tcPr>
          <w:p w:rsidR="00000000" w:rsidRPr="00EE075E" w:rsidP="00EE075E">
            <w:pPr>
              <w:pStyle w:val="List"/>
            </w:pPr>
            <w:r w:rsidRPr="00EE075E">
              <w:t>2.1</w:t>
            </w:r>
            <w:r w:rsidRPr="00EE075E">
              <w:tab/>
              <w:t>Zero hour is calculated to take account of daily v</w:t>
            </w:r>
            <w:r w:rsidRPr="00EE075E">
              <w:t>ariables</w:t>
            </w:r>
          </w:p>
          <w:p w:rsidR="00000000" w:rsidP="00EE075E">
            <w:pPr>
              <w:pStyle w:val="List"/>
              <w:rPr>
                <w:lang w:val="en-NZ"/>
              </w:rPr>
            </w:pPr>
            <w:r w:rsidRPr="00EE075E">
              <w:t>2.2</w:t>
            </w:r>
            <w:r w:rsidRPr="00EE075E">
              <w:tab/>
              <w:t>Relevant personnel are informed of zero hour</w:t>
            </w:r>
          </w:p>
        </w:tc>
      </w:tr>
      <w:tr w:rsidTr="00B312D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E075E">
            <w:pPr>
              <w:pStyle w:val="List"/>
              <w:rPr>
                <w:lang w:val="en-NZ"/>
              </w:rPr>
            </w:pPr>
            <w:r w:rsidRPr="00EE075E">
              <w:t>3.</w:t>
            </w:r>
            <w:r w:rsidRPr="00EE075E">
              <w:tab/>
              <w:t>Amend daily bin allotment and bin allocations</w:t>
            </w:r>
          </w:p>
        </w:tc>
        <w:tc>
          <w:tcPr>
            <w:tcW w:w="5289" w:type="dxa"/>
            <w:tcBorders>
              <w:top w:val="nil"/>
              <w:left w:val="nil"/>
              <w:bottom w:val="nil"/>
              <w:right w:val="nil"/>
            </w:tcBorders>
            <w:tcMar>
              <w:top w:w="0" w:type="dxa"/>
              <w:left w:w="62" w:type="dxa"/>
              <w:bottom w:w="0" w:type="dxa"/>
              <w:right w:w="62" w:type="dxa"/>
            </w:tcMar>
          </w:tcPr>
          <w:p w:rsidR="00000000" w:rsidRPr="00EE075E" w:rsidP="00EE075E">
            <w:pPr>
              <w:pStyle w:val="List"/>
            </w:pPr>
            <w:r w:rsidRPr="00EE075E">
              <w:t>3.1</w:t>
            </w:r>
            <w:r w:rsidRPr="00EE075E">
              <w:tab/>
              <w:t>Bin allotment requirements are determined</w:t>
            </w:r>
          </w:p>
          <w:p w:rsidR="00000000" w:rsidRPr="00EE075E" w:rsidP="00EE075E">
            <w:pPr>
              <w:pStyle w:val="List"/>
            </w:pPr>
            <w:r w:rsidRPr="00EE075E">
              <w:t>3.2</w:t>
            </w:r>
            <w:r w:rsidRPr="00EE075E">
              <w:tab/>
              <w:t>Daily bin allotment and bin allocations are calculated based on amended requirements</w:t>
            </w:r>
          </w:p>
          <w:p w:rsidR="00000000" w:rsidRPr="00EE075E" w:rsidP="00EE075E">
            <w:pPr>
              <w:pStyle w:val="List"/>
            </w:pPr>
            <w:r w:rsidRPr="00EE075E">
              <w:t>3.3</w:t>
            </w:r>
            <w:r w:rsidRPr="00EE075E">
              <w:tab/>
            </w:r>
            <w:r w:rsidRPr="00EE075E">
              <w:t>Schedule for bin allocation and loco runs to harvest groups is amended to meet requirements</w:t>
            </w:r>
          </w:p>
          <w:p w:rsidR="00000000" w:rsidP="00EE075E">
            <w:pPr>
              <w:pStyle w:val="List"/>
              <w:rPr>
                <w:lang w:val="en-NZ"/>
              </w:rPr>
            </w:pPr>
            <w:r w:rsidRPr="00EE075E">
              <w:t>3.4</w:t>
            </w:r>
            <w:r w:rsidRPr="00EE075E">
              <w:tab/>
              <w:t>Amended schedule is documented and submitted for approval in accordance with workplace procedures</w:t>
            </w:r>
          </w:p>
        </w:tc>
      </w:tr>
      <w:tr w:rsidTr="00B312D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E075E">
            <w:pPr>
              <w:pStyle w:val="List"/>
              <w:rPr>
                <w:lang w:val="en-NZ"/>
              </w:rPr>
            </w:pPr>
            <w:r w:rsidRPr="00EE075E">
              <w:t>4.</w:t>
            </w:r>
            <w:r w:rsidRPr="00EE075E">
              <w:tab/>
              <w:t>Monitor supply and demand to maintain and adjust schedule</w:t>
            </w:r>
          </w:p>
        </w:tc>
        <w:tc>
          <w:tcPr>
            <w:tcW w:w="5289" w:type="dxa"/>
            <w:tcBorders>
              <w:top w:val="nil"/>
              <w:left w:val="nil"/>
              <w:bottom w:val="nil"/>
              <w:right w:val="nil"/>
            </w:tcBorders>
            <w:tcMar>
              <w:top w:w="0" w:type="dxa"/>
              <w:left w:w="62" w:type="dxa"/>
              <w:bottom w:w="0" w:type="dxa"/>
              <w:right w:w="62" w:type="dxa"/>
            </w:tcMar>
          </w:tcPr>
          <w:p w:rsidR="00000000" w:rsidRPr="00EE075E" w:rsidP="00EE075E">
            <w:pPr>
              <w:pStyle w:val="List"/>
            </w:pPr>
            <w:r w:rsidRPr="00EE075E">
              <w:t>4.1</w:t>
            </w:r>
            <w:r w:rsidRPr="00EE075E">
              <w:tab/>
              <w:t>Transport departures and arrivals are co-ordinated and adjusted to meet schedule requirements</w:t>
            </w:r>
          </w:p>
          <w:p w:rsidR="00000000" w:rsidRPr="00EE075E" w:rsidP="00EE075E">
            <w:pPr>
              <w:pStyle w:val="List"/>
            </w:pPr>
            <w:r w:rsidRPr="00EE075E">
              <w:t>4.2</w:t>
            </w:r>
            <w:r w:rsidRPr="00EE075E">
              <w:tab/>
              <w:t>Regular two-way communication with locomotive drivers and harvester operators is used to maintain schedules and safe operations</w:t>
            </w:r>
          </w:p>
          <w:p w:rsidR="00000000" w:rsidRPr="00EE075E" w:rsidP="00EE075E">
            <w:pPr>
              <w:pStyle w:val="List"/>
            </w:pPr>
            <w:r w:rsidRPr="00EE075E">
              <w:t>4.3</w:t>
            </w:r>
            <w:r w:rsidRPr="00EE075E">
              <w:tab/>
              <w:t>Cane stock and deliver</w:t>
            </w:r>
            <w:r w:rsidRPr="00EE075E">
              <w:t>ies (supply) are monitored against schedule</w:t>
            </w:r>
          </w:p>
          <w:p w:rsidR="00000000" w:rsidRPr="00EE075E" w:rsidP="00EE075E">
            <w:pPr>
              <w:pStyle w:val="List"/>
            </w:pPr>
            <w:r w:rsidRPr="00EE075E">
              <w:t>4.4</w:t>
            </w:r>
            <w:r w:rsidRPr="00EE075E">
              <w:tab/>
              <w:t>Variations between supply and schedule are identified and corrective action is taken</w:t>
            </w:r>
          </w:p>
          <w:p w:rsidR="00000000" w:rsidRPr="00EE075E" w:rsidP="00EE075E">
            <w:pPr>
              <w:pStyle w:val="List"/>
            </w:pPr>
            <w:r w:rsidRPr="00EE075E">
              <w:t>4.5</w:t>
            </w:r>
            <w:r w:rsidRPr="00EE075E">
              <w:tab/>
              <w:t>Resource implications of amended schedules are identified and resources are accessed to meet requirements</w:t>
            </w:r>
          </w:p>
          <w:p w:rsidR="00000000" w:rsidP="00EE075E">
            <w:pPr>
              <w:pStyle w:val="List"/>
              <w:rPr>
                <w:lang w:val="en-NZ"/>
              </w:rPr>
            </w:pPr>
            <w:r w:rsidRPr="00EE075E">
              <w:t>4.6</w:t>
            </w:r>
            <w:r w:rsidRPr="00EE075E">
              <w:tab/>
              <w:t xml:space="preserve">Progress </w:t>
            </w:r>
            <w:r w:rsidRPr="00EE075E">
              <w:t>against schedule is monitored</w:t>
            </w:r>
          </w:p>
        </w:tc>
      </w:tr>
      <w:tr w:rsidTr="00B312D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E075E">
            <w:pPr>
              <w:pStyle w:val="BodyText"/>
              <w:rPr>
                <w:lang w:val="en-NZ"/>
              </w:rPr>
            </w:pPr>
            <w:r w:rsidRPr="00EE075E">
              <w:t>5. Communicate details of amended daily schedule and changes to supply</w:t>
            </w:r>
          </w:p>
        </w:tc>
        <w:tc>
          <w:tcPr>
            <w:tcW w:w="5289" w:type="dxa"/>
            <w:tcBorders>
              <w:top w:val="nil"/>
              <w:left w:val="nil"/>
              <w:bottom w:val="nil"/>
              <w:right w:val="nil"/>
            </w:tcBorders>
            <w:tcMar>
              <w:top w:w="0" w:type="dxa"/>
              <w:left w:w="62" w:type="dxa"/>
              <w:bottom w:w="0" w:type="dxa"/>
              <w:right w:w="62" w:type="dxa"/>
            </w:tcMar>
          </w:tcPr>
          <w:p w:rsidR="00000000" w:rsidRPr="00EE075E" w:rsidP="00EE075E">
            <w:pPr>
              <w:pStyle w:val="List"/>
            </w:pPr>
            <w:r w:rsidRPr="00EE075E">
              <w:t>5.1</w:t>
            </w:r>
            <w:r w:rsidRPr="00EE075E">
              <w:tab/>
              <w:t>Personnel/contractors are informed of amended daily bin allotments, bin allocations and loco runs</w:t>
            </w:r>
          </w:p>
          <w:p w:rsidR="00000000" w:rsidRPr="00EE075E" w:rsidP="00EE075E">
            <w:pPr>
              <w:pStyle w:val="List"/>
            </w:pPr>
            <w:r w:rsidRPr="00EE075E">
              <w:t>5.2</w:t>
            </w:r>
            <w:r w:rsidRPr="00EE075E">
              <w:tab/>
              <w:t>Drivers are advised of amended cane bin delivery</w:t>
            </w:r>
            <w:r w:rsidRPr="00EE075E">
              <w:t xml:space="preserve"> and pick-up requirements</w:t>
            </w:r>
          </w:p>
          <w:p w:rsidR="00000000" w:rsidRPr="00EE075E" w:rsidP="00EE075E">
            <w:pPr>
              <w:pStyle w:val="List"/>
            </w:pPr>
            <w:r w:rsidRPr="00EE075E">
              <w:t>5.3</w:t>
            </w:r>
            <w:r w:rsidRPr="00EE075E">
              <w:tab/>
              <w:t>Potential disruptions to supply are identified and communicated as required by workplace operating procedures</w:t>
            </w:r>
          </w:p>
        </w:tc>
      </w:tr>
    </w:tbl>
    <w:p w:rsidR="00000000" w:rsidRPr="00EE075E" w:rsidP="00EE075E">
      <w:pPr>
        <w:pStyle w:val="BodyText"/>
      </w:pPr>
    </w:p>
    <w:p w:rsidR="00000000" w:rsidRPr="00EE075E" w:rsidP="00EE075E">
      <w:pPr>
        <w:pStyle w:val="AllowPageBreak"/>
      </w:pPr>
    </w:p>
    <w:p w:rsidR="00000000" w:rsidRPr="00EE075E" w:rsidP="00EE075E">
      <w:pPr>
        <w:pStyle w:val="Heading1"/>
      </w:pPr>
      <w:bookmarkStart w:id="9" w:name="O_149615"/>
      <w:bookmarkEnd w:id="9"/>
      <w:r w:rsidRPr="00EE075E">
        <w:t>Required Skills and Knowledge</w:t>
      </w:r>
    </w:p>
    <w:p w:rsidR="00000000" w:rsidRPr="00EE075E" w:rsidP="00EE075E">
      <w:pPr>
        <w:pStyle w:val="BodyText"/>
      </w:pPr>
      <w:r w:rsidRPr="00EE075E">
        <w:t>Not applicable.</w:t>
      </w:r>
    </w:p>
    <w:p w:rsidR="00000000" w:rsidRPr="00EE075E" w:rsidP="00EE075E">
      <w:pPr>
        <w:pStyle w:val="AllowPageBreak"/>
      </w:pPr>
    </w:p>
    <w:p w:rsidR="00000000" w:rsidRPr="00EE075E" w:rsidP="00EE075E">
      <w:pPr>
        <w:pStyle w:val="Heading1"/>
      </w:pPr>
      <w:bookmarkStart w:id="10" w:name="O_149616"/>
      <w:bookmarkEnd w:id="10"/>
      <w:r w:rsidRPr="00EE075E">
        <w:t>Evidence Guide</w:t>
      </w:r>
    </w:p>
    <w:p w:rsidR="00000000" w:rsidRPr="00EE075E" w:rsidP="00EE075E">
      <w:pPr>
        <w:pStyle w:val="BodyText"/>
      </w:pPr>
      <w:r w:rsidRPr="00EE075E">
        <w:rPr>
          <w:rStyle w:val="SpecialBold"/>
        </w:rPr>
        <w:t>Evidence guide</w:t>
      </w:r>
    </w:p>
    <w:p w:rsidR="00000000" w:rsidRPr="00EE075E" w:rsidP="00EE075E">
      <w:pPr>
        <w:pStyle w:val="BodyText"/>
      </w:pPr>
      <w:r w:rsidRPr="00EE075E">
        <w:t>The assessment process must address all of the following items of evidence.</w:t>
      </w:r>
    </w:p>
    <w:p w:rsidR="00000000" w:rsidRPr="00EE075E" w:rsidP="00EE075E">
      <w:pPr>
        <w:pStyle w:val="BodyText"/>
      </w:pPr>
      <w:r w:rsidRPr="00EE075E">
        <w:rPr>
          <w:rStyle w:val="SpecialBold"/>
        </w:rPr>
        <w:t>Ability to</w:t>
      </w:r>
      <w:r w:rsidRPr="00EE075E">
        <w:t>:</w:t>
      </w:r>
    </w:p>
    <w:p w:rsidR="00000000" w:rsidRPr="00EE075E" w:rsidP="00EE075E">
      <w:pPr>
        <w:pStyle w:val="List"/>
      </w:pPr>
      <w:r w:rsidRPr="00EE075E">
        <w:t>1.</w:t>
      </w:r>
      <w:r w:rsidRPr="00EE075E">
        <w:tab/>
        <w:t>Access workplace information to identify status of mill schedule and harvest rosters</w:t>
      </w:r>
    </w:p>
    <w:p w:rsidR="00000000" w:rsidRPr="00EE075E" w:rsidP="00EE075E">
      <w:pPr>
        <w:pStyle w:val="List"/>
      </w:pPr>
      <w:r w:rsidRPr="00EE075E">
        <w:t>2.</w:t>
      </w:r>
      <w:r w:rsidRPr="00EE075E">
        <w:tab/>
        <w:t>Apply workplace information to calculate zero hour according to workplace pro</w:t>
      </w:r>
      <w:r w:rsidRPr="00EE075E">
        <w:t>cedure</w:t>
      </w:r>
    </w:p>
    <w:p w:rsidR="00000000" w:rsidRPr="00EE075E" w:rsidP="00EE075E">
      <w:pPr>
        <w:pStyle w:val="List"/>
      </w:pPr>
      <w:r w:rsidRPr="00EE075E">
        <w:t>3.</w:t>
      </w:r>
      <w:r w:rsidRPr="00EE075E">
        <w:tab/>
        <w:t>Communicate zero hour to affected personnel</w:t>
      </w:r>
    </w:p>
    <w:p w:rsidR="00000000" w:rsidRPr="00EE075E" w:rsidP="00EE075E">
      <w:pPr>
        <w:pStyle w:val="List"/>
      </w:pPr>
      <w:r w:rsidRPr="00EE075E">
        <w:t>4.</w:t>
      </w:r>
      <w:r w:rsidRPr="00EE075E">
        <w:tab/>
        <w:t>Amend daily schedule bin allotments and bin allocations to take account of variables affecting achievement of schedule</w:t>
      </w:r>
    </w:p>
    <w:p w:rsidR="00000000" w:rsidRPr="00EE075E" w:rsidP="00EE075E">
      <w:pPr>
        <w:pStyle w:val="List"/>
      </w:pPr>
      <w:r w:rsidRPr="00EE075E">
        <w:t>5.</w:t>
      </w:r>
      <w:r w:rsidRPr="00EE075E">
        <w:tab/>
        <w:t>Monitor work progress and respond to update schedule as required</w:t>
      </w:r>
    </w:p>
    <w:p w:rsidR="00000000" w:rsidRPr="00EE075E" w:rsidP="00EE075E">
      <w:pPr>
        <w:pStyle w:val="List"/>
      </w:pPr>
      <w:r w:rsidRPr="00EE075E">
        <w:t>6.</w:t>
      </w:r>
      <w:r w:rsidRPr="00EE075E">
        <w:tab/>
        <w:t>Respond t</w:t>
      </w:r>
      <w:r w:rsidRPr="00EE075E">
        <w:t>o unplanned events to minimise disruption and optimise efficiency</w:t>
      </w:r>
    </w:p>
    <w:p w:rsidR="00000000" w:rsidRPr="00EE075E" w:rsidP="00EE075E">
      <w:pPr>
        <w:pStyle w:val="List"/>
      </w:pPr>
      <w:r w:rsidRPr="00EE075E">
        <w:t>7.</w:t>
      </w:r>
      <w:r w:rsidRPr="00EE075E">
        <w:tab/>
        <w:t>Use communication systems and equipment to inform affected personnel of changes to schedule</w:t>
      </w:r>
    </w:p>
    <w:p w:rsidR="00000000" w:rsidRPr="00EE075E" w:rsidP="00EE075E">
      <w:pPr>
        <w:pStyle w:val="List"/>
      </w:pPr>
      <w:r w:rsidRPr="00EE075E">
        <w:t>8.</w:t>
      </w:r>
      <w:r w:rsidRPr="00EE075E">
        <w:tab/>
        <w:t>Confirm that resources and personnel are available to meet amended schedule and if not, take</w:t>
      </w:r>
      <w:r w:rsidRPr="00EE075E">
        <w:t xml:space="preserve"> action to secure requirements</w:t>
      </w:r>
    </w:p>
    <w:p w:rsidR="00000000" w:rsidRPr="00EE075E" w:rsidP="00EE075E">
      <w:pPr>
        <w:pStyle w:val="List"/>
      </w:pPr>
      <w:r w:rsidRPr="00EE075E">
        <w:t>9.</w:t>
      </w:r>
      <w:r w:rsidRPr="00EE075E">
        <w:tab/>
        <w:t>Demonstrate workplace procedures for co-ordinating transport departures and arrivals to meet schedule requirements</w:t>
      </w:r>
    </w:p>
    <w:p w:rsidR="00000000" w:rsidRPr="00EE075E" w:rsidP="00EE075E">
      <w:pPr>
        <w:pStyle w:val="List"/>
      </w:pPr>
      <w:r w:rsidRPr="00EE075E">
        <w:t>10.</w:t>
      </w:r>
      <w:r w:rsidRPr="00EE075E">
        <w:tab/>
      </w:r>
      <w:r w:rsidRPr="00EE075E">
        <w:t>Demonstrate workplace procedures for reallocating cane bin deliveries to harvesters in cases of factory/harvester breakdowns</w:t>
      </w:r>
    </w:p>
    <w:p w:rsidR="00000000" w:rsidRPr="00EE075E" w:rsidP="00EE075E">
      <w:pPr>
        <w:pStyle w:val="List"/>
      </w:pPr>
      <w:r w:rsidRPr="00EE075E">
        <w:t>11.</w:t>
      </w:r>
      <w:r w:rsidRPr="00EE075E">
        <w:tab/>
        <w:t>Maintain workplace records and submit amendments for approval as required by workplace procedures</w:t>
      </w:r>
    </w:p>
    <w:p w:rsidR="00000000" w:rsidRPr="00EE075E" w:rsidP="00EE075E">
      <w:pPr>
        <w:pStyle w:val="BodyText"/>
      </w:pPr>
      <w:r w:rsidRPr="00EE075E">
        <w:rPr>
          <w:rStyle w:val="SpecialBold"/>
        </w:rPr>
        <w:t>Knowledge of</w:t>
      </w:r>
      <w:r w:rsidRPr="00EE075E">
        <w:t>:</w:t>
      </w:r>
    </w:p>
    <w:p w:rsidR="00000000" w:rsidRPr="00EE075E" w:rsidP="00EE075E">
      <w:pPr>
        <w:pStyle w:val="List"/>
      </w:pPr>
      <w:r w:rsidRPr="00EE075E">
        <w:t>12.</w:t>
      </w:r>
      <w:r w:rsidRPr="00EE075E">
        <w:tab/>
        <w:t>Relevant st</w:t>
      </w:r>
      <w:r w:rsidRPr="00EE075E">
        <w:t>ate OHS legislation, standards and codes of practice relating to work responsibilities</w:t>
      </w:r>
    </w:p>
    <w:p w:rsidR="00000000" w:rsidRPr="00EE075E" w:rsidP="00EE075E">
      <w:pPr>
        <w:pStyle w:val="List"/>
      </w:pPr>
      <w:r w:rsidRPr="00EE075E">
        <w:t>13.</w:t>
      </w:r>
      <w:r w:rsidRPr="00EE075E">
        <w:tab/>
        <w:t>Safe work procedures including awareness of health and safety hazards related to work responsibilities and associated control measures</w:t>
      </w:r>
    </w:p>
    <w:p w:rsidR="00000000" w:rsidRPr="00EE075E" w:rsidP="00EE075E">
      <w:pPr>
        <w:pStyle w:val="List"/>
      </w:pPr>
      <w:r w:rsidRPr="00EE075E">
        <w:t>14.</w:t>
      </w:r>
      <w:r w:rsidRPr="00EE075E">
        <w:tab/>
        <w:t>Factors taken into account</w:t>
      </w:r>
      <w:r w:rsidRPr="00EE075E">
        <w:t xml:space="preserve"> in planning the schedule including the inter-relationships between factors. Factors typically include but are not limited to:</w:t>
      </w:r>
    </w:p>
    <w:p w:rsidR="00000000" w:rsidRPr="00EE075E" w:rsidP="00EE075E">
      <w:pPr>
        <w:pStyle w:val="ListBullet"/>
      </w:pPr>
      <w:r w:rsidRPr="00EE075E">
        <w:t>planned crushing rate</w:t>
      </w:r>
    </w:p>
    <w:p w:rsidR="00000000" w:rsidRPr="00EE075E" w:rsidP="00EE075E">
      <w:pPr>
        <w:pStyle w:val="ListBullet"/>
      </w:pPr>
      <w:r w:rsidRPr="00EE075E">
        <w:t>current stocks (yards and sidings)</w:t>
      </w:r>
    </w:p>
    <w:p w:rsidR="00000000" w:rsidRPr="00EE075E" w:rsidP="00EE075E">
      <w:pPr>
        <w:pStyle w:val="ListBullet"/>
      </w:pPr>
      <w:r w:rsidRPr="00EE075E">
        <w:t>yard and siding capacities</w:t>
      </w:r>
    </w:p>
    <w:p w:rsidR="00000000" w:rsidRPr="00EE075E" w:rsidP="00EE075E">
      <w:pPr>
        <w:pStyle w:val="ListBullet"/>
      </w:pPr>
      <w:r w:rsidRPr="00EE075E">
        <w:t>average bin weights</w:t>
      </w:r>
    </w:p>
    <w:p w:rsidR="00000000" w:rsidRPr="00EE075E" w:rsidP="00EE075E">
      <w:pPr>
        <w:pStyle w:val="ListBullet"/>
      </w:pPr>
      <w:r w:rsidRPr="00EE075E">
        <w:t>harvesting rosters</w:t>
      </w:r>
    </w:p>
    <w:p w:rsidR="00000000" w:rsidRPr="00EE075E" w:rsidP="00EE075E">
      <w:pPr>
        <w:pStyle w:val="ListBullet"/>
      </w:pPr>
      <w:r w:rsidRPr="00EE075E">
        <w:t>cut-t</w:t>
      </w:r>
      <w:r w:rsidRPr="00EE075E">
        <w:t>o-crush delays</w:t>
      </w:r>
    </w:p>
    <w:p w:rsidR="00000000" w:rsidRPr="00EE075E" w:rsidP="00EE075E">
      <w:pPr>
        <w:pStyle w:val="ListBullet"/>
      </w:pPr>
      <w:r w:rsidRPr="00EE075E">
        <w:t>loco loads and performance</w:t>
      </w:r>
    </w:p>
    <w:p w:rsidR="00000000" w:rsidRPr="00EE075E" w:rsidP="00EE075E">
      <w:pPr>
        <w:pStyle w:val="ListBullet"/>
      </w:pPr>
      <w:r w:rsidRPr="00EE075E">
        <w:t>bin fleet size and availability</w:t>
      </w:r>
    </w:p>
    <w:p w:rsidR="00000000" w:rsidRPr="00EE075E" w:rsidP="00EE075E">
      <w:pPr>
        <w:pStyle w:val="ListBullet"/>
      </w:pPr>
      <w:r w:rsidRPr="00EE075E">
        <w:t>rail network capacity</w:t>
      </w:r>
    </w:p>
    <w:p w:rsidR="00000000" w:rsidRPr="00EE075E" w:rsidP="00EE075E">
      <w:pPr>
        <w:pStyle w:val="ListBullet"/>
      </w:pPr>
      <w:r w:rsidRPr="00EE075E">
        <w:t>labour requirements and availability</w:t>
      </w:r>
    </w:p>
    <w:p w:rsidR="00000000" w:rsidRPr="00EE075E" w:rsidP="00EE075E">
      <w:pPr>
        <w:pStyle w:val="List"/>
      </w:pPr>
      <w:r w:rsidRPr="00EE075E">
        <w:t>15.</w:t>
      </w:r>
      <w:r w:rsidRPr="00EE075E">
        <w:tab/>
        <w:t>Purpose and procedure for calculating zero hour</w:t>
      </w:r>
    </w:p>
    <w:p w:rsidR="00000000" w:rsidRPr="00EE075E" w:rsidP="00EE075E">
      <w:pPr>
        <w:pStyle w:val="List"/>
      </w:pPr>
      <w:r w:rsidRPr="00EE075E">
        <w:t>16.</w:t>
      </w:r>
      <w:r w:rsidRPr="00EE075E">
        <w:tab/>
        <w:t>Purpose and use of a computerized traffic systems</w:t>
      </w:r>
    </w:p>
    <w:p w:rsidR="00000000" w:rsidRPr="00EE075E" w:rsidP="00EE075E">
      <w:pPr>
        <w:pStyle w:val="List"/>
      </w:pPr>
      <w:r w:rsidRPr="00EE075E">
        <w:t>17.</w:t>
      </w:r>
      <w:r w:rsidRPr="00EE075E">
        <w:tab/>
        <w:t xml:space="preserve">Factors that </w:t>
      </w:r>
      <w:r w:rsidRPr="00EE075E">
        <w:t>can affect the calculation of zero hour including:</w:t>
      </w:r>
    </w:p>
    <w:p w:rsidR="00000000" w:rsidRPr="00EE075E" w:rsidP="00EE075E">
      <w:pPr>
        <w:pStyle w:val="ListBullet"/>
      </w:pPr>
      <w:r w:rsidRPr="00EE075E">
        <w:t>factory performance. This includes planned and unplanned mill stops</w:t>
      </w:r>
    </w:p>
    <w:p w:rsidR="00000000" w:rsidRPr="00EE075E" w:rsidP="00EE075E">
      <w:pPr>
        <w:pStyle w:val="ListBullet"/>
      </w:pPr>
      <w:r w:rsidRPr="00EE075E">
        <w:t>weather</w:t>
      </w:r>
    </w:p>
    <w:p w:rsidR="00000000" w:rsidRPr="00EE075E" w:rsidP="00EE075E">
      <w:pPr>
        <w:pStyle w:val="ListBullet"/>
      </w:pPr>
      <w:r w:rsidRPr="00EE075E">
        <w:t xml:space="preserve">transport system delays including locomotive/motor truck breakdown </w:t>
      </w:r>
    </w:p>
    <w:p w:rsidR="00000000" w:rsidRPr="00EE075E" w:rsidP="00EE075E">
      <w:pPr>
        <w:pStyle w:val="ListBullet"/>
      </w:pPr>
      <w:r w:rsidRPr="00EE075E">
        <w:t>availability of empty bins, taking into account mixed bin fleet if appropriate</w:t>
      </w:r>
    </w:p>
    <w:p w:rsidR="00000000" w:rsidRPr="00EE075E" w:rsidP="00EE075E">
      <w:pPr>
        <w:pStyle w:val="ListBullet"/>
      </w:pPr>
      <w:r w:rsidRPr="00EE075E">
        <w:t>availability of full-yard space</w:t>
      </w:r>
    </w:p>
    <w:p w:rsidR="00000000" w:rsidRPr="00EE075E" w:rsidP="00EE075E">
      <w:pPr>
        <w:pStyle w:val="ListBullet"/>
      </w:pPr>
      <w:r w:rsidRPr="00EE075E">
        <w:t>availability of empty-yard space</w:t>
      </w:r>
    </w:p>
    <w:p w:rsidR="00000000" w:rsidRPr="00EE075E" w:rsidP="00EE075E">
      <w:pPr>
        <w:pStyle w:val="ListBullet"/>
      </w:pPr>
      <w:r w:rsidRPr="00EE075E">
        <w:t>siding status</w:t>
      </w:r>
    </w:p>
    <w:p w:rsidR="00000000" w:rsidRPr="00EE075E" w:rsidP="00EE075E">
      <w:pPr>
        <w:pStyle w:val="ListBullet"/>
      </w:pPr>
      <w:r w:rsidRPr="00EE075E">
        <w:t>track infrastructure condition</w:t>
      </w:r>
    </w:p>
    <w:p w:rsidR="00000000" w:rsidRPr="00EE075E" w:rsidP="00EE075E">
      <w:pPr>
        <w:pStyle w:val="ListBullet"/>
      </w:pPr>
      <w:r w:rsidRPr="00EE075E">
        <w:t>harvester failure</w:t>
      </w:r>
    </w:p>
    <w:p w:rsidR="00000000" w:rsidRPr="00EE075E" w:rsidP="00EE075E">
      <w:pPr>
        <w:pStyle w:val="List"/>
      </w:pPr>
      <w:r w:rsidRPr="00EE075E">
        <w:t>18.</w:t>
      </w:r>
      <w:r w:rsidRPr="00EE075E">
        <w:tab/>
        <w:t>Relevant personnel and factory departments to</w:t>
      </w:r>
      <w:r w:rsidRPr="00EE075E">
        <w:t xml:space="preserve"> be notified of zero hour and related amendments to schedule. This includes an understanding of the information relevant to each group/person</w:t>
      </w:r>
    </w:p>
    <w:p w:rsidR="00000000" w:rsidRPr="00EE075E" w:rsidP="00EE075E">
      <w:pPr>
        <w:pStyle w:val="List"/>
      </w:pPr>
      <w:r w:rsidRPr="00EE075E">
        <w:t>19.</w:t>
      </w:r>
      <w:r w:rsidRPr="00EE075E">
        <w:tab/>
        <w:t>Standard allocation of bins to a group and procedure for adjusting allocations</w:t>
      </w:r>
    </w:p>
    <w:p w:rsidR="00000000" w:rsidRPr="00EE075E" w:rsidP="00EE075E">
      <w:pPr>
        <w:pStyle w:val="List"/>
      </w:pPr>
      <w:r w:rsidRPr="00EE075E">
        <w:t>20.</w:t>
      </w:r>
      <w:r w:rsidRPr="00EE075E">
        <w:tab/>
        <w:t>Communication systems, prot</w:t>
      </w:r>
      <w:r w:rsidRPr="00EE075E">
        <w:t>ocols and standards when using 2-way radios</w:t>
      </w:r>
    </w:p>
    <w:p w:rsidR="00000000" w:rsidRPr="00EE075E" w:rsidP="00EE075E">
      <w:pPr>
        <w:pStyle w:val="List"/>
      </w:pPr>
      <w:r w:rsidRPr="00EE075E">
        <w:t>21.</w:t>
      </w:r>
      <w:r w:rsidRPr="00EE075E">
        <w:tab/>
        <w:t xml:space="preserve">Awareness of conditions that are unusual or unplanned and related options for response. This includes an understanding of implications of different options for maintaining the continuous and efficient supply </w:t>
      </w:r>
      <w:r w:rsidRPr="00EE075E">
        <w:t>of cane</w:t>
      </w:r>
    </w:p>
    <w:p w:rsidR="00000000" w:rsidRPr="00EE075E" w:rsidP="00EE075E">
      <w:pPr>
        <w:pStyle w:val="List"/>
      </w:pPr>
      <w:r w:rsidRPr="00EE075E">
        <w:t>22.</w:t>
      </w:r>
      <w:r w:rsidRPr="00EE075E">
        <w:tab/>
        <w:t>Factors that impact on efficient performance. These include:</w:t>
      </w:r>
    </w:p>
    <w:p w:rsidR="00000000" w:rsidRPr="00EE075E" w:rsidP="00EE075E">
      <w:pPr>
        <w:pStyle w:val="ListBullet"/>
      </w:pPr>
      <w:r w:rsidRPr="00EE075E">
        <w:t>labour</w:t>
      </w:r>
    </w:p>
    <w:p w:rsidR="00000000" w:rsidRPr="00EE075E" w:rsidP="00EE075E">
      <w:pPr>
        <w:pStyle w:val="ListBullet"/>
      </w:pPr>
      <w:r w:rsidRPr="00EE075E">
        <w:t>crib breaks</w:t>
      </w:r>
    </w:p>
    <w:p w:rsidR="00000000" w:rsidRPr="00EE075E" w:rsidP="00EE075E">
      <w:pPr>
        <w:pStyle w:val="ListBullet"/>
      </w:pPr>
      <w:r w:rsidRPr="00EE075E">
        <w:t>holding locos</w:t>
      </w:r>
    </w:p>
    <w:p w:rsidR="00000000" w:rsidRPr="00EE075E" w:rsidP="00EE075E">
      <w:pPr>
        <w:pStyle w:val="ListBullet"/>
      </w:pPr>
      <w:r w:rsidRPr="00EE075E">
        <w:t>waiting time (last bin)</w:t>
      </w:r>
    </w:p>
    <w:p w:rsidR="00000000" w:rsidRPr="00EE075E" w:rsidP="00EE075E">
      <w:pPr>
        <w:pStyle w:val="ListBullet"/>
      </w:pPr>
      <w:r w:rsidRPr="00EE075E">
        <w:t>fuel use</w:t>
      </w:r>
    </w:p>
    <w:p w:rsidR="00000000" w:rsidRPr="00EE075E" w:rsidP="00EE075E">
      <w:pPr>
        <w:pStyle w:val="ListBullet"/>
      </w:pPr>
      <w:r w:rsidRPr="00EE075E">
        <w:t>loads</w:t>
      </w:r>
    </w:p>
    <w:p w:rsidR="00000000" w:rsidRPr="00EE075E" w:rsidP="00EE075E">
      <w:pPr>
        <w:pStyle w:val="ListBullet"/>
      </w:pPr>
      <w:r w:rsidRPr="00EE075E">
        <w:t>scheduled cleaning and programmed maintenance.</w:t>
      </w:r>
    </w:p>
    <w:p w:rsidR="00000000" w:rsidRPr="00EE075E" w:rsidP="00EE075E">
      <w:pPr>
        <w:pStyle w:val="List"/>
      </w:pPr>
      <w:r w:rsidRPr="00EE075E">
        <w:t>23.</w:t>
      </w:r>
      <w:r w:rsidRPr="00EE075E">
        <w:tab/>
        <w:t>Relevant OH&amp;S and environmental requirements</w:t>
      </w:r>
    </w:p>
    <w:p w:rsidR="00000000" w:rsidRPr="00EE075E" w:rsidP="00EE075E">
      <w:pPr>
        <w:pStyle w:val="List"/>
      </w:pPr>
      <w:r w:rsidRPr="00EE075E">
        <w:t>24.</w:t>
      </w:r>
      <w:r w:rsidRPr="00EE075E">
        <w:tab/>
      </w:r>
      <w:r w:rsidRPr="00EE075E">
        <w:t>Procedures for responding to emergency situations</w:t>
      </w:r>
    </w:p>
    <w:p w:rsidR="00000000" w:rsidRPr="00EE075E" w:rsidP="00EE075E">
      <w:pPr>
        <w:pStyle w:val="BodyText"/>
      </w:pPr>
      <w:r w:rsidRPr="00EE075E">
        <w:rPr>
          <w:rStyle w:val="SpecialBold"/>
        </w:rPr>
        <w:t>Relationship with other standards</w:t>
      </w:r>
    </w:p>
    <w:p w:rsidR="00000000" w:rsidRPr="00EE075E" w:rsidP="00EE075E">
      <w:pPr>
        <w:pStyle w:val="BodyText"/>
      </w:pPr>
      <w:r w:rsidRPr="00EE075E">
        <w:rPr>
          <w:rStyle w:val="Emphasis"/>
        </w:rPr>
        <w:t>Pre</w:t>
      </w:r>
      <w:r w:rsidRPr="00EE075E">
        <w:t>-</w:t>
      </w:r>
      <w:r w:rsidRPr="00EE075E">
        <w:rPr>
          <w:rStyle w:val="Emphasis"/>
        </w:rPr>
        <w:t>requisite units</w:t>
      </w:r>
    </w:p>
    <w:p w:rsidR="00000000" w:rsidRPr="00EE075E" w:rsidP="00EE075E">
      <w:pPr>
        <w:pStyle w:val="BodyText"/>
      </w:pPr>
      <w:r w:rsidRPr="00EE075E">
        <w:t>There are no pre-requisite units for this competency standard.</w:t>
      </w:r>
    </w:p>
    <w:p w:rsidR="00000000" w:rsidRPr="00EE075E" w:rsidP="00EE075E">
      <w:pPr>
        <w:pStyle w:val="BodyText"/>
      </w:pPr>
      <w:r w:rsidRPr="00EE075E">
        <w:rPr>
          <w:rStyle w:val="Emphasis"/>
        </w:rPr>
        <w:t>Co</w:t>
      </w:r>
      <w:r w:rsidRPr="00EE075E">
        <w:t>-</w:t>
      </w:r>
      <w:r w:rsidRPr="00EE075E">
        <w:rPr>
          <w:rStyle w:val="Emphasis"/>
        </w:rPr>
        <w:t>assessment of related units</w:t>
      </w:r>
    </w:p>
    <w:p w:rsidR="00000000" w:rsidRPr="00EE075E" w:rsidP="00EE075E">
      <w:pPr>
        <w:pStyle w:val="BodyText"/>
      </w:pPr>
      <w:r w:rsidRPr="00EE075E">
        <w:t>Other units of competency relevant to the work role should</w:t>
      </w:r>
      <w:r w:rsidRPr="00EE075E">
        <w:t xml:space="preserve"> be assessed in conjunction with this unit.</w:t>
      </w:r>
    </w:p>
    <w:p w:rsidR="00000000" w:rsidRPr="00EE075E" w:rsidP="00EE075E">
      <w:pPr>
        <w:pStyle w:val="BodyText"/>
      </w:pPr>
      <w:r w:rsidRPr="00EE075E">
        <w:rPr>
          <w:rStyle w:val="SpecialBold"/>
        </w:rPr>
        <w:t>Resources required for assessment</w:t>
      </w:r>
    </w:p>
    <w:p w:rsidR="00000000" w:rsidRPr="00EE075E" w:rsidP="00EE075E">
      <w:pPr>
        <w:pStyle w:val="BodyText"/>
      </w:pPr>
      <w:r w:rsidRPr="00EE075E">
        <w:t xml:space="preserve">Assessment must occur in a real or simulated workplace where the assessee has access to: </w:t>
      </w:r>
    </w:p>
    <w:p w:rsidR="00000000" w:rsidRPr="00EE075E" w:rsidP="00EE075E">
      <w:pPr>
        <w:pStyle w:val="ListBullet"/>
      </w:pPr>
      <w:r w:rsidRPr="00EE075E">
        <w:t>Transport system and associated information and communication systems and equipment</w:t>
      </w:r>
    </w:p>
    <w:p w:rsidR="00000000" w:rsidRPr="00EE075E" w:rsidP="00EE075E">
      <w:pPr>
        <w:pStyle w:val="ListBullet"/>
      </w:pPr>
      <w:r w:rsidRPr="00EE075E">
        <w:t>Rel</w:t>
      </w:r>
      <w:r w:rsidRPr="00EE075E">
        <w:t>evant codes of practice and industry standards</w:t>
      </w:r>
    </w:p>
    <w:p w:rsidR="00000000" w:rsidRPr="00EE075E" w:rsidP="00EE075E">
      <w:pPr>
        <w:pStyle w:val="ListBullet"/>
      </w:pPr>
      <w:r w:rsidRPr="00EE075E">
        <w:t>Workplace information required to assess, adjust and monitor work progress against schedule</w:t>
      </w:r>
    </w:p>
    <w:p w:rsidR="00000000" w:rsidRPr="00EE075E" w:rsidP="00EE075E">
      <w:pPr>
        <w:pStyle w:val="ListBullet"/>
      </w:pPr>
      <w:r w:rsidRPr="00EE075E">
        <w:t>Operating procedures related to work responsibilities</w:t>
      </w:r>
    </w:p>
    <w:p w:rsidR="00000000" w:rsidRPr="00EE075E" w:rsidP="00EE075E">
      <w:pPr>
        <w:pStyle w:val="ListBullet"/>
      </w:pPr>
      <w:r w:rsidRPr="00EE075E">
        <w:t>Housekeeping standards and procedures</w:t>
      </w:r>
    </w:p>
    <w:p w:rsidR="00000000" w:rsidRPr="00EE075E" w:rsidP="00EE075E">
      <w:pPr>
        <w:pStyle w:val="ListBullet"/>
      </w:pPr>
      <w:r w:rsidRPr="00EE075E">
        <w:t>Workplace information rec</w:t>
      </w:r>
      <w:r w:rsidRPr="00EE075E">
        <w:t>ording systems, requirements and procedures</w:t>
      </w:r>
    </w:p>
    <w:p w:rsidR="00000000" w:rsidRPr="00EE075E" w:rsidP="00EE075E">
      <w:pPr>
        <w:pStyle w:val="BodyText"/>
      </w:pPr>
      <w:r w:rsidRPr="00EE075E">
        <w:rPr>
          <w:rStyle w:val="SpecialBold"/>
        </w:rPr>
        <w:t>Assessment requirements</w:t>
      </w:r>
    </w:p>
    <w:p w:rsidR="00B312DB" w:rsidP="00EE075E">
      <w:pPr>
        <w:pStyle w:val="BodyText"/>
      </w:pPr>
      <w:r w:rsidRPr="00EE075E">
        <w:t>For information on how to assess this competency standard and who can assess, refer to the Assessment Guidelines for this Training Package.</w:t>
      </w:r>
    </w:p>
    <w:p w:rsidR="00B312DB" w:rsidP="00EE075E">
      <w:pPr>
        <w:pStyle w:val="BodyText"/>
      </w:pPr>
    </w:p>
    <w:p w:rsidR="00000000" w:rsidRPr="00EE075E" w:rsidP="00EE075E">
      <w:pPr>
        <w:pStyle w:val="Heading1"/>
      </w:pPr>
      <w:bookmarkStart w:id="11" w:name="O_149617"/>
      <w:bookmarkEnd w:id="11"/>
      <w:r w:rsidRPr="00EE075E">
        <w:t>Range Statement</w:t>
      </w:r>
    </w:p>
    <w:p w:rsidR="00000000" w:rsidRPr="00EE075E" w:rsidP="00EE075E">
      <w:pPr>
        <w:pStyle w:val="BodyText"/>
      </w:pPr>
      <w:r w:rsidRPr="00EE075E">
        <w:rPr>
          <w:rStyle w:val="SpecialBold"/>
        </w:rPr>
        <w:t>Range statement</w:t>
      </w:r>
    </w:p>
    <w:p w:rsidR="00000000" w:rsidRPr="00EE075E" w:rsidP="00EE075E">
      <w:pPr>
        <w:pStyle w:val="BodyText"/>
      </w:pPr>
      <w:r w:rsidRPr="00EE075E">
        <w:t>The range statement indicates the context for demonstrating competence. This statement is a guide and unless otherwise indicated, items may or may not apply as required by the work context.</w:t>
      </w:r>
    </w:p>
    <w:p w:rsidR="00000000" w:rsidRPr="00EE075E" w:rsidP="00EE075E">
      <w:pPr>
        <w:pStyle w:val="ListBullet"/>
      </w:pPr>
      <w:r w:rsidRPr="00EE075E">
        <w:t>Work is carried out in accordance with company po</w:t>
      </w:r>
      <w:r w:rsidRPr="00EE075E">
        <w:t>licies and procedures, licensing requirements, legislative requirements, codes of practice and industrial awards and agreements. Codes of practice include the Sugar Milling Operations Industry Code of Practice and sugar industry codes of practice related t</w:t>
      </w:r>
      <w:r w:rsidRPr="00EE075E">
        <w:t xml:space="preserve">o cane railway and transport operations </w:t>
      </w:r>
    </w:p>
    <w:p w:rsidR="00000000" w:rsidRPr="00EE075E" w:rsidP="00EE075E">
      <w:pPr>
        <w:pStyle w:val="ListBullet"/>
      </w:pPr>
      <w:r w:rsidRPr="00EE075E">
        <w:t>Workplace information can include master schedule, bin allotments, mill crushing rates and schedules and harvesting rosters</w:t>
      </w:r>
    </w:p>
    <w:p w:rsidR="00000000" w:rsidRPr="00EE075E" w:rsidP="00EE075E">
      <w:pPr>
        <w:pStyle w:val="ListBullet"/>
      </w:pPr>
      <w:r w:rsidRPr="00EE075E">
        <w:t>Work may require the ability to work within a team environment</w:t>
      </w:r>
    </w:p>
    <w:p w:rsidR="00B312DB" w:rsidP="00EE075E">
      <w:pPr>
        <w:pStyle w:val="ListBullet"/>
      </w:pPr>
      <w:r w:rsidRPr="00EE075E">
        <w:t>Communication methods includ</w:t>
      </w:r>
      <w:r w:rsidRPr="00EE075E">
        <w:t>e use of two-way radios used in accordance with workplace requirements and state authority protocols</w:t>
      </w:r>
    </w:p>
    <w:p w:rsidR="00B312DB" w:rsidP="00EE075E">
      <w:pPr>
        <w:pStyle w:val="ListBullet"/>
      </w:pPr>
    </w:p>
    <w:p w:rsidR="00000000" w:rsidRPr="00EE075E" w:rsidP="00EE075E">
      <w:pPr>
        <w:pStyle w:val="Heading1"/>
      </w:pPr>
      <w:bookmarkStart w:id="12" w:name="O_149618"/>
      <w:bookmarkEnd w:id="12"/>
      <w:r w:rsidRPr="00EE075E">
        <w:t>Unit Sector(s)</w:t>
      </w:r>
    </w:p>
    <w:p w:rsidR="00000000" w:rsidRPr="00EE075E" w:rsidP="00EE075E">
      <w:pPr>
        <w:pStyle w:val="BodyText"/>
      </w:pPr>
      <w:r w:rsidRPr="00EE075E">
        <w:t>Not applicable.</w:t>
      </w:r>
    </w:p>
    <w:p w:rsidR="00000000" w:rsidRPr="00EE075E" w:rsidP="00EE075E"/>
    <w:sectPr w:rsidSect="00EE07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7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12DB" w:rsidP="00B312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7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2DB" w:rsidP="00EE07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312DB" w:rsidP="00EE07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312DB" w:rsidP="00EE07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7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12DB" w:rsidP="00B312D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7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2DB" w:rsidP="00EE075E">
    <w:pPr>
      <w:pStyle w:val="Header"/>
      <w:framePr w:wrap="around"/>
    </w:pPr>
    <w:r>
      <w:fldChar w:fldCharType="begin"/>
    </w:r>
    <w:r>
      <w:instrText xml:space="preserve"> TITLE   \* MERGEFORMAT </w:instrText>
    </w:r>
    <w:r>
      <w:fldChar w:fldCharType="separate"/>
    </w:r>
    <w:r>
      <w:t>SUGTASD3A Adjust schedule(s) to meet daily workplace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312DB" w:rsidP="00EE07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DA38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46A5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7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075E"/>
    <w:pPr>
      <w:spacing w:before="360" w:after="60"/>
      <w:outlineLvl w:val="0"/>
    </w:pPr>
    <w:rPr>
      <w:sz w:val="32"/>
    </w:rPr>
  </w:style>
  <w:style w:type="paragraph" w:styleId="Heading2">
    <w:name w:val="heading 2"/>
    <w:basedOn w:val="HeadingBase"/>
    <w:next w:val="BodyText"/>
    <w:link w:val="Heading2Char"/>
    <w:qFormat/>
    <w:rsid w:val="00EE075E"/>
    <w:pPr>
      <w:keepLines/>
      <w:spacing w:before="240" w:after="120"/>
      <w:outlineLvl w:val="1"/>
    </w:pPr>
    <w:rPr>
      <w:sz w:val="28"/>
      <w:szCs w:val="40"/>
    </w:rPr>
  </w:style>
  <w:style w:type="paragraph" w:styleId="Heading3">
    <w:name w:val="heading 3"/>
    <w:basedOn w:val="HeadingBase"/>
    <w:next w:val="BodyText"/>
    <w:link w:val="Heading3Char"/>
    <w:qFormat/>
    <w:rsid w:val="00EE075E"/>
    <w:pPr>
      <w:spacing w:before="180" w:after="120"/>
      <w:outlineLvl w:val="2"/>
    </w:pPr>
    <w:rPr>
      <w:spacing w:val="-10"/>
      <w:kern w:val="32"/>
    </w:rPr>
  </w:style>
  <w:style w:type="paragraph" w:styleId="Heading4">
    <w:name w:val="heading 4"/>
    <w:basedOn w:val="HeadingBase"/>
    <w:next w:val="BodyText"/>
    <w:link w:val="Heading4Char"/>
    <w:qFormat/>
    <w:rsid w:val="00EE075E"/>
    <w:pPr>
      <w:spacing w:before="160" w:after="120"/>
      <w:outlineLvl w:val="3"/>
    </w:pPr>
    <w:rPr>
      <w:sz w:val="22"/>
    </w:rPr>
  </w:style>
  <w:style w:type="paragraph" w:styleId="Heading5">
    <w:name w:val="heading 5"/>
    <w:basedOn w:val="HeadingBase"/>
    <w:next w:val="Normal"/>
    <w:link w:val="Heading5Char"/>
    <w:qFormat/>
    <w:rsid w:val="00EE075E"/>
    <w:pPr>
      <w:spacing w:before="80"/>
      <w:outlineLvl w:val="4"/>
    </w:pPr>
    <w:rPr>
      <w:color w:val="918585"/>
      <w:sz w:val="20"/>
    </w:rPr>
  </w:style>
  <w:style w:type="paragraph" w:styleId="Heading6">
    <w:name w:val="heading 6"/>
    <w:basedOn w:val="HeadingBase"/>
    <w:next w:val="Normal"/>
    <w:link w:val="Heading6Char"/>
    <w:qFormat/>
    <w:rsid w:val="00EE075E"/>
    <w:pPr>
      <w:spacing w:before="60"/>
      <w:outlineLvl w:val="5"/>
    </w:pPr>
    <w:rPr>
      <w:color w:val="918585"/>
      <w:sz w:val="20"/>
    </w:rPr>
  </w:style>
  <w:style w:type="paragraph" w:styleId="Heading7">
    <w:name w:val="heading 7"/>
    <w:basedOn w:val="Normal"/>
    <w:next w:val="Normal"/>
    <w:link w:val="Heading7Char"/>
    <w:qFormat/>
    <w:rsid w:val="00EE075E"/>
    <w:pPr>
      <w:ind w:left="720"/>
      <w:outlineLvl w:val="6"/>
    </w:pPr>
    <w:rPr>
      <w:i/>
    </w:rPr>
  </w:style>
  <w:style w:type="paragraph" w:styleId="Heading8">
    <w:name w:val="heading 8"/>
    <w:basedOn w:val="Normal"/>
    <w:next w:val="Normal"/>
    <w:link w:val="Heading8Char"/>
    <w:qFormat/>
    <w:rsid w:val="00EE075E"/>
    <w:pPr>
      <w:ind w:left="720"/>
      <w:outlineLvl w:val="7"/>
    </w:pPr>
    <w:rPr>
      <w:i/>
    </w:rPr>
  </w:style>
  <w:style w:type="paragraph" w:styleId="Heading9">
    <w:name w:val="heading 9"/>
    <w:basedOn w:val="Normal"/>
    <w:next w:val="Normal"/>
    <w:link w:val="Heading9Char"/>
    <w:qFormat/>
    <w:rsid w:val="00EE075E"/>
    <w:pPr>
      <w:ind w:left="720"/>
      <w:outlineLvl w:val="8"/>
    </w:pPr>
    <w:rPr>
      <w:i/>
    </w:rPr>
  </w:style>
  <w:style w:type="character" w:default="1" w:styleId="DefaultParagraphFont">
    <w:name w:val="Default Paragraph Font"/>
    <w:uiPriority w:val="1"/>
    <w:unhideWhenUsed/>
    <w:rsid w:val="00EE07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075E"/>
  </w:style>
  <w:style w:type="character" w:customStyle="1" w:styleId="Heading1Char">
    <w:name w:val="Heading 1 Char"/>
    <w:link w:val="Heading1"/>
    <w:rsid w:val="00EE075E"/>
    <w:rPr>
      <w:rFonts w:ascii="Times New Roman" w:eastAsia="Times New Roman" w:hAnsi="Times New Roman" w:cs="Times New Roman"/>
      <w:b/>
      <w:sz w:val="32"/>
      <w:szCs w:val="20"/>
      <w:lang w:eastAsia="en-US"/>
    </w:rPr>
  </w:style>
  <w:style w:type="paragraph" w:styleId="BodyText">
    <w:name w:val="Body Text"/>
    <w:basedOn w:val="Normal"/>
    <w:link w:val="BodyTextChar"/>
    <w:rsid w:val="00EE075E"/>
    <w:pPr>
      <w:spacing w:before="120" w:after="120"/>
      <w:contextualSpacing/>
    </w:pPr>
    <w:rPr>
      <w:rFonts w:ascii="Times New Roman" w:hAnsi="Times New Roman"/>
      <w:sz w:val="24"/>
      <w:szCs w:val="22"/>
    </w:rPr>
  </w:style>
  <w:style w:type="character" w:customStyle="1" w:styleId="BodyTextChar">
    <w:name w:val="Body Text Char"/>
    <w:link w:val="BodyText"/>
    <w:rsid w:val="00EE075E"/>
    <w:rPr>
      <w:rFonts w:ascii="Times New Roman" w:eastAsia="Times New Roman" w:hAnsi="Times New Roman" w:cs="Times New Roman"/>
      <w:sz w:val="24"/>
      <w:lang w:val="en-US" w:eastAsia="en-US"/>
    </w:rPr>
  </w:style>
  <w:style w:type="paragraph" w:styleId="Footer">
    <w:name w:val="footer"/>
    <w:basedOn w:val="Normal"/>
    <w:link w:val="FooterChar"/>
    <w:rsid w:val="00EE07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E075E"/>
    <w:rPr>
      <w:rFonts w:ascii="Times New Roman" w:eastAsia="Times New Roman" w:hAnsi="Times New Roman" w:cs="Times New Roman"/>
      <w:sz w:val="16"/>
      <w:lang w:val="en-US" w:eastAsia="en-US"/>
    </w:rPr>
  </w:style>
  <w:style w:type="paragraph" w:styleId="List">
    <w:name w:val="List"/>
    <w:basedOn w:val="BodyText"/>
    <w:next w:val="BodyText"/>
    <w:rsid w:val="00EE075E"/>
    <w:pPr>
      <w:tabs>
        <w:tab w:val="left" w:pos="340"/>
      </w:tabs>
      <w:spacing w:before="60" w:after="60"/>
      <w:ind w:left="340" w:hanging="340"/>
    </w:pPr>
  </w:style>
  <w:style w:type="paragraph" w:styleId="ListBullet">
    <w:name w:val="List Bullet"/>
    <w:basedOn w:val="List"/>
    <w:rsid w:val="00EE075E"/>
    <w:pPr>
      <w:numPr>
        <w:numId w:val="12"/>
      </w:numPr>
      <w:tabs>
        <w:tab w:val="clear" w:pos="340"/>
      </w:tabs>
      <w:spacing w:before="40" w:after="40"/>
    </w:pPr>
  </w:style>
  <w:style w:type="character" w:customStyle="1" w:styleId="SpecialBold">
    <w:name w:val="Special Bold"/>
    <w:rsid w:val="00EE075E"/>
    <w:rPr>
      <w:b/>
      <w:spacing w:val="0"/>
    </w:rPr>
  </w:style>
  <w:style w:type="paragraph" w:styleId="Header">
    <w:name w:val="header"/>
    <w:basedOn w:val="Normal"/>
    <w:link w:val="HeaderChar"/>
    <w:rsid w:val="00EE07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E075E"/>
    <w:rPr>
      <w:rFonts w:ascii="Times New Roman" w:eastAsia="Times New Roman" w:hAnsi="Times New Roman" w:cs="Times New Roman"/>
      <w:sz w:val="16"/>
      <w:szCs w:val="20"/>
      <w:lang w:val="en-GB" w:eastAsia="en-US"/>
    </w:rPr>
  </w:style>
  <w:style w:type="character" w:styleId="Emphasis">
    <w:name w:val="Emphasis"/>
    <w:qFormat/>
    <w:rsid w:val="00EE075E"/>
    <w:rPr>
      <w:i/>
    </w:rPr>
  </w:style>
  <w:style w:type="paragraph" w:customStyle="1" w:styleId="SuperHeading">
    <w:name w:val="SuperHeading"/>
    <w:basedOn w:val="Normal"/>
    <w:rsid w:val="00EE075E"/>
    <w:pPr>
      <w:spacing w:before="240" w:after="120"/>
      <w:outlineLvl w:val="0"/>
    </w:pPr>
    <w:rPr>
      <w:rFonts w:ascii="Times New Roman" w:hAnsi="Times New Roman"/>
      <w:b/>
      <w:sz w:val="28"/>
    </w:rPr>
  </w:style>
  <w:style w:type="paragraph" w:customStyle="1" w:styleId="AllowPageBreak">
    <w:name w:val="AllowPageBreak"/>
    <w:rsid w:val="00EE07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E075E"/>
    <w:rPr>
      <w:rFonts w:ascii="Times New Roman" w:eastAsia="Times New Roman" w:hAnsi="Times New Roman" w:cs="Times New Roman"/>
      <w:b/>
      <w:sz w:val="28"/>
      <w:szCs w:val="40"/>
      <w:lang w:eastAsia="en-US"/>
    </w:rPr>
  </w:style>
  <w:style w:type="character" w:customStyle="1" w:styleId="Heading3Char">
    <w:name w:val="Heading 3 Char"/>
    <w:link w:val="Heading3"/>
    <w:rsid w:val="00EE075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E075E"/>
    <w:rPr>
      <w:rFonts w:ascii="Times New Roman" w:eastAsia="Times New Roman" w:hAnsi="Times New Roman" w:cs="Times New Roman"/>
      <w:b/>
      <w:szCs w:val="20"/>
      <w:lang w:eastAsia="en-US"/>
    </w:rPr>
  </w:style>
  <w:style w:type="character" w:customStyle="1" w:styleId="Heading5Char">
    <w:name w:val="Heading 5 Char"/>
    <w:link w:val="Heading5"/>
    <w:rsid w:val="00EE075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E07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07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07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075E"/>
    <w:rPr>
      <w:rFonts w:ascii="Courier New" w:eastAsia="Times New Roman" w:hAnsi="Courier New" w:cs="Times New Roman"/>
      <w:i/>
      <w:szCs w:val="20"/>
      <w:lang w:val="en-US" w:eastAsia="en-US"/>
    </w:rPr>
  </w:style>
  <w:style w:type="paragraph" w:customStyle="1" w:styleId="HeadingBase">
    <w:name w:val="Heading Base"/>
    <w:rsid w:val="00EE07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075E"/>
    <w:pPr>
      <w:tabs>
        <w:tab w:val="right" w:leader="dot" w:pos="9072"/>
      </w:tabs>
      <w:ind w:left="567"/>
    </w:pPr>
    <w:rPr>
      <w:szCs w:val="22"/>
    </w:rPr>
  </w:style>
  <w:style w:type="paragraph" w:customStyle="1" w:styleId="TOCBase">
    <w:name w:val="TOC Base"/>
    <w:rsid w:val="00EE07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075E"/>
    <w:pPr>
      <w:tabs>
        <w:tab w:val="right" w:leader="dot" w:pos="9072"/>
      </w:tabs>
      <w:spacing w:before="40" w:after="40"/>
      <w:ind w:left="284"/>
    </w:pPr>
    <w:rPr>
      <w:rFonts w:ascii="Times New Roman" w:hAnsi="Times New Roman"/>
    </w:rPr>
  </w:style>
  <w:style w:type="paragraph" w:styleId="TOC1">
    <w:name w:val="toc 1"/>
    <w:basedOn w:val="TOCBase"/>
    <w:next w:val="Normal"/>
    <w:rsid w:val="00EE07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075E"/>
    <w:pPr>
      <w:spacing w:before="5040"/>
      <w:jc w:val="center"/>
    </w:pPr>
    <w:rPr>
      <w:sz w:val="48"/>
      <w:szCs w:val="72"/>
      <w:lang w:val="en-US"/>
    </w:rPr>
  </w:style>
  <w:style w:type="character" w:customStyle="1" w:styleId="TitleChar">
    <w:name w:val="Title Char"/>
    <w:link w:val="Title"/>
    <w:rsid w:val="00EE07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075E"/>
    <w:pPr>
      <w:tabs>
        <w:tab w:val="left" w:pos="3600"/>
        <w:tab w:val="left" w:pos="3958"/>
      </w:tabs>
    </w:pPr>
  </w:style>
  <w:style w:type="paragraph" w:customStyle="1" w:styleId="Note">
    <w:name w:val="Note"/>
    <w:basedOn w:val="BodyText"/>
    <w:rsid w:val="00EE07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075E"/>
    <w:pPr>
      <w:framePr w:wrap="auto" w:hAnchor="text" w:y="6049"/>
    </w:pPr>
    <w:rPr>
      <w:color w:val="000000"/>
      <w:sz w:val="40"/>
    </w:rPr>
  </w:style>
  <w:style w:type="paragraph" w:customStyle="1" w:styleId="TOCTitle">
    <w:name w:val="TOCTitle"/>
    <w:basedOn w:val="Heading1"/>
    <w:rsid w:val="00EE075E"/>
    <w:pPr>
      <w:spacing w:after="240"/>
      <w:jc w:val="center"/>
      <w:outlineLvl w:val="9"/>
    </w:pPr>
    <w:rPr>
      <w:caps/>
    </w:rPr>
  </w:style>
  <w:style w:type="paragraph" w:customStyle="1" w:styleId="Version">
    <w:name w:val="Version"/>
    <w:rsid w:val="00EE07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075E"/>
    <w:pPr>
      <w:numPr>
        <w:numId w:val="13"/>
      </w:numPr>
      <w:tabs>
        <w:tab w:val="clear" w:pos="680"/>
      </w:tabs>
    </w:pPr>
  </w:style>
  <w:style w:type="paragraph" w:styleId="Index1">
    <w:name w:val="index 1"/>
    <w:basedOn w:val="Normal"/>
    <w:next w:val="Normal"/>
    <w:semiHidden/>
    <w:rsid w:val="00EE075E"/>
    <w:pPr>
      <w:keepNext w:val="0"/>
      <w:tabs>
        <w:tab w:val="right" w:pos="4176"/>
      </w:tabs>
      <w:ind w:left="198" w:hanging="198"/>
    </w:pPr>
    <w:rPr>
      <w:rFonts w:ascii="Garamond" w:hAnsi="Garamond"/>
    </w:rPr>
  </w:style>
  <w:style w:type="paragraph" w:styleId="IndexHeading">
    <w:name w:val="index heading"/>
    <w:basedOn w:val="Normal"/>
    <w:next w:val="Index1"/>
    <w:semiHidden/>
    <w:rsid w:val="00EE075E"/>
    <w:pPr>
      <w:spacing w:before="120" w:after="120"/>
    </w:pPr>
    <w:rPr>
      <w:rFonts w:ascii="Arial" w:hAnsi="Arial"/>
      <w:b/>
      <w:color w:val="918585"/>
      <w:sz w:val="24"/>
    </w:rPr>
  </w:style>
  <w:style w:type="paragraph" w:customStyle="1" w:styleId="Chapter">
    <w:name w:val="Chapter"/>
    <w:basedOn w:val="Normal"/>
    <w:rsid w:val="00EE075E"/>
    <w:pPr>
      <w:spacing w:before="240"/>
    </w:pPr>
    <w:rPr>
      <w:rFonts w:ascii="Times New Roman" w:hAnsi="Times New Roman"/>
      <w:smallCaps/>
      <w:spacing w:val="80"/>
      <w:sz w:val="28"/>
    </w:rPr>
  </w:style>
  <w:style w:type="paragraph" w:customStyle="1" w:styleId="InChapter">
    <w:name w:val="InChapter"/>
    <w:basedOn w:val="Heading3"/>
    <w:rsid w:val="00EE075E"/>
    <w:pPr>
      <w:spacing w:after="240"/>
      <w:outlineLvl w:val="9"/>
    </w:pPr>
    <w:rPr>
      <w:noProof/>
    </w:rPr>
  </w:style>
  <w:style w:type="paragraph" w:styleId="Index2">
    <w:name w:val="index 2"/>
    <w:basedOn w:val="Normal"/>
    <w:next w:val="Normal"/>
    <w:semiHidden/>
    <w:rsid w:val="00EE075E"/>
    <w:pPr>
      <w:tabs>
        <w:tab w:val="right" w:pos="4176"/>
      </w:tabs>
      <w:ind w:left="568" w:hanging="284"/>
    </w:pPr>
    <w:rPr>
      <w:rFonts w:ascii="Garamond" w:hAnsi="Garamond"/>
    </w:rPr>
  </w:style>
  <w:style w:type="paragraph" w:customStyle="1" w:styleId="Byline">
    <w:name w:val="Byline"/>
    <w:rsid w:val="00EE07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075E"/>
    <w:pPr>
      <w:tabs>
        <w:tab w:val="clear" w:pos="3600"/>
        <w:tab w:val="clear" w:pos="3958"/>
      </w:tabs>
      <w:jc w:val="right"/>
    </w:pPr>
  </w:style>
  <w:style w:type="paragraph" w:styleId="Caption">
    <w:name w:val="caption"/>
    <w:basedOn w:val="BodyText"/>
    <w:next w:val="Normal"/>
    <w:qFormat/>
    <w:rsid w:val="00EE075E"/>
    <w:pPr>
      <w:framePr w:w="2268" w:hSpace="181" w:vSpace="181" w:wrap="around" w:vAnchor="text" w:hAnchor="page" w:x="1135" w:y="285" w:anchorLock="1"/>
    </w:pPr>
    <w:rPr>
      <w:i/>
    </w:rPr>
  </w:style>
  <w:style w:type="paragraph" w:customStyle="1" w:styleId="MiniTOCTitle">
    <w:name w:val="MiniTOCTitle"/>
    <w:basedOn w:val="Heading4"/>
    <w:rsid w:val="00EE075E"/>
    <w:pPr>
      <w:spacing w:before="240"/>
      <w:outlineLvl w:val="9"/>
    </w:pPr>
    <w:rPr>
      <w:noProof/>
      <w:sz w:val="24"/>
    </w:rPr>
  </w:style>
  <w:style w:type="paragraph" w:customStyle="1" w:styleId="MiniTOCItem">
    <w:name w:val="MiniTOCItem"/>
    <w:basedOn w:val="ListBullet"/>
    <w:rsid w:val="00EE075E"/>
    <w:pPr>
      <w:numPr>
        <w:numId w:val="0"/>
      </w:numPr>
      <w:tabs>
        <w:tab w:val="right" w:leader="dot" w:pos="6521"/>
      </w:tabs>
      <w:spacing w:before="0" w:after="0"/>
    </w:pPr>
  </w:style>
  <w:style w:type="paragraph" w:customStyle="1" w:styleId="TOFTitle">
    <w:name w:val="TOFTitle"/>
    <w:basedOn w:val="TOCTitle"/>
    <w:rsid w:val="00EE075E"/>
  </w:style>
  <w:style w:type="paragraph" w:styleId="TableofFigures">
    <w:name w:val="table of figures"/>
    <w:basedOn w:val="Normal"/>
    <w:next w:val="Normal"/>
    <w:semiHidden/>
    <w:rsid w:val="00EE075E"/>
    <w:pPr>
      <w:tabs>
        <w:tab w:val="right" w:leader="dot" w:pos="9072"/>
      </w:tabs>
      <w:ind w:left="970" w:hanging="403"/>
    </w:pPr>
    <w:rPr>
      <w:rFonts w:ascii="Times New Roman" w:hAnsi="Times New Roman"/>
      <w:b/>
    </w:rPr>
  </w:style>
  <w:style w:type="paragraph" w:styleId="ListNumber">
    <w:name w:val="List Number"/>
    <w:basedOn w:val="List"/>
    <w:rsid w:val="00EE075E"/>
    <w:pPr>
      <w:numPr>
        <w:numId w:val="10"/>
      </w:numPr>
    </w:pPr>
  </w:style>
  <w:style w:type="character" w:customStyle="1" w:styleId="WingdingSymbols">
    <w:name w:val="Wingding Symbols"/>
    <w:rsid w:val="00EE075E"/>
    <w:rPr>
      <w:rFonts w:ascii="Wingdings" w:hAnsi="Wingdings"/>
    </w:rPr>
  </w:style>
  <w:style w:type="paragraph" w:customStyle="1" w:styleId="TableHeading">
    <w:name w:val="Table Heading"/>
    <w:basedOn w:val="HeadingBase"/>
    <w:rsid w:val="00EE075E"/>
    <w:pPr>
      <w:keepLines/>
      <w:pBdr>
        <w:bottom w:val="single" w:sz="6" w:space="1" w:color="918585"/>
      </w:pBdr>
      <w:spacing w:before="240"/>
    </w:pPr>
  </w:style>
  <w:style w:type="character" w:customStyle="1" w:styleId="HotSpot">
    <w:name w:val="HotSpot"/>
    <w:rsid w:val="00EE075E"/>
    <w:rPr>
      <w:color w:val="0033CC"/>
      <w:u w:val="none"/>
    </w:rPr>
  </w:style>
  <w:style w:type="paragraph" w:customStyle="1" w:styleId="BodyTextRight">
    <w:name w:val="Body Text Right"/>
    <w:basedOn w:val="BodyText"/>
    <w:rsid w:val="00EE075E"/>
    <w:pPr>
      <w:spacing w:before="0" w:after="0"/>
      <w:jc w:val="right"/>
    </w:pPr>
  </w:style>
  <w:style w:type="paragraph" w:styleId="Index3">
    <w:name w:val="index 3"/>
    <w:basedOn w:val="ListNumber2"/>
    <w:next w:val="Normal"/>
    <w:semiHidden/>
    <w:rsid w:val="00EE075E"/>
    <w:pPr>
      <w:numPr>
        <w:numId w:val="0"/>
      </w:numPr>
      <w:tabs>
        <w:tab w:val="right" w:leader="dot" w:pos="4176"/>
      </w:tabs>
    </w:pPr>
  </w:style>
  <w:style w:type="paragraph" w:styleId="ListNumber2">
    <w:name w:val="List Number 2"/>
    <w:basedOn w:val="List2"/>
    <w:rsid w:val="00EE075E"/>
    <w:pPr>
      <w:numPr>
        <w:numId w:val="9"/>
      </w:numPr>
      <w:tabs>
        <w:tab w:val="clear" w:pos="1060"/>
      </w:tabs>
    </w:pPr>
  </w:style>
  <w:style w:type="paragraph" w:customStyle="1" w:styleId="MarginNote">
    <w:name w:val="Margin Note"/>
    <w:basedOn w:val="BodyText"/>
    <w:rsid w:val="00EE07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07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E07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075E"/>
    <w:rPr>
      <w:sz w:val="32"/>
    </w:rPr>
  </w:style>
  <w:style w:type="paragraph" w:customStyle="1" w:styleId="HeadingProcedure">
    <w:name w:val="Heading Procedure"/>
    <w:basedOn w:val="HeadingBase"/>
    <w:next w:val="Normal"/>
    <w:rsid w:val="00EE075E"/>
    <w:pPr>
      <w:tabs>
        <w:tab w:val="left" w:pos="0"/>
      </w:tabs>
      <w:spacing w:before="120" w:after="60"/>
    </w:pPr>
    <w:rPr>
      <w:i/>
      <w:color w:val="918585"/>
      <w:sz w:val="22"/>
    </w:rPr>
  </w:style>
  <w:style w:type="paragraph" w:customStyle="1" w:styleId="TableBodyText">
    <w:name w:val="Table Body Text"/>
    <w:basedOn w:val="BodyText"/>
    <w:rsid w:val="00EE075E"/>
    <w:pPr>
      <w:spacing w:before="60" w:after="60"/>
    </w:pPr>
  </w:style>
  <w:style w:type="paragraph" w:styleId="ListContinue">
    <w:name w:val="List Continue"/>
    <w:basedOn w:val="List"/>
    <w:rsid w:val="00EE075E"/>
    <w:pPr>
      <w:ind w:firstLine="0"/>
    </w:pPr>
  </w:style>
  <w:style w:type="paragraph" w:customStyle="1" w:styleId="ListNote">
    <w:name w:val="List Note"/>
    <w:basedOn w:val="List"/>
    <w:rsid w:val="00EE075E"/>
    <w:pPr>
      <w:pBdr>
        <w:top w:val="single" w:sz="6" w:space="2" w:color="918585"/>
        <w:bottom w:val="single" w:sz="6" w:space="2" w:color="918585"/>
      </w:pBdr>
      <w:tabs>
        <w:tab w:val="left" w:pos="1021"/>
      </w:tabs>
      <w:ind w:firstLine="0"/>
    </w:pPr>
  </w:style>
  <w:style w:type="paragraph" w:customStyle="1" w:styleId="Warning">
    <w:name w:val="Warning"/>
    <w:basedOn w:val="BodyText"/>
    <w:rsid w:val="00EE075E"/>
    <w:pPr>
      <w:shd w:val="clear" w:color="auto" w:fill="D9D9D9"/>
      <w:tabs>
        <w:tab w:val="left" w:pos="992"/>
      </w:tabs>
      <w:ind w:left="119" w:right="119"/>
    </w:pPr>
    <w:rPr>
      <w:sz w:val="20"/>
    </w:rPr>
  </w:style>
  <w:style w:type="paragraph" w:customStyle="1" w:styleId="MarginIcons">
    <w:name w:val="Margin Icons"/>
    <w:basedOn w:val="BodyText"/>
    <w:rsid w:val="00EE075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E075E"/>
    <w:rPr>
      <w:rFonts w:ascii="Courier New" w:hAnsi="Courier New"/>
    </w:rPr>
  </w:style>
  <w:style w:type="paragraph" w:customStyle="1" w:styleId="NoteBullet">
    <w:name w:val="Note Bullet"/>
    <w:basedOn w:val="Note"/>
    <w:rsid w:val="00EE075E"/>
    <w:pPr>
      <w:tabs>
        <w:tab w:val="clear" w:pos="680"/>
      </w:tabs>
      <w:spacing w:before="60" w:after="60"/>
    </w:pPr>
  </w:style>
  <w:style w:type="paragraph" w:customStyle="1" w:styleId="SubHeading2">
    <w:name w:val="SubHeading2"/>
    <w:basedOn w:val="HeadingBase"/>
    <w:rsid w:val="00EE075E"/>
    <w:pPr>
      <w:spacing w:before="240" w:after="60"/>
    </w:pPr>
    <w:rPr>
      <w:sz w:val="20"/>
    </w:rPr>
  </w:style>
  <w:style w:type="paragraph" w:customStyle="1" w:styleId="SubHeading1">
    <w:name w:val="SubHeading1"/>
    <w:basedOn w:val="HeadingBase"/>
    <w:rsid w:val="00EE075E"/>
    <w:pPr>
      <w:spacing w:before="240" w:after="60"/>
    </w:pPr>
    <w:rPr>
      <w:color w:val="918585"/>
      <w:sz w:val="22"/>
    </w:rPr>
  </w:style>
  <w:style w:type="paragraph" w:customStyle="1" w:styleId="SideHeading">
    <w:name w:val="Side Heading"/>
    <w:basedOn w:val="HeadingBase"/>
    <w:rsid w:val="00EE07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075E"/>
    <w:pPr>
      <w:tabs>
        <w:tab w:val="num" w:pos="360"/>
      </w:tabs>
    </w:pPr>
  </w:style>
  <w:style w:type="paragraph" w:styleId="PlainText">
    <w:name w:val="Plain Text"/>
    <w:basedOn w:val="Normal"/>
    <w:link w:val="PlainTextChar"/>
    <w:rsid w:val="00EE075E"/>
    <w:rPr>
      <w:sz w:val="20"/>
    </w:rPr>
  </w:style>
  <w:style w:type="character" w:customStyle="1" w:styleId="PlainTextChar">
    <w:name w:val="Plain Text Char"/>
    <w:basedOn w:val="DefaultParagraphFont"/>
    <w:link w:val="PlainText"/>
    <w:rsid w:val="00EE075E"/>
    <w:rPr>
      <w:rFonts w:ascii="Courier New" w:eastAsia="Times New Roman" w:hAnsi="Courier New" w:cs="Times New Roman"/>
      <w:sz w:val="20"/>
      <w:szCs w:val="20"/>
      <w:lang w:val="en-US" w:eastAsia="en-US"/>
    </w:rPr>
  </w:style>
  <w:style w:type="character" w:customStyle="1" w:styleId="MenuOption">
    <w:name w:val="Menu Option"/>
    <w:rsid w:val="00EE075E"/>
    <w:rPr>
      <w:b/>
      <w:smallCaps/>
    </w:rPr>
  </w:style>
  <w:style w:type="paragraph" w:customStyle="1" w:styleId="TableListNumber">
    <w:name w:val="Table List Number"/>
    <w:basedOn w:val="ListNumber"/>
    <w:rsid w:val="00EE075E"/>
    <w:pPr>
      <w:numPr>
        <w:numId w:val="0"/>
      </w:numPr>
    </w:pPr>
  </w:style>
  <w:style w:type="paragraph" w:styleId="TOC4">
    <w:name w:val="toc 4"/>
    <w:basedOn w:val="TOCBase"/>
    <w:next w:val="Normal"/>
    <w:semiHidden/>
    <w:rsid w:val="00EE075E"/>
    <w:pPr>
      <w:tabs>
        <w:tab w:val="right" w:leader="dot" w:pos="9071"/>
      </w:tabs>
      <w:ind w:left="1701"/>
    </w:pPr>
  </w:style>
  <w:style w:type="paragraph" w:customStyle="1" w:styleId="ListAlpha">
    <w:name w:val="List Alpha"/>
    <w:basedOn w:val="List"/>
    <w:rsid w:val="00EE075E"/>
    <w:pPr>
      <w:numPr>
        <w:numId w:val="8"/>
      </w:numPr>
    </w:pPr>
  </w:style>
  <w:style w:type="paragraph" w:customStyle="1" w:styleId="ListAlpha2">
    <w:name w:val="List Alpha 2"/>
    <w:basedOn w:val="List2"/>
    <w:rsid w:val="00EE075E"/>
    <w:pPr>
      <w:numPr>
        <w:numId w:val="7"/>
      </w:numPr>
    </w:pPr>
  </w:style>
  <w:style w:type="paragraph" w:styleId="List2">
    <w:name w:val="List 2"/>
    <w:basedOn w:val="BodyText"/>
    <w:rsid w:val="00EE075E"/>
    <w:pPr>
      <w:tabs>
        <w:tab w:val="left" w:pos="680"/>
      </w:tabs>
      <w:spacing w:before="60" w:after="60"/>
      <w:ind w:left="680" w:hanging="340"/>
    </w:pPr>
  </w:style>
  <w:style w:type="paragraph" w:styleId="List3">
    <w:name w:val="List 3"/>
    <w:basedOn w:val="BodyText"/>
    <w:rsid w:val="00EE075E"/>
    <w:pPr>
      <w:tabs>
        <w:tab w:val="left" w:pos="1021"/>
      </w:tabs>
      <w:spacing w:before="60" w:after="60"/>
      <w:ind w:left="1020" w:hanging="340"/>
    </w:pPr>
  </w:style>
  <w:style w:type="paragraph" w:styleId="List4">
    <w:name w:val="List 4"/>
    <w:basedOn w:val="BodyText"/>
    <w:rsid w:val="00EE075E"/>
    <w:pPr>
      <w:tabs>
        <w:tab w:val="left" w:pos="1361"/>
      </w:tabs>
      <w:spacing w:before="60" w:after="60"/>
      <w:ind w:left="1361" w:hanging="340"/>
    </w:pPr>
  </w:style>
  <w:style w:type="paragraph" w:styleId="List5">
    <w:name w:val="List 5"/>
    <w:basedOn w:val="BodyText"/>
    <w:rsid w:val="00EE075E"/>
    <w:pPr>
      <w:tabs>
        <w:tab w:val="left" w:pos="1701"/>
      </w:tabs>
      <w:spacing w:before="60" w:after="60"/>
      <w:ind w:left="1701" w:hanging="340"/>
    </w:pPr>
  </w:style>
  <w:style w:type="paragraph" w:styleId="ListBullet3">
    <w:name w:val="List Bullet 3"/>
    <w:basedOn w:val="List3"/>
    <w:rsid w:val="00EE075E"/>
    <w:pPr>
      <w:numPr>
        <w:numId w:val="14"/>
      </w:numPr>
      <w:tabs>
        <w:tab w:val="clear" w:pos="1021"/>
      </w:tabs>
      <w:ind w:left="1037" w:hanging="357"/>
    </w:pPr>
  </w:style>
  <w:style w:type="paragraph" w:styleId="ListBullet4">
    <w:name w:val="List Bullet 4"/>
    <w:basedOn w:val="List4"/>
    <w:rsid w:val="00EE075E"/>
    <w:pPr>
      <w:numPr>
        <w:numId w:val="2"/>
      </w:numPr>
    </w:pPr>
  </w:style>
  <w:style w:type="paragraph" w:styleId="ListBullet5">
    <w:name w:val="List Bullet 5"/>
    <w:basedOn w:val="List5"/>
    <w:rsid w:val="00EE075E"/>
    <w:pPr>
      <w:numPr>
        <w:numId w:val="3"/>
      </w:numPr>
    </w:pPr>
  </w:style>
  <w:style w:type="paragraph" w:styleId="ListContinue2">
    <w:name w:val="List Continue 2"/>
    <w:basedOn w:val="List2"/>
    <w:rsid w:val="00EE075E"/>
    <w:pPr>
      <w:ind w:firstLine="0"/>
    </w:pPr>
  </w:style>
  <w:style w:type="paragraph" w:styleId="ListContinue3">
    <w:name w:val="List Continue 3"/>
    <w:basedOn w:val="List3"/>
    <w:rsid w:val="00EE075E"/>
    <w:pPr>
      <w:ind w:left="1021" w:firstLine="0"/>
    </w:pPr>
  </w:style>
  <w:style w:type="paragraph" w:styleId="ListContinue4">
    <w:name w:val="List Continue 4"/>
    <w:basedOn w:val="List4"/>
    <w:rsid w:val="00EE075E"/>
    <w:pPr>
      <w:ind w:firstLine="0"/>
    </w:pPr>
  </w:style>
  <w:style w:type="paragraph" w:styleId="ListContinue5">
    <w:name w:val="List Continue 5"/>
    <w:basedOn w:val="List5"/>
    <w:rsid w:val="00EE075E"/>
    <w:pPr>
      <w:ind w:firstLine="0"/>
    </w:pPr>
  </w:style>
  <w:style w:type="paragraph" w:styleId="ListNumber3">
    <w:name w:val="List Number 3"/>
    <w:basedOn w:val="List3"/>
    <w:rsid w:val="00EE075E"/>
    <w:pPr>
      <w:numPr>
        <w:numId w:val="4"/>
      </w:numPr>
    </w:pPr>
  </w:style>
  <w:style w:type="paragraph" w:styleId="ListNumber4">
    <w:name w:val="List Number 4"/>
    <w:basedOn w:val="List4"/>
    <w:rsid w:val="00EE075E"/>
    <w:pPr>
      <w:numPr>
        <w:numId w:val="5"/>
      </w:numPr>
    </w:pPr>
  </w:style>
  <w:style w:type="paragraph" w:styleId="ListNumber5">
    <w:name w:val="List Number 5"/>
    <w:basedOn w:val="List5"/>
    <w:rsid w:val="00EE075E"/>
    <w:pPr>
      <w:numPr>
        <w:numId w:val="6"/>
      </w:numPr>
    </w:pPr>
  </w:style>
  <w:style w:type="paragraph" w:styleId="BlockText">
    <w:name w:val="Block Text"/>
    <w:basedOn w:val="Normal"/>
    <w:rsid w:val="00EE075E"/>
    <w:pPr>
      <w:spacing w:after="120"/>
      <w:ind w:left="1440" w:right="1440"/>
    </w:pPr>
  </w:style>
  <w:style w:type="character" w:customStyle="1" w:styleId="Subscript">
    <w:name w:val="Subscript"/>
    <w:rsid w:val="00EE075E"/>
    <w:rPr>
      <w:sz w:val="16"/>
      <w:vertAlign w:val="subscript"/>
    </w:rPr>
  </w:style>
  <w:style w:type="character" w:customStyle="1" w:styleId="Superscript">
    <w:name w:val="Superscript"/>
    <w:rsid w:val="00EE075E"/>
    <w:rPr>
      <w:sz w:val="16"/>
      <w:vertAlign w:val="superscript"/>
    </w:rPr>
  </w:style>
  <w:style w:type="character" w:customStyle="1" w:styleId="Symbols">
    <w:name w:val="Symbols"/>
    <w:rsid w:val="00EE075E"/>
    <w:rPr>
      <w:rFonts w:ascii="Symbol" w:hAnsi="Symbol"/>
    </w:rPr>
  </w:style>
  <w:style w:type="character" w:customStyle="1" w:styleId="MenuOptions">
    <w:name w:val="Menu Options"/>
    <w:rsid w:val="00EE075E"/>
    <w:rPr>
      <w:rFonts w:ascii="Arial Narrow" w:hAnsi="Arial Narrow"/>
      <w:smallCaps/>
    </w:rPr>
  </w:style>
  <w:style w:type="character" w:customStyle="1" w:styleId="Buttons">
    <w:name w:val="Buttons"/>
    <w:rsid w:val="00EE075E"/>
    <w:rPr>
      <w:b/>
    </w:rPr>
  </w:style>
  <w:style w:type="character" w:customStyle="1" w:styleId="Underlined">
    <w:name w:val="Underlined"/>
    <w:rsid w:val="00EE075E"/>
    <w:rPr>
      <w:u w:val="single"/>
    </w:rPr>
  </w:style>
  <w:style w:type="paragraph" w:customStyle="1" w:styleId="TableBodyTextRight">
    <w:name w:val="Table Body Text Right"/>
    <w:basedOn w:val="TableBodyText"/>
    <w:rsid w:val="00EE075E"/>
    <w:pPr>
      <w:widowControl w:val="0"/>
      <w:autoSpaceDE w:val="0"/>
      <w:autoSpaceDN w:val="0"/>
      <w:adjustRightInd w:val="0"/>
      <w:jc w:val="right"/>
    </w:pPr>
    <w:rPr>
      <w:rFonts w:cs="Arial"/>
      <w:szCs w:val="18"/>
    </w:rPr>
  </w:style>
  <w:style w:type="paragraph" w:customStyle="1" w:styleId="CopyrightText">
    <w:name w:val="Copyright Text"/>
    <w:basedOn w:val="BodyText"/>
    <w:rsid w:val="00EE075E"/>
    <w:rPr>
      <w:sz w:val="18"/>
    </w:rPr>
  </w:style>
  <w:style w:type="paragraph" w:customStyle="1" w:styleId="BodySmallRight">
    <w:name w:val="Body Small Right"/>
    <w:basedOn w:val="BodyTextRight"/>
    <w:rsid w:val="00EE075E"/>
    <w:rPr>
      <w:sz w:val="18"/>
      <w:szCs w:val="18"/>
    </w:rPr>
  </w:style>
  <w:style w:type="paragraph" w:customStyle="1" w:styleId="MarginEdition">
    <w:name w:val="Margin Edition"/>
    <w:basedOn w:val="MarginNote"/>
    <w:rsid w:val="00EE075E"/>
    <w:pPr>
      <w:spacing w:before="0" w:after="0"/>
    </w:pPr>
    <w:rPr>
      <w:rFonts w:ascii="Times New Roman" w:hAnsi="Times New Roman"/>
      <w:color w:val="999999"/>
    </w:rPr>
  </w:style>
  <w:style w:type="paragraph" w:customStyle="1" w:styleId="Spacer">
    <w:name w:val="Spacer"/>
    <w:basedOn w:val="Normal"/>
    <w:rsid w:val="00EE075E"/>
    <w:rPr>
      <w:sz w:val="2"/>
      <w:szCs w:val="2"/>
    </w:rPr>
  </w:style>
  <w:style w:type="character" w:customStyle="1" w:styleId="Small">
    <w:name w:val="Small"/>
    <w:rsid w:val="00EE075E"/>
    <w:rPr>
      <w:sz w:val="16"/>
    </w:rPr>
  </w:style>
  <w:style w:type="paragraph" w:customStyle="1" w:styleId="WideTable">
    <w:name w:val="Wide Table"/>
    <w:basedOn w:val="Normal"/>
    <w:rsid w:val="00EE075E"/>
    <w:pPr>
      <w:ind w:left="-1418"/>
    </w:pPr>
    <w:rPr>
      <w:sz w:val="2"/>
      <w:szCs w:val="2"/>
    </w:rPr>
  </w:style>
  <w:style w:type="character" w:styleId="PageNumber">
    <w:name w:val="page number"/>
    <w:rsid w:val="00EE075E"/>
  </w:style>
  <w:style w:type="paragraph" w:styleId="Quote">
    <w:name w:val="Quote"/>
    <w:basedOn w:val="Heading1"/>
    <w:link w:val="QuoteChar"/>
    <w:qFormat/>
    <w:rsid w:val="00EE075E"/>
    <w:rPr>
      <w:b w:val="0"/>
      <w:sz w:val="72"/>
      <w:szCs w:val="72"/>
      <w:lang w:val="en-NZ"/>
    </w:rPr>
  </w:style>
  <w:style w:type="character" w:customStyle="1" w:styleId="QuoteChar">
    <w:name w:val="Quote Char"/>
    <w:link w:val="Quote"/>
    <w:rsid w:val="00EE07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075E"/>
    <w:pPr>
      <w:pageBreakBefore/>
    </w:pPr>
  </w:style>
  <w:style w:type="paragraph" w:customStyle="1" w:styleId="Border">
    <w:name w:val="Border"/>
    <w:basedOn w:val="Normal"/>
    <w:qFormat/>
    <w:rsid w:val="00EE075E"/>
    <w:pPr>
      <w:pBdr>
        <w:top w:val="single" w:sz="18" w:space="1" w:color="auto"/>
      </w:pBdr>
    </w:pPr>
    <w:rPr>
      <w:rFonts w:ascii="Times New Roman" w:hAnsi="Times New Roman"/>
      <w:color w:val="FFFFFF"/>
      <w:sz w:val="2"/>
    </w:rPr>
  </w:style>
  <w:style w:type="character" w:styleId="IntenseEmphasis">
    <w:name w:val="Intense Emphasis"/>
    <w:uiPriority w:val="21"/>
    <w:qFormat/>
    <w:rsid w:val="00EE075E"/>
    <w:rPr>
      <w:b/>
      <w:bCs/>
      <w:i/>
      <w:iCs/>
      <w:color w:val="auto"/>
    </w:rPr>
  </w:style>
  <w:style w:type="paragraph" w:styleId="IntenseQuote">
    <w:name w:val="Intense Quote"/>
    <w:basedOn w:val="Normal"/>
    <w:next w:val="Normal"/>
    <w:link w:val="IntenseQuoteChar"/>
    <w:uiPriority w:val="30"/>
    <w:qFormat/>
    <w:rsid w:val="00EE075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E075E"/>
    <w:rPr>
      <w:rFonts w:ascii="Courier New" w:eastAsia="Times New Roman" w:hAnsi="Courier New" w:cs="Times New Roman"/>
      <w:b/>
      <w:bCs/>
      <w:i/>
      <w:iCs/>
      <w:szCs w:val="20"/>
      <w:lang w:val="en-US" w:eastAsia="en-US"/>
    </w:rPr>
  </w:style>
  <w:style w:type="character" w:styleId="SubtleReference">
    <w:name w:val="Subtle Reference"/>
    <w:uiPriority w:val="31"/>
    <w:qFormat/>
    <w:rsid w:val="00EE075E"/>
    <w:rPr>
      <w:smallCaps/>
      <w:color w:val="auto"/>
      <w:u w:val="single"/>
    </w:rPr>
  </w:style>
  <w:style w:type="character" w:styleId="IntenseReference">
    <w:name w:val="Intense Reference"/>
    <w:uiPriority w:val="32"/>
    <w:qFormat/>
    <w:rsid w:val="00EE075E"/>
    <w:rPr>
      <w:b/>
      <w:bCs/>
      <w:smallCaps/>
      <w:color w:val="auto"/>
      <w:spacing w:val="5"/>
      <w:u w:val="single"/>
    </w:rPr>
  </w:style>
  <w:style w:type="paragraph" w:customStyle="1" w:styleId="2ColumnHeading">
    <w:name w:val="2Column Heading"/>
    <w:basedOn w:val="BodyText"/>
    <w:qFormat/>
    <w:rsid w:val="00EE075E"/>
    <w:pPr>
      <w:spacing w:after="60"/>
      <w:ind w:left="-2268"/>
    </w:pPr>
    <w:rPr>
      <w:b/>
    </w:rPr>
  </w:style>
  <w:style w:type="paragraph" w:customStyle="1" w:styleId="Heading1TOC">
    <w:name w:val="Heading1 TOC"/>
    <w:basedOn w:val="Normal"/>
    <w:qFormat/>
    <w:rsid w:val="00EE075E"/>
    <w:pPr>
      <w:spacing w:before="240" w:after="120"/>
    </w:pPr>
    <w:rPr>
      <w:rFonts w:ascii="Times New Roman" w:hAnsi="Times New Roman"/>
      <w:b/>
      <w:sz w:val="32"/>
    </w:rPr>
  </w:style>
  <w:style w:type="paragraph" w:customStyle="1" w:styleId="Heading2TOC">
    <w:name w:val="Heading2 TOC"/>
    <w:basedOn w:val="Normal"/>
    <w:qFormat/>
    <w:rsid w:val="00EE075E"/>
    <w:pPr>
      <w:spacing w:before="240" w:after="60"/>
    </w:pPr>
    <w:rPr>
      <w:rFonts w:ascii="Times New Roman" w:hAnsi="Times New Roman"/>
      <w:b/>
      <w:sz w:val="28"/>
    </w:rPr>
  </w:style>
  <w:style w:type="character" w:customStyle="1" w:styleId="Underline">
    <w:name w:val="Underline"/>
    <w:qFormat/>
    <w:rsid w:val="00EE075E"/>
    <w:rPr>
      <w:u w:val="single"/>
    </w:rPr>
  </w:style>
  <w:style w:type="character" w:customStyle="1" w:styleId="BoldandItalics">
    <w:name w:val="Bold and Italics"/>
    <w:qFormat/>
    <w:rsid w:val="00EE075E"/>
    <w:rPr>
      <w:b/>
      <w:i/>
      <w:u w:val="none"/>
    </w:rPr>
  </w:style>
  <w:style w:type="paragraph" w:styleId="BalloonText">
    <w:name w:val="Balloon Text"/>
    <w:basedOn w:val="Normal"/>
    <w:link w:val="BalloonTextChar"/>
    <w:rsid w:val="00EE075E"/>
    <w:rPr>
      <w:rFonts w:ascii="Tahoma" w:hAnsi="Tahoma" w:cs="Tahoma"/>
      <w:sz w:val="16"/>
      <w:szCs w:val="16"/>
    </w:rPr>
  </w:style>
  <w:style w:type="character" w:customStyle="1" w:styleId="BalloonTextChar">
    <w:name w:val="Balloon Text Char"/>
    <w:link w:val="BalloonText"/>
    <w:rsid w:val="00EE07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075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E075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1035</Words>
  <Characters>6406</Characters>
  <Application>Microsoft Office Word</Application>
  <DocSecurity>0</DocSecurity>
  <Lines>187</Lines>
  <Paragraphs>124</Paragraphs>
  <ScaleCrop>false</ScaleCrop>
  <Company>Author-it Software Corporation Ltd.</Company>
  <LinksUpToDate>false</LinksUpToDate>
  <CharactersWithSpaces>7356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SUGTASD3A Adjust schedule(s) to meet daily workplace requirements</dc:title>
  <dc:subject>Approved</dc:subject>
  <dc:creator>AgriFood Skills Australia</dc:creator>
  <cp:keywords>Revision Number: 1</cp:keywords>
  <dc:description>Copyright © 1996-2007 Author-it Software Corporation Ltd., all rights reserved.</dc:description>
  <cp:lastModifiedBy>Andrew Campey</cp:lastModifiedBy>
  <cp:revision>3</cp:revision>
  <dcterms:created xsi:type="dcterms:W3CDTF">2012-05-27T03:09:00Z</dcterms:created>
  <dcterms:modified xsi:type="dcterms:W3CDTF">2012-05-27T03:09:00Z</dcterms:modified>
</cp:coreProperties>
</file>