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F8B" w:rsidP="00834F8B">
      <w:pPr>
        <w:pStyle w:val="Title"/>
      </w:pPr>
      <w:r>
        <w:fldChar w:fldCharType="begin"/>
      </w:r>
      <w:r>
        <w:instrText xml:space="preserve"> TITLE   \* MERGEFORMAT </w:instrText>
      </w:r>
      <w:r>
        <w:fldChar w:fldCharType="separate"/>
      </w:r>
      <w:r>
        <w:t>SUGTAEM1A Assess extraneous matter in cane</w:t>
      </w:r>
      <w:r>
        <w:fldChar w:fldCharType="end"/>
      </w:r>
    </w:p>
    <w:p w:rsidR="00834F8B" w:rsidP="00834F8B">
      <w:pPr>
        <w:pStyle w:val="Version"/>
        <w:sectPr w:rsidSect="00667D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7D70" w:rsidP="00667D70">
      <w:pPr>
        <w:pStyle w:val="SuperHeading"/>
      </w:pPr>
      <w:r w:rsidRPr="00667D70">
        <w:t>SUGTAEM1A Assess extraneous matter in cane</w:t>
      </w:r>
    </w:p>
    <w:p w:rsidR="00000000" w:rsidRPr="00667D70" w:rsidP="00667D70">
      <w:pPr>
        <w:pStyle w:val="SuperHeading"/>
      </w:pPr>
    </w:p>
    <w:p w:rsidR="00000000" w:rsidRPr="00667D70" w:rsidP="00667D70">
      <w:pPr>
        <w:pStyle w:val="Heading1"/>
      </w:pPr>
      <w:bookmarkStart w:id="1" w:name="O_149595"/>
      <w:bookmarkEnd w:id="1"/>
      <w:r w:rsidRPr="00667D70">
        <w:t>Modification History</w:t>
      </w:r>
    </w:p>
    <w:p w:rsidR="00000000" w:rsidRPr="00667D70" w:rsidP="00667D70">
      <w:pPr>
        <w:pStyle w:val="BodyText"/>
      </w:pPr>
      <w:r w:rsidRPr="00667D70">
        <w:t>Not applicable.</w:t>
      </w:r>
    </w:p>
    <w:p w:rsidR="00000000" w:rsidRPr="00667D70" w:rsidP="00667D70">
      <w:pPr>
        <w:pStyle w:val="AllowPageBreak"/>
      </w:pPr>
    </w:p>
    <w:p w:rsidR="00000000" w:rsidRPr="00667D70" w:rsidP="00667D70">
      <w:pPr>
        <w:pStyle w:val="Heading1"/>
      </w:pPr>
      <w:bookmarkStart w:id="2" w:name="O_149596"/>
      <w:bookmarkEnd w:id="2"/>
      <w:r w:rsidRPr="00667D70">
        <w:t>Unit Descriptor</w:t>
      </w:r>
    </w:p>
    <w:tbl>
      <w:tblPr>
        <w:tblW w:w="0" w:type="auto"/>
        <w:tblLayout w:type="fixed"/>
        <w:tblCellMar>
          <w:left w:w="62" w:type="dxa"/>
          <w:right w:w="62" w:type="dxa"/>
        </w:tblCellMar>
        <w:tblLook w:val="0000"/>
      </w:tblPr>
      <w:tblGrid>
        <w:gridCol w:w="8550"/>
      </w:tblGrid>
      <w:tr w:rsidTr="00834F8B">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667D70">
            <w:pPr>
              <w:pStyle w:val="BodyText"/>
              <w:rPr>
                <w:lang w:val="en-NZ"/>
              </w:rPr>
            </w:pPr>
            <w:r w:rsidRPr="00667D70">
              <w:rPr>
                <w:rStyle w:val="SpecialBold"/>
              </w:rPr>
              <w:t>Unit descriptor</w:t>
            </w:r>
          </w:p>
        </w:tc>
      </w:tr>
      <w:tr w:rsidTr="00834F8B">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667D70" w:rsidP="00667D70">
            <w:pPr>
              <w:pStyle w:val="BodyText"/>
            </w:pPr>
            <w:r w:rsidRPr="00667D70">
              <w:t>This is a Specialist unit. It covers the skills and knowledge required to carry out a visual and physical assessment of extraneous matter in cane samples.</w:t>
            </w:r>
          </w:p>
        </w:tc>
      </w:tr>
    </w:tbl>
    <w:p w:rsidR="00000000" w:rsidRPr="00667D70" w:rsidP="00667D70">
      <w:pPr>
        <w:pStyle w:val="BodyText"/>
      </w:pPr>
    </w:p>
    <w:p w:rsidR="00000000" w:rsidRPr="00667D70" w:rsidP="00667D70">
      <w:pPr>
        <w:pStyle w:val="AllowPageBreak"/>
      </w:pPr>
    </w:p>
    <w:p w:rsidR="00000000" w:rsidRPr="00667D70" w:rsidP="00667D70">
      <w:pPr>
        <w:pStyle w:val="Heading1"/>
      </w:pPr>
      <w:bookmarkStart w:id="3" w:name="O_149597"/>
      <w:bookmarkEnd w:id="3"/>
      <w:r w:rsidRPr="00667D70">
        <w:t>Application of the Unit</w:t>
      </w:r>
    </w:p>
    <w:p w:rsidR="00000000" w:rsidRPr="00667D70" w:rsidP="00667D70">
      <w:pPr>
        <w:pStyle w:val="BodyText"/>
      </w:pPr>
      <w:r w:rsidRPr="00667D70">
        <w:t>Not applicable.</w:t>
      </w:r>
    </w:p>
    <w:p w:rsidR="00000000" w:rsidRPr="00667D70" w:rsidP="00667D70">
      <w:pPr>
        <w:pStyle w:val="AllowPageBreak"/>
      </w:pPr>
    </w:p>
    <w:p w:rsidR="00000000" w:rsidRPr="00667D70" w:rsidP="00667D70">
      <w:pPr>
        <w:pStyle w:val="Heading1"/>
      </w:pPr>
      <w:bookmarkStart w:id="4" w:name="O_149598"/>
      <w:bookmarkEnd w:id="4"/>
      <w:r w:rsidRPr="00667D70">
        <w:t>Licensing/Regulatory Info</w:t>
      </w:r>
      <w:r w:rsidRPr="00667D70">
        <w:t>rmation</w:t>
      </w:r>
    </w:p>
    <w:p w:rsidR="00000000" w:rsidRPr="00667D70" w:rsidP="00667D70">
      <w:pPr>
        <w:pStyle w:val="BodyText"/>
      </w:pPr>
      <w:r w:rsidRPr="00667D70">
        <w:t>Not applicable.</w:t>
      </w:r>
    </w:p>
    <w:p w:rsidR="00000000" w:rsidRPr="00667D70" w:rsidP="00667D70">
      <w:pPr>
        <w:pStyle w:val="AllowPageBreak"/>
      </w:pPr>
    </w:p>
    <w:p w:rsidR="00000000" w:rsidRPr="00667D70" w:rsidP="00667D70">
      <w:pPr>
        <w:pStyle w:val="Heading1"/>
      </w:pPr>
      <w:bookmarkStart w:id="5" w:name="O_149599"/>
      <w:bookmarkEnd w:id="5"/>
      <w:r w:rsidRPr="00667D70">
        <w:t>Pre-Requisites</w:t>
      </w:r>
    </w:p>
    <w:p w:rsidR="00000000" w:rsidRPr="00667D70" w:rsidP="00667D70">
      <w:pPr>
        <w:pStyle w:val="BodyText"/>
      </w:pPr>
      <w:r w:rsidRPr="00667D70">
        <w:t>Not applicable.</w:t>
      </w:r>
    </w:p>
    <w:p w:rsidR="00000000" w:rsidRPr="00667D70" w:rsidP="00667D70">
      <w:pPr>
        <w:pStyle w:val="AllowPageBreak"/>
      </w:pPr>
    </w:p>
    <w:p w:rsidR="00000000" w:rsidRPr="00667D70" w:rsidP="00667D70">
      <w:pPr>
        <w:pStyle w:val="Heading1"/>
      </w:pPr>
      <w:bookmarkStart w:id="6" w:name="O_149600"/>
      <w:bookmarkEnd w:id="6"/>
      <w:r w:rsidRPr="00667D70">
        <w:t>Employability Skills Information</w:t>
      </w:r>
    </w:p>
    <w:p w:rsidR="00000000" w:rsidRPr="00667D70" w:rsidP="00667D70">
      <w:pPr>
        <w:pStyle w:val="BodyText"/>
      </w:pPr>
      <w:r w:rsidRPr="00667D70">
        <w:t>Not applicable.</w:t>
      </w:r>
    </w:p>
    <w:p w:rsidR="00000000" w:rsidRPr="00667D70" w:rsidP="00667D70">
      <w:pPr>
        <w:pStyle w:val="AllowPageBreak"/>
      </w:pPr>
    </w:p>
    <w:p w:rsidR="00000000" w:rsidRPr="00667D70" w:rsidP="00667D70">
      <w:pPr>
        <w:pStyle w:val="Heading1"/>
      </w:pPr>
      <w:bookmarkStart w:id="7" w:name="O_149601"/>
      <w:bookmarkEnd w:id="7"/>
      <w:r w:rsidRPr="00667D70">
        <w:t>Elements and Performance Criteria Pre-Content</w:t>
      </w:r>
    </w:p>
    <w:p w:rsidR="00000000" w:rsidRPr="00667D70" w:rsidP="00667D70">
      <w:pPr>
        <w:pStyle w:val="BodyText"/>
      </w:pPr>
      <w:r w:rsidRPr="00667D70">
        <w:t>Not applicable.</w:t>
      </w:r>
    </w:p>
    <w:p w:rsidR="00000000" w:rsidRPr="00667D70" w:rsidP="00667D70">
      <w:pPr>
        <w:pStyle w:val="AllowPageBreak"/>
      </w:pPr>
    </w:p>
    <w:p w:rsidR="00000000" w:rsidRPr="00667D70" w:rsidP="00667D70">
      <w:pPr>
        <w:pStyle w:val="Heading1"/>
      </w:pPr>
      <w:bookmarkStart w:id="8" w:name="O_149602"/>
      <w:bookmarkEnd w:id="8"/>
      <w:r w:rsidRPr="00667D70">
        <w:t>Elements and Performance Criteria</w:t>
      </w:r>
    </w:p>
    <w:tbl>
      <w:tblPr>
        <w:tblW w:w="0" w:type="auto"/>
        <w:tblLayout w:type="fixed"/>
        <w:tblCellMar>
          <w:left w:w="62" w:type="dxa"/>
          <w:right w:w="62" w:type="dxa"/>
        </w:tblCellMar>
        <w:tblLook w:val="0000"/>
      </w:tblPr>
      <w:tblGrid>
        <w:gridCol w:w="3261"/>
        <w:gridCol w:w="5289"/>
      </w:tblGrid>
      <w:tr w:rsidTr="00834F8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67D70" w:rsidP="00667D70">
            <w:pPr>
              <w:pStyle w:val="BodyText"/>
            </w:pPr>
            <w:r w:rsidRPr="00667D70">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667D70">
            <w:pPr>
              <w:pStyle w:val="BodyText"/>
              <w:rPr>
                <w:lang w:val="en-NZ"/>
              </w:rPr>
            </w:pPr>
            <w:r w:rsidRPr="00667D70">
              <w:rPr>
                <w:rStyle w:val="SpecialBold"/>
              </w:rPr>
              <w:t>Performance criteria</w:t>
            </w:r>
          </w:p>
        </w:tc>
      </w:tr>
      <w:tr w:rsidTr="00834F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D70">
            <w:pPr>
              <w:pStyle w:val="List"/>
              <w:rPr>
                <w:lang w:val="en-NZ"/>
              </w:rPr>
            </w:pPr>
            <w:r w:rsidRPr="00667D70">
              <w:t>1.</w:t>
            </w:r>
            <w:r w:rsidRPr="00667D70">
              <w:tab/>
              <w:t>Prepare for assessment of cane</w:t>
            </w:r>
          </w:p>
        </w:tc>
        <w:tc>
          <w:tcPr>
            <w:tcW w:w="5289" w:type="dxa"/>
            <w:tcBorders>
              <w:top w:val="nil"/>
              <w:left w:val="nil"/>
              <w:bottom w:val="nil"/>
              <w:right w:val="nil"/>
            </w:tcBorders>
            <w:tcMar>
              <w:top w:w="0" w:type="dxa"/>
              <w:left w:w="62" w:type="dxa"/>
              <w:bottom w:w="0" w:type="dxa"/>
              <w:right w:w="62" w:type="dxa"/>
            </w:tcMar>
          </w:tcPr>
          <w:p w:rsidR="00000000" w:rsidRPr="00667D70" w:rsidP="00667D70">
            <w:pPr>
              <w:pStyle w:val="List"/>
            </w:pPr>
            <w:r w:rsidRPr="00667D70">
              <w:t>1.1</w:t>
            </w:r>
            <w:r w:rsidRPr="00667D70">
              <w:tab/>
              <w:t>Personal protective clothing and equipment is selected and used</w:t>
            </w:r>
          </w:p>
          <w:p w:rsidR="00000000" w:rsidRPr="00667D70" w:rsidP="00667D70">
            <w:pPr>
              <w:pStyle w:val="List"/>
            </w:pPr>
            <w:r w:rsidRPr="00667D70">
              <w:t>1.2</w:t>
            </w:r>
            <w:r w:rsidRPr="00667D70">
              <w:tab/>
              <w:t>Health and safety hazards / maintenance requirements are identified and reported to ap</w:t>
            </w:r>
            <w:r w:rsidRPr="00667D70">
              <w:t>propriate personnel according to workplace reporting procedures</w:t>
            </w:r>
          </w:p>
          <w:p w:rsidR="00000000" w:rsidRPr="00667D70" w:rsidP="00667D70">
            <w:pPr>
              <w:pStyle w:val="List"/>
            </w:pPr>
            <w:r w:rsidRPr="00667D70">
              <w:t>1.3</w:t>
            </w:r>
            <w:r w:rsidRPr="00667D70">
              <w:tab/>
              <w:t>Cane sample is collected according to workplace procedure</w:t>
            </w:r>
          </w:p>
          <w:p w:rsidR="00000000" w:rsidP="00667D70">
            <w:pPr>
              <w:pStyle w:val="List"/>
              <w:rPr>
                <w:lang w:val="en-NZ"/>
              </w:rPr>
            </w:pPr>
            <w:r w:rsidRPr="00667D70">
              <w:t>1.4</w:t>
            </w:r>
            <w:r w:rsidRPr="00667D70">
              <w:tab/>
              <w:t>Weighing equipment is prepared for operation</w:t>
            </w:r>
          </w:p>
        </w:tc>
      </w:tr>
      <w:tr w:rsidTr="00834F8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67D70">
            <w:pPr>
              <w:pStyle w:val="List"/>
              <w:rPr>
                <w:lang w:val="en-NZ"/>
              </w:rPr>
            </w:pPr>
            <w:r w:rsidRPr="00667D70">
              <w:t>2.</w:t>
            </w:r>
            <w:r w:rsidRPr="00667D70">
              <w:tab/>
              <w:t>Assess extraneous matter in cane</w:t>
            </w:r>
          </w:p>
        </w:tc>
        <w:tc>
          <w:tcPr>
            <w:tcW w:w="5289" w:type="dxa"/>
            <w:tcBorders>
              <w:top w:val="nil"/>
              <w:left w:val="nil"/>
              <w:bottom w:val="nil"/>
              <w:right w:val="nil"/>
            </w:tcBorders>
            <w:tcMar>
              <w:top w:w="0" w:type="dxa"/>
              <w:left w:w="62" w:type="dxa"/>
              <w:bottom w:w="0" w:type="dxa"/>
              <w:right w:w="62" w:type="dxa"/>
            </w:tcMar>
          </w:tcPr>
          <w:p w:rsidR="00000000" w:rsidRPr="00667D70" w:rsidP="00667D70">
            <w:pPr>
              <w:pStyle w:val="List"/>
            </w:pPr>
            <w:r w:rsidRPr="00667D70">
              <w:t>2.1</w:t>
            </w:r>
            <w:r w:rsidRPr="00667D70">
              <w:tab/>
            </w:r>
            <w:r w:rsidRPr="00667D70">
              <w:t>Cane sample is inspected and sorted according to workplace procedure</w:t>
            </w:r>
          </w:p>
          <w:p w:rsidR="00000000" w:rsidRPr="00667D70" w:rsidP="00667D70">
            <w:pPr>
              <w:pStyle w:val="List"/>
            </w:pPr>
            <w:r w:rsidRPr="00667D70">
              <w:t>2.2</w:t>
            </w:r>
            <w:r w:rsidRPr="00667D70">
              <w:tab/>
              <w:t>Extraneous matter in cane is assessed according to workplace procedure</w:t>
            </w:r>
          </w:p>
          <w:p w:rsidR="00000000" w:rsidRPr="00667D70" w:rsidP="00667D70">
            <w:pPr>
              <w:pStyle w:val="List"/>
            </w:pPr>
            <w:r w:rsidRPr="00667D70">
              <w:t>2.3</w:t>
            </w:r>
            <w:r w:rsidRPr="00667D70">
              <w:tab/>
              <w:t>Results of assessment are recorded according to workplace recording requirements</w:t>
            </w:r>
          </w:p>
        </w:tc>
      </w:tr>
    </w:tbl>
    <w:p w:rsidR="00000000" w:rsidRPr="00667D70" w:rsidP="00667D70">
      <w:pPr>
        <w:pStyle w:val="BodyText"/>
      </w:pPr>
    </w:p>
    <w:p w:rsidR="00000000" w:rsidRPr="00667D70" w:rsidP="00667D70">
      <w:pPr>
        <w:pStyle w:val="AllowPageBreak"/>
      </w:pPr>
    </w:p>
    <w:p w:rsidR="00000000" w:rsidRPr="00667D70" w:rsidP="00667D70">
      <w:pPr>
        <w:pStyle w:val="Heading1"/>
      </w:pPr>
      <w:bookmarkStart w:id="9" w:name="O_149603"/>
      <w:bookmarkEnd w:id="9"/>
      <w:r w:rsidRPr="00667D70">
        <w:t>Required</w:t>
      </w:r>
      <w:r w:rsidRPr="00667D70">
        <w:t xml:space="preserve"> Skills and Knowledge</w:t>
      </w:r>
    </w:p>
    <w:p w:rsidR="00000000" w:rsidRPr="00667D70" w:rsidP="00667D70">
      <w:pPr>
        <w:pStyle w:val="BodyText"/>
      </w:pPr>
      <w:r w:rsidRPr="00667D70">
        <w:t>Not applicable.</w:t>
      </w:r>
    </w:p>
    <w:p w:rsidR="00000000" w:rsidRPr="00667D70" w:rsidP="00667D70">
      <w:pPr>
        <w:pStyle w:val="AllowPageBreak"/>
      </w:pPr>
    </w:p>
    <w:p w:rsidR="00000000" w:rsidRPr="00667D70" w:rsidP="00667D70">
      <w:pPr>
        <w:pStyle w:val="Heading1"/>
      </w:pPr>
      <w:bookmarkStart w:id="10" w:name="O_149604"/>
      <w:bookmarkEnd w:id="10"/>
      <w:r w:rsidRPr="00667D70">
        <w:t>Evidence Guide</w:t>
      </w:r>
    </w:p>
    <w:p w:rsidR="00000000" w:rsidRPr="00667D70" w:rsidP="00667D70">
      <w:pPr>
        <w:pStyle w:val="BodyText"/>
      </w:pPr>
      <w:r w:rsidRPr="00667D70">
        <w:rPr>
          <w:rStyle w:val="SpecialBold"/>
        </w:rPr>
        <w:t>Evidence guide</w:t>
      </w:r>
    </w:p>
    <w:p w:rsidR="00000000" w:rsidRPr="00667D70" w:rsidP="00667D70">
      <w:pPr>
        <w:pStyle w:val="BodyText"/>
      </w:pPr>
      <w:r w:rsidRPr="00667D70">
        <w:t>The assessment process must address all of the following items of evidence.</w:t>
      </w:r>
    </w:p>
    <w:p w:rsidR="00000000" w:rsidRPr="00667D70" w:rsidP="00667D70">
      <w:pPr>
        <w:pStyle w:val="BodyText"/>
      </w:pPr>
      <w:r w:rsidRPr="00667D70">
        <w:rPr>
          <w:rStyle w:val="SpecialBold"/>
        </w:rPr>
        <w:t>Ability to</w:t>
      </w:r>
      <w:r w:rsidRPr="00667D70">
        <w:t>:</w:t>
      </w:r>
    </w:p>
    <w:p w:rsidR="00000000" w:rsidRPr="00667D70" w:rsidP="00667D70">
      <w:pPr>
        <w:pStyle w:val="List"/>
      </w:pPr>
      <w:r w:rsidRPr="00667D70">
        <w:t>1.</w:t>
      </w:r>
      <w:r w:rsidRPr="00667D70">
        <w:tab/>
        <w:t>Access workplace information on operating requirements</w:t>
      </w:r>
    </w:p>
    <w:p w:rsidR="00000000" w:rsidRPr="00667D70" w:rsidP="00667D70">
      <w:pPr>
        <w:pStyle w:val="List"/>
      </w:pPr>
      <w:r w:rsidRPr="00667D70">
        <w:t>2.</w:t>
      </w:r>
      <w:r w:rsidRPr="00667D70">
        <w:tab/>
        <w:t>Select, fit and use pe</w:t>
      </w:r>
      <w:r w:rsidRPr="00667D70">
        <w:t>rsonal protective clothing and/or equipment</w:t>
      </w:r>
    </w:p>
    <w:p w:rsidR="00000000" w:rsidRPr="00667D70" w:rsidP="00667D70">
      <w:pPr>
        <w:pStyle w:val="List"/>
      </w:pPr>
      <w:r w:rsidRPr="00667D70">
        <w:t>3.</w:t>
      </w:r>
      <w:r w:rsidRPr="00667D70">
        <w:tab/>
        <w:t>Collect cane samples for testing according to workplace procedure</w:t>
      </w:r>
    </w:p>
    <w:p w:rsidR="00000000" w:rsidRPr="00667D70" w:rsidP="00667D70">
      <w:pPr>
        <w:pStyle w:val="List"/>
      </w:pPr>
      <w:r w:rsidRPr="00667D70">
        <w:t>4.</w:t>
      </w:r>
      <w:r w:rsidRPr="00667D70">
        <w:tab/>
        <w:t>Confirm that scales are tared or zeroed and operating correctly</w:t>
      </w:r>
    </w:p>
    <w:p w:rsidR="00000000" w:rsidRPr="00667D70" w:rsidP="00667D70">
      <w:pPr>
        <w:pStyle w:val="List"/>
      </w:pPr>
      <w:r w:rsidRPr="00667D70">
        <w:t>5.</w:t>
      </w:r>
      <w:r w:rsidRPr="00667D70">
        <w:tab/>
        <w:t>Conduct visual and physical assessment of cane</w:t>
      </w:r>
    </w:p>
    <w:p w:rsidR="00000000" w:rsidRPr="00667D70" w:rsidP="00667D70">
      <w:pPr>
        <w:pStyle w:val="List"/>
      </w:pPr>
      <w:r w:rsidRPr="00667D70">
        <w:t>6.</w:t>
      </w:r>
      <w:r w:rsidRPr="00667D70">
        <w:tab/>
        <w:t>Record results</w:t>
      </w:r>
    </w:p>
    <w:p w:rsidR="00000000" w:rsidRPr="00667D70" w:rsidP="00667D70">
      <w:pPr>
        <w:pStyle w:val="List"/>
      </w:pPr>
      <w:r w:rsidRPr="00667D70">
        <w:t>7.</w:t>
      </w:r>
      <w:r w:rsidRPr="00667D70">
        <w:tab/>
      </w:r>
      <w:r w:rsidRPr="00667D70">
        <w:t>Identify and report cane assessments that are not within specification</w:t>
      </w:r>
    </w:p>
    <w:p w:rsidR="00000000" w:rsidRPr="00667D70" w:rsidP="00667D70">
      <w:pPr>
        <w:pStyle w:val="List"/>
      </w:pPr>
      <w:r w:rsidRPr="00667D70">
        <w:t>8.</w:t>
      </w:r>
      <w:r w:rsidRPr="00667D70">
        <w:tab/>
        <w:t>Follow procedures to repeat or validate results as required</w:t>
      </w:r>
    </w:p>
    <w:p w:rsidR="00000000" w:rsidRPr="00667D70" w:rsidP="00667D70">
      <w:pPr>
        <w:pStyle w:val="List"/>
      </w:pPr>
      <w:r w:rsidRPr="00667D70">
        <w:t>9.</w:t>
      </w:r>
      <w:r w:rsidRPr="00667D70">
        <w:tab/>
        <w:t>Maintain work area to meet housekeeping standards</w:t>
      </w:r>
    </w:p>
    <w:p w:rsidR="00000000" w:rsidRPr="00667D70" w:rsidP="00667D70">
      <w:pPr>
        <w:pStyle w:val="List"/>
      </w:pPr>
      <w:r w:rsidRPr="00667D70">
        <w:t>10.</w:t>
      </w:r>
      <w:r w:rsidRPr="00667D70">
        <w:tab/>
        <w:t>Maintain workplace records</w:t>
      </w:r>
    </w:p>
    <w:p w:rsidR="00000000" w:rsidRPr="00667D70" w:rsidP="00667D70">
      <w:pPr>
        <w:pStyle w:val="BodyText"/>
      </w:pPr>
      <w:r w:rsidRPr="00667D70">
        <w:rPr>
          <w:rStyle w:val="SpecialBold"/>
        </w:rPr>
        <w:t>Knowledge of</w:t>
      </w:r>
      <w:r w:rsidRPr="00667D70">
        <w:t>:</w:t>
      </w:r>
    </w:p>
    <w:p w:rsidR="00000000" w:rsidRPr="00667D70" w:rsidP="00667D70">
      <w:pPr>
        <w:pStyle w:val="List"/>
      </w:pPr>
      <w:r w:rsidRPr="00667D70">
        <w:t>11.</w:t>
      </w:r>
      <w:r w:rsidRPr="00667D70">
        <w:tab/>
        <w:t>Purpose of extraneou</w:t>
      </w:r>
      <w:r w:rsidRPr="00667D70">
        <w:t>s matter test and nature of extraneous matter typically found in cane</w:t>
      </w:r>
    </w:p>
    <w:p w:rsidR="00000000" w:rsidRPr="00667D70" w:rsidP="00667D70">
      <w:pPr>
        <w:pStyle w:val="List"/>
      </w:pPr>
      <w:r w:rsidRPr="00667D70">
        <w:t>12.</w:t>
      </w:r>
      <w:r w:rsidRPr="00667D70">
        <w:tab/>
        <w:t>Conditions and practices that affect the level of extraneous matter found in cane</w:t>
      </w:r>
    </w:p>
    <w:p w:rsidR="00000000" w:rsidRPr="00667D70" w:rsidP="00667D70">
      <w:pPr>
        <w:pStyle w:val="List"/>
      </w:pPr>
      <w:r w:rsidRPr="00667D70">
        <w:t>13.</w:t>
      </w:r>
      <w:r w:rsidRPr="00667D70">
        <w:tab/>
        <w:t>The effect of high levels of extraneous matter on downstream operations</w:t>
      </w:r>
    </w:p>
    <w:p w:rsidR="00000000" w:rsidRPr="00667D70" w:rsidP="00667D70">
      <w:pPr>
        <w:pStyle w:val="List"/>
      </w:pPr>
      <w:r w:rsidRPr="00667D70">
        <w:t>14.</w:t>
      </w:r>
      <w:r w:rsidRPr="00667D70">
        <w:tab/>
        <w:t>Safe work procedures</w:t>
      </w:r>
      <w:r w:rsidRPr="00667D70">
        <w:t xml:space="preserve"> including awareness of health and safety hazards related to turbine operation and associated control measures. Hazards typically include those associated with manual handling</w:t>
      </w:r>
    </w:p>
    <w:p w:rsidR="00000000" w:rsidRPr="00667D70" w:rsidP="00667D70">
      <w:pPr>
        <w:pStyle w:val="List"/>
      </w:pPr>
      <w:r w:rsidRPr="00667D70">
        <w:t>15.</w:t>
      </w:r>
      <w:r w:rsidRPr="00667D70">
        <w:tab/>
        <w:t>Methods used to sort and calculate extraneous matter in a sample</w:t>
      </w:r>
    </w:p>
    <w:p w:rsidR="00000000" w:rsidRPr="00667D70" w:rsidP="00667D70">
      <w:pPr>
        <w:pStyle w:val="List"/>
      </w:pPr>
      <w:r w:rsidRPr="00667D70">
        <w:t>16.</w:t>
      </w:r>
      <w:r w:rsidRPr="00667D70">
        <w:tab/>
        <w:t xml:space="preserve">Method </w:t>
      </w:r>
      <w:r w:rsidRPr="00667D70">
        <w:t>and purpose of taring or zeroing weighing equipment</w:t>
      </w:r>
    </w:p>
    <w:p w:rsidR="00000000" w:rsidRPr="00667D70" w:rsidP="00667D70">
      <w:pPr>
        <w:pStyle w:val="List"/>
      </w:pPr>
      <w:r w:rsidRPr="00667D70">
        <w:t>17.</w:t>
      </w:r>
      <w:r w:rsidRPr="00667D70">
        <w:tab/>
        <w:t>Procedure for reporting faulty weighing equipment</w:t>
      </w:r>
    </w:p>
    <w:p w:rsidR="00000000" w:rsidRPr="00667D70" w:rsidP="00667D70">
      <w:pPr>
        <w:pStyle w:val="BodyText"/>
      </w:pPr>
      <w:r w:rsidRPr="00667D70">
        <w:rPr>
          <w:rStyle w:val="SpecialBold"/>
        </w:rPr>
        <w:t>Relationship with other standards</w:t>
      </w:r>
    </w:p>
    <w:p w:rsidR="00000000" w:rsidRPr="00667D70" w:rsidP="00667D70">
      <w:pPr>
        <w:pStyle w:val="BodyText"/>
      </w:pPr>
      <w:r w:rsidRPr="00667D70">
        <w:rPr>
          <w:rStyle w:val="Emphasis"/>
        </w:rPr>
        <w:t>Pre</w:t>
      </w:r>
      <w:r w:rsidRPr="00667D70">
        <w:t>-</w:t>
      </w:r>
      <w:r w:rsidRPr="00667D70">
        <w:rPr>
          <w:rStyle w:val="Emphasis"/>
        </w:rPr>
        <w:t>requisite units</w:t>
      </w:r>
    </w:p>
    <w:p w:rsidR="00000000" w:rsidRPr="00667D70" w:rsidP="00667D70">
      <w:pPr>
        <w:pStyle w:val="BodyText"/>
      </w:pPr>
      <w:r w:rsidRPr="00667D70">
        <w:t>There are no pre-requisite units for this competency standard.</w:t>
      </w:r>
    </w:p>
    <w:p w:rsidR="00000000" w:rsidRPr="00667D70" w:rsidP="00667D70">
      <w:pPr>
        <w:pStyle w:val="BodyText"/>
      </w:pPr>
      <w:r w:rsidRPr="00667D70">
        <w:rPr>
          <w:rStyle w:val="Emphasis"/>
        </w:rPr>
        <w:t>Co</w:t>
      </w:r>
      <w:r w:rsidRPr="00667D70">
        <w:t>-</w:t>
      </w:r>
      <w:r w:rsidRPr="00667D70">
        <w:rPr>
          <w:rStyle w:val="Emphasis"/>
        </w:rPr>
        <w:t>assessment of related units</w:t>
      </w:r>
    </w:p>
    <w:p w:rsidR="00000000" w:rsidRPr="00667D70" w:rsidP="00667D70">
      <w:pPr>
        <w:pStyle w:val="BodyText"/>
      </w:pPr>
      <w:r w:rsidRPr="00667D70">
        <w:t>Ot</w:t>
      </w:r>
      <w:r w:rsidRPr="00667D70">
        <w:t>her units of competency relevant to the work role should be assessed in conjunction with this unit.</w:t>
      </w:r>
    </w:p>
    <w:p w:rsidR="00000000" w:rsidRPr="00667D70" w:rsidP="00667D70">
      <w:pPr>
        <w:pStyle w:val="BodyText"/>
      </w:pPr>
      <w:r w:rsidRPr="00667D70">
        <w:rPr>
          <w:rStyle w:val="SpecialBold"/>
        </w:rPr>
        <w:t>Resources required for assessment</w:t>
      </w:r>
    </w:p>
    <w:p w:rsidR="00000000" w:rsidRPr="00667D70" w:rsidP="00667D70">
      <w:pPr>
        <w:pStyle w:val="BodyText"/>
      </w:pPr>
      <w:r w:rsidRPr="00667D70">
        <w:t xml:space="preserve">Assessment must occur in a real or simulated workplace where the assessee has access to: </w:t>
      </w:r>
    </w:p>
    <w:p w:rsidR="00000000" w:rsidRPr="00667D70" w:rsidP="00667D70">
      <w:pPr>
        <w:pStyle w:val="ListBullet"/>
      </w:pPr>
      <w:r w:rsidRPr="00667D70">
        <w:t>Sampling plan</w:t>
      </w:r>
    </w:p>
    <w:p w:rsidR="00000000" w:rsidRPr="00667D70" w:rsidP="00667D70">
      <w:pPr>
        <w:pStyle w:val="ListBullet"/>
      </w:pPr>
      <w:r w:rsidRPr="00667D70">
        <w:t>Extraneous matter/quality specifications</w:t>
      </w:r>
    </w:p>
    <w:p w:rsidR="00000000" w:rsidRPr="00667D70" w:rsidP="00667D70">
      <w:pPr>
        <w:pStyle w:val="ListBullet"/>
      </w:pPr>
      <w:r w:rsidRPr="00667D70">
        <w:t>Weighing equipment</w:t>
      </w:r>
    </w:p>
    <w:p w:rsidR="00000000" w:rsidRPr="00667D70" w:rsidP="00667D70">
      <w:pPr>
        <w:pStyle w:val="ListBullet"/>
      </w:pPr>
      <w:r w:rsidRPr="00667D70">
        <w:t>Operating procedures and related advice on equipment operation</w:t>
      </w:r>
    </w:p>
    <w:p w:rsidR="00000000" w:rsidRPr="00667D70" w:rsidP="00667D70">
      <w:pPr>
        <w:pStyle w:val="ListBullet"/>
      </w:pPr>
      <w:r w:rsidRPr="00667D70">
        <w:t>Personal protective clothing and equipment</w:t>
      </w:r>
    </w:p>
    <w:p w:rsidR="00000000" w:rsidRPr="00667D70" w:rsidP="00667D70">
      <w:pPr>
        <w:pStyle w:val="ListBullet"/>
      </w:pPr>
      <w:r w:rsidRPr="00667D70">
        <w:t>Housekeeping standards and procedures</w:t>
      </w:r>
    </w:p>
    <w:p w:rsidR="00000000" w:rsidRPr="00667D70" w:rsidP="00667D70">
      <w:pPr>
        <w:pStyle w:val="ListBullet"/>
      </w:pPr>
      <w:r w:rsidRPr="00667D70">
        <w:t>Workplace information recording systems, requirement</w:t>
      </w:r>
      <w:r w:rsidRPr="00667D70">
        <w:t>s and procedures</w:t>
      </w:r>
    </w:p>
    <w:p w:rsidR="00000000" w:rsidRPr="00667D70" w:rsidP="00667D70">
      <w:pPr>
        <w:pStyle w:val="BodyText"/>
      </w:pPr>
      <w:r w:rsidRPr="00667D70">
        <w:rPr>
          <w:rStyle w:val="SpecialBold"/>
        </w:rPr>
        <w:t>Assessment requirements</w:t>
      </w:r>
    </w:p>
    <w:p w:rsidR="00834F8B" w:rsidP="00667D70">
      <w:pPr>
        <w:pStyle w:val="BodyText"/>
      </w:pPr>
      <w:r w:rsidRPr="00667D70">
        <w:t xml:space="preserve">For information on how to assess this competency standard and who can assess, refer to the Assessment Guidelines for this Training Package. </w:t>
      </w:r>
    </w:p>
    <w:p w:rsidR="00834F8B" w:rsidP="00667D70">
      <w:pPr>
        <w:pStyle w:val="BodyText"/>
      </w:pPr>
    </w:p>
    <w:p w:rsidR="00000000" w:rsidRPr="00667D70" w:rsidP="00667D70">
      <w:pPr>
        <w:pStyle w:val="Heading1"/>
      </w:pPr>
      <w:bookmarkStart w:id="11" w:name="O_149605"/>
      <w:bookmarkEnd w:id="11"/>
      <w:r w:rsidRPr="00667D70">
        <w:t>Range Statement</w:t>
      </w:r>
    </w:p>
    <w:p w:rsidR="00000000" w:rsidRPr="00667D70" w:rsidP="00667D70">
      <w:pPr>
        <w:pStyle w:val="BodyText"/>
      </w:pPr>
      <w:r w:rsidRPr="00667D70">
        <w:rPr>
          <w:rStyle w:val="SpecialBold"/>
        </w:rPr>
        <w:t>Range statement</w:t>
      </w:r>
    </w:p>
    <w:p w:rsidR="00000000" w:rsidRPr="00667D70" w:rsidP="00667D70">
      <w:pPr>
        <w:pStyle w:val="BodyText"/>
      </w:pPr>
      <w:r w:rsidRPr="00667D70">
        <w:t>The range statement indi</w:t>
      </w:r>
      <w:r w:rsidRPr="00667D70">
        <w:t>cates the context for demonstrating competence. This statement is a guide and unless otherwise indicated, items may or may not apply as required by the work context.</w:t>
      </w:r>
    </w:p>
    <w:p w:rsidR="00000000" w:rsidRPr="00667D70" w:rsidP="00667D70">
      <w:pPr>
        <w:pStyle w:val="ListBullet"/>
      </w:pPr>
      <w:r w:rsidRPr="00667D70">
        <w:t>Work is carried out in accordance with company policies and procedures, licensing require</w:t>
      </w:r>
      <w:r w:rsidRPr="00667D70">
        <w:t>ments, legislative requirements, codes of practice and industrial awards and agreements. Codes of practice may include the Sugar Milling Operations Industry Code of Practice. Codes of practice may include the Sugar Milling Operations Industry Code of Pract</w:t>
      </w:r>
      <w:r w:rsidRPr="00667D70">
        <w:t>ice</w:t>
      </w:r>
    </w:p>
    <w:p w:rsidR="00000000" w:rsidRPr="00667D70" w:rsidP="00667D70">
      <w:pPr>
        <w:pStyle w:val="ListBullet"/>
      </w:pPr>
      <w:r w:rsidRPr="00667D70">
        <w:t>Workplace information can include Standard Operating Procedures (SOPs), sampling plans and cane extraneous matter/quality specifications</w:t>
      </w:r>
    </w:p>
    <w:p w:rsidR="00000000" w:rsidRPr="00667D70" w:rsidP="00667D70">
      <w:pPr>
        <w:pStyle w:val="ListBullet"/>
      </w:pPr>
      <w:r w:rsidRPr="00667D70">
        <w:t>Cane inspection and assessment may be visual and/or by weight</w:t>
      </w:r>
    </w:p>
    <w:p w:rsidR="00000000" w:rsidRPr="00667D70" w:rsidP="00667D70">
      <w:pPr>
        <w:pStyle w:val="ListBullet"/>
      </w:pPr>
      <w:r w:rsidRPr="00667D70">
        <w:t xml:space="preserve">Preparation of weighing equipment typically includes </w:t>
      </w:r>
      <w:r w:rsidRPr="00667D70">
        <w:t>taring or zeroing scales and confirming calibration using check weights</w:t>
      </w:r>
    </w:p>
    <w:p w:rsidR="00000000" w:rsidRPr="00667D70" w:rsidP="00667D70">
      <w:pPr>
        <w:pStyle w:val="ListBullet"/>
      </w:pPr>
      <w:r w:rsidRPr="00667D70">
        <w:t>Work may require the ability to work within a team environment</w:t>
      </w:r>
    </w:p>
    <w:p w:rsidR="00834F8B" w:rsidP="00667D70">
      <w:pPr>
        <w:pStyle w:val="ListBullet"/>
      </w:pPr>
      <w:r w:rsidRPr="00667D70">
        <w:t>Information systems may be print or screen based</w:t>
      </w:r>
    </w:p>
    <w:p w:rsidR="00834F8B" w:rsidP="00667D70">
      <w:pPr>
        <w:pStyle w:val="ListBullet"/>
      </w:pPr>
    </w:p>
    <w:p w:rsidR="00000000" w:rsidRPr="00667D70" w:rsidP="00667D70">
      <w:pPr>
        <w:pStyle w:val="Heading1"/>
      </w:pPr>
      <w:bookmarkStart w:id="12" w:name="O_149606"/>
      <w:bookmarkEnd w:id="12"/>
      <w:r w:rsidRPr="00667D70">
        <w:t>Unit Sector(s)</w:t>
      </w:r>
    </w:p>
    <w:p w:rsidR="00000000" w:rsidRPr="00667D70" w:rsidP="00667D70">
      <w:pPr>
        <w:pStyle w:val="BodyText"/>
      </w:pPr>
      <w:r w:rsidRPr="00667D70">
        <w:t>Not applicable.</w:t>
      </w:r>
    </w:p>
    <w:p w:rsidR="00000000" w:rsidRPr="00667D70" w:rsidP="00667D70"/>
    <w:sectPr w:rsidSect="00667D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F8B" w:rsidP="00834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F8B" w:rsidP="00667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4F8B" w:rsidP="00667D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34F8B" w:rsidP="00667D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F8B" w:rsidP="00834F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F8B" w:rsidP="00667D70">
    <w:pPr>
      <w:pStyle w:val="Header"/>
      <w:framePr w:wrap="around"/>
    </w:pPr>
    <w:r>
      <w:fldChar w:fldCharType="begin"/>
    </w:r>
    <w:r>
      <w:instrText xml:space="preserve"> TITLE   \* MERGEFORMAT </w:instrText>
    </w:r>
    <w:r>
      <w:fldChar w:fldCharType="separate"/>
    </w:r>
    <w:r>
      <w:t>SUGTAEM1A Assess extraneous matter in cane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4F8B" w:rsidP="00667D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2A5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2ABA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D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7D70"/>
    <w:pPr>
      <w:spacing w:before="360" w:after="60"/>
      <w:outlineLvl w:val="0"/>
    </w:pPr>
    <w:rPr>
      <w:sz w:val="32"/>
    </w:rPr>
  </w:style>
  <w:style w:type="paragraph" w:styleId="Heading2">
    <w:name w:val="heading 2"/>
    <w:basedOn w:val="HeadingBase"/>
    <w:next w:val="BodyText"/>
    <w:link w:val="Heading2Char"/>
    <w:qFormat/>
    <w:rsid w:val="00667D70"/>
    <w:pPr>
      <w:keepLines/>
      <w:spacing w:before="240" w:after="120"/>
      <w:outlineLvl w:val="1"/>
    </w:pPr>
    <w:rPr>
      <w:sz w:val="28"/>
      <w:szCs w:val="40"/>
    </w:rPr>
  </w:style>
  <w:style w:type="paragraph" w:styleId="Heading3">
    <w:name w:val="heading 3"/>
    <w:basedOn w:val="HeadingBase"/>
    <w:next w:val="BodyText"/>
    <w:link w:val="Heading3Char"/>
    <w:qFormat/>
    <w:rsid w:val="00667D70"/>
    <w:pPr>
      <w:spacing w:before="180" w:after="120"/>
      <w:outlineLvl w:val="2"/>
    </w:pPr>
    <w:rPr>
      <w:spacing w:val="-10"/>
      <w:kern w:val="32"/>
    </w:rPr>
  </w:style>
  <w:style w:type="paragraph" w:styleId="Heading4">
    <w:name w:val="heading 4"/>
    <w:basedOn w:val="HeadingBase"/>
    <w:next w:val="BodyText"/>
    <w:link w:val="Heading4Char"/>
    <w:qFormat/>
    <w:rsid w:val="00667D70"/>
    <w:pPr>
      <w:spacing w:before="160" w:after="120"/>
      <w:outlineLvl w:val="3"/>
    </w:pPr>
    <w:rPr>
      <w:sz w:val="22"/>
    </w:rPr>
  </w:style>
  <w:style w:type="paragraph" w:styleId="Heading5">
    <w:name w:val="heading 5"/>
    <w:basedOn w:val="HeadingBase"/>
    <w:next w:val="Normal"/>
    <w:link w:val="Heading5Char"/>
    <w:qFormat/>
    <w:rsid w:val="00667D70"/>
    <w:pPr>
      <w:spacing w:before="80"/>
      <w:outlineLvl w:val="4"/>
    </w:pPr>
    <w:rPr>
      <w:color w:val="918585"/>
      <w:sz w:val="20"/>
    </w:rPr>
  </w:style>
  <w:style w:type="paragraph" w:styleId="Heading6">
    <w:name w:val="heading 6"/>
    <w:basedOn w:val="HeadingBase"/>
    <w:next w:val="Normal"/>
    <w:link w:val="Heading6Char"/>
    <w:qFormat/>
    <w:rsid w:val="00667D70"/>
    <w:pPr>
      <w:spacing w:before="60"/>
      <w:outlineLvl w:val="5"/>
    </w:pPr>
    <w:rPr>
      <w:color w:val="918585"/>
      <w:sz w:val="20"/>
    </w:rPr>
  </w:style>
  <w:style w:type="paragraph" w:styleId="Heading7">
    <w:name w:val="heading 7"/>
    <w:basedOn w:val="Normal"/>
    <w:next w:val="Normal"/>
    <w:link w:val="Heading7Char"/>
    <w:qFormat/>
    <w:rsid w:val="00667D70"/>
    <w:pPr>
      <w:ind w:left="720"/>
      <w:outlineLvl w:val="6"/>
    </w:pPr>
    <w:rPr>
      <w:i/>
    </w:rPr>
  </w:style>
  <w:style w:type="paragraph" w:styleId="Heading8">
    <w:name w:val="heading 8"/>
    <w:basedOn w:val="Normal"/>
    <w:next w:val="Normal"/>
    <w:link w:val="Heading8Char"/>
    <w:qFormat/>
    <w:rsid w:val="00667D70"/>
    <w:pPr>
      <w:ind w:left="720"/>
      <w:outlineLvl w:val="7"/>
    </w:pPr>
    <w:rPr>
      <w:i/>
    </w:rPr>
  </w:style>
  <w:style w:type="paragraph" w:styleId="Heading9">
    <w:name w:val="heading 9"/>
    <w:basedOn w:val="Normal"/>
    <w:next w:val="Normal"/>
    <w:link w:val="Heading9Char"/>
    <w:qFormat/>
    <w:rsid w:val="00667D70"/>
    <w:pPr>
      <w:ind w:left="720"/>
      <w:outlineLvl w:val="8"/>
    </w:pPr>
    <w:rPr>
      <w:i/>
    </w:rPr>
  </w:style>
  <w:style w:type="character" w:default="1" w:styleId="DefaultParagraphFont">
    <w:name w:val="Default Paragraph Font"/>
    <w:uiPriority w:val="1"/>
    <w:unhideWhenUsed/>
    <w:rsid w:val="00667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D70"/>
  </w:style>
  <w:style w:type="character" w:customStyle="1" w:styleId="Heading1Char">
    <w:name w:val="Heading 1 Char"/>
    <w:basedOn w:val="DefaultParagraphFont"/>
    <w:link w:val="Heading1"/>
    <w:rsid w:val="00667D70"/>
    <w:rPr>
      <w:rFonts w:ascii="Times New Roman" w:eastAsia="Times New Roman" w:hAnsi="Times New Roman" w:cs="Times New Roman"/>
      <w:b/>
      <w:sz w:val="32"/>
      <w:szCs w:val="20"/>
      <w:lang w:eastAsia="en-US"/>
    </w:rPr>
  </w:style>
  <w:style w:type="paragraph" w:styleId="BodyText">
    <w:name w:val="Body Text"/>
    <w:basedOn w:val="Normal"/>
    <w:link w:val="BodyTextChar"/>
    <w:rsid w:val="00667D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7D70"/>
    <w:rPr>
      <w:rFonts w:ascii="Times New Roman" w:eastAsia="Times New Roman" w:hAnsi="Times New Roman" w:cs="Times New Roman"/>
      <w:sz w:val="24"/>
      <w:lang w:val="en-US" w:eastAsia="en-US"/>
    </w:rPr>
  </w:style>
  <w:style w:type="paragraph" w:styleId="Footer">
    <w:name w:val="footer"/>
    <w:basedOn w:val="Normal"/>
    <w:link w:val="FooterChar"/>
    <w:rsid w:val="00667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D70"/>
    <w:rPr>
      <w:rFonts w:ascii="Times New Roman" w:eastAsia="Times New Roman" w:hAnsi="Times New Roman" w:cs="Times New Roman"/>
      <w:sz w:val="16"/>
      <w:lang w:val="en-US" w:eastAsia="en-US"/>
    </w:rPr>
  </w:style>
  <w:style w:type="paragraph" w:styleId="List">
    <w:name w:val="List"/>
    <w:basedOn w:val="BodyText"/>
    <w:next w:val="BodyText"/>
    <w:rsid w:val="00667D70"/>
    <w:pPr>
      <w:tabs>
        <w:tab w:val="left" w:pos="340"/>
      </w:tabs>
      <w:spacing w:before="60" w:after="60"/>
      <w:ind w:left="340" w:hanging="340"/>
    </w:pPr>
  </w:style>
  <w:style w:type="paragraph" w:styleId="ListBullet">
    <w:name w:val="List Bullet"/>
    <w:basedOn w:val="List"/>
    <w:rsid w:val="00667D70"/>
    <w:pPr>
      <w:numPr>
        <w:numId w:val="12"/>
      </w:numPr>
      <w:tabs>
        <w:tab w:val="clear" w:pos="340"/>
      </w:tabs>
      <w:spacing w:before="40" w:after="40"/>
    </w:pPr>
  </w:style>
  <w:style w:type="character" w:customStyle="1" w:styleId="SpecialBold">
    <w:name w:val="Special Bold"/>
    <w:basedOn w:val="DefaultParagraphFont"/>
    <w:rsid w:val="00667D70"/>
    <w:rPr>
      <w:b/>
      <w:spacing w:val="0"/>
    </w:rPr>
  </w:style>
  <w:style w:type="paragraph" w:styleId="Header">
    <w:name w:val="header"/>
    <w:basedOn w:val="Normal"/>
    <w:link w:val="HeaderChar"/>
    <w:rsid w:val="00667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D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67D70"/>
    <w:rPr>
      <w:i/>
    </w:rPr>
  </w:style>
  <w:style w:type="paragraph" w:customStyle="1" w:styleId="SuperHeading">
    <w:name w:val="SuperHeading"/>
    <w:basedOn w:val="Normal"/>
    <w:rsid w:val="00667D70"/>
    <w:pPr>
      <w:spacing w:before="240" w:after="120"/>
      <w:outlineLvl w:val="0"/>
    </w:pPr>
    <w:rPr>
      <w:rFonts w:ascii="Times New Roman" w:hAnsi="Times New Roman"/>
      <w:b/>
      <w:sz w:val="28"/>
    </w:rPr>
  </w:style>
  <w:style w:type="paragraph" w:customStyle="1" w:styleId="AllowPageBreak">
    <w:name w:val="AllowPageBreak"/>
    <w:rsid w:val="00667D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7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D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7D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7D70"/>
    <w:rPr>
      <w:rFonts w:ascii="Courier New" w:eastAsia="Times New Roman" w:hAnsi="Courier New" w:cs="Times New Roman"/>
      <w:i/>
      <w:szCs w:val="20"/>
      <w:lang w:val="en-US" w:eastAsia="en-US"/>
    </w:rPr>
  </w:style>
  <w:style w:type="paragraph" w:customStyle="1" w:styleId="HeadingBase">
    <w:name w:val="Heading Base"/>
    <w:rsid w:val="00667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D70"/>
    <w:pPr>
      <w:tabs>
        <w:tab w:val="right" w:leader="dot" w:pos="9072"/>
      </w:tabs>
      <w:ind w:left="567"/>
    </w:pPr>
    <w:rPr>
      <w:szCs w:val="22"/>
    </w:rPr>
  </w:style>
  <w:style w:type="paragraph" w:customStyle="1" w:styleId="TOCBase">
    <w:name w:val="TOC Base"/>
    <w:rsid w:val="00667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D70"/>
    <w:pPr>
      <w:tabs>
        <w:tab w:val="right" w:leader="dot" w:pos="9072"/>
      </w:tabs>
      <w:spacing w:before="40" w:after="40"/>
      <w:ind w:left="284"/>
    </w:pPr>
    <w:rPr>
      <w:rFonts w:ascii="Times New Roman" w:hAnsi="Times New Roman"/>
    </w:rPr>
  </w:style>
  <w:style w:type="paragraph" w:styleId="TOC1">
    <w:name w:val="toc 1"/>
    <w:basedOn w:val="TOCBase"/>
    <w:next w:val="Normal"/>
    <w:rsid w:val="00667D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7D70"/>
    <w:pPr>
      <w:spacing w:before="5040"/>
      <w:jc w:val="center"/>
    </w:pPr>
    <w:rPr>
      <w:sz w:val="48"/>
      <w:szCs w:val="72"/>
      <w:lang w:val="en-US"/>
    </w:rPr>
  </w:style>
  <w:style w:type="character" w:customStyle="1" w:styleId="TitleChar">
    <w:name w:val="Title Char"/>
    <w:basedOn w:val="DefaultParagraphFont"/>
    <w:link w:val="Title"/>
    <w:rsid w:val="00667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D70"/>
    <w:pPr>
      <w:tabs>
        <w:tab w:val="left" w:pos="3600"/>
        <w:tab w:val="left" w:pos="3958"/>
      </w:tabs>
    </w:pPr>
  </w:style>
  <w:style w:type="paragraph" w:customStyle="1" w:styleId="Note">
    <w:name w:val="Note"/>
    <w:basedOn w:val="BodyText"/>
    <w:rsid w:val="00667D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D70"/>
    <w:pPr>
      <w:framePr w:wrap="auto" w:hAnchor="text" w:y="6049"/>
    </w:pPr>
    <w:rPr>
      <w:color w:val="000000"/>
      <w:sz w:val="40"/>
    </w:rPr>
  </w:style>
  <w:style w:type="paragraph" w:customStyle="1" w:styleId="TOCTitle">
    <w:name w:val="TOCTitle"/>
    <w:basedOn w:val="Heading1"/>
    <w:rsid w:val="00667D70"/>
    <w:pPr>
      <w:spacing w:after="240"/>
      <w:jc w:val="center"/>
      <w:outlineLvl w:val="9"/>
    </w:pPr>
    <w:rPr>
      <w:caps/>
    </w:rPr>
  </w:style>
  <w:style w:type="paragraph" w:customStyle="1" w:styleId="Version">
    <w:name w:val="Version"/>
    <w:rsid w:val="00667D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7D70"/>
    <w:pPr>
      <w:numPr>
        <w:numId w:val="13"/>
      </w:numPr>
      <w:tabs>
        <w:tab w:val="clear" w:pos="680"/>
      </w:tabs>
    </w:pPr>
  </w:style>
  <w:style w:type="paragraph" w:styleId="Index1">
    <w:name w:val="index 1"/>
    <w:basedOn w:val="Normal"/>
    <w:next w:val="Normal"/>
    <w:semiHidden/>
    <w:rsid w:val="00667D70"/>
    <w:pPr>
      <w:keepNext w:val="0"/>
      <w:tabs>
        <w:tab w:val="right" w:pos="4176"/>
      </w:tabs>
      <w:ind w:left="198" w:hanging="198"/>
    </w:pPr>
    <w:rPr>
      <w:rFonts w:ascii="Garamond" w:hAnsi="Garamond"/>
    </w:rPr>
  </w:style>
  <w:style w:type="paragraph" w:styleId="IndexHeading">
    <w:name w:val="index heading"/>
    <w:basedOn w:val="Normal"/>
    <w:next w:val="Index1"/>
    <w:semiHidden/>
    <w:rsid w:val="00667D70"/>
    <w:pPr>
      <w:spacing w:before="120" w:after="120"/>
    </w:pPr>
    <w:rPr>
      <w:rFonts w:ascii="Arial" w:hAnsi="Arial"/>
      <w:b/>
      <w:color w:val="918585"/>
      <w:sz w:val="24"/>
    </w:rPr>
  </w:style>
  <w:style w:type="paragraph" w:customStyle="1" w:styleId="Chapter">
    <w:name w:val="Chapter"/>
    <w:basedOn w:val="Normal"/>
    <w:rsid w:val="00667D70"/>
    <w:pPr>
      <w:spacing w:before="240"/>
    </w:pPr>
    <w:rPr>
      <w:rFonts w:ascii="Times New Roman" w:hAnsi="Times New Roman"/>
      <w:smallCaps/>
      <w:spacing w:val="80"/>
      <w:sz w:val="28"/>
    </w:rPr>
  </w:style>
  <w:style w:type="paragraph" w:customStyle="1" w:styleId="InChapter">
    <w:name w:val="InChapter"/>
    <w:basedOn w:val="Heading3"/>
    <w:rsid w:val="00667D70"/>
    <w:pPr>
      <w:spacing w:after="240"/>
      <w:outlineLvl w:val="9"/>
    </w:pPr>
    <w:rPr>
      <w:noProof/>
    </w:rPr>
  </w:style>
  <w:style w:type="paragraph" w:styleId="Index2">
    <w:name w:val="index 2"/>
    <w:basedOn w:val="Normal"/>
    <w:next w:val="Normal"/>
    <w:semiHidden/>
    <w:rsid w:val="00667D70"/>
    <w:pPr>
      <w:tabs>
        <w:tab w:val="right" w:pos="4176"/>
      </w:tabs>
      <w:ind w:left="568" w:hanging="284"/>
    </w:pPr>
    <w:rPr>
      <w:rFonts w:ascii="Garamond" w:hAnsi="Garamond"/>
    </w:rPr>
  </w:style>
  <w:style w:type="paragraph" w:customStyle="1" w:styleId="Byline">
    <w:name w:val="Byline"/>
    <w:rsid w:val="00667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D70"/>
    <w:pPr>
      <w:tabs>
        <w:tab w:val="clear" w:pos="3600"/>
        <w:tab w:val="clear" w:pos="3958"/>
      </w:tabs>
      <w:jc w:val="right"/>
    </w:pPr>
  </w:style>
  <w:style w:type="paragraph" w:styleId="Caption">
    <w:name w:val="caption"/>
    <w:basedOn w:val="BodyText"/>
    <w:next w:val="Normal"/>
    <w:qFormat/>
    <w:rsid w:val="00667D70"/>
    <w:pPr>
      <w:framePr w:w="2268" w:hSpace="181" w:vSpace="181" w:wrap="around" w:vAnchor="text" w:hAnchor="page" w:x="1135" w:y="285" w:anchorLock="1"/>
    </w:pPr>
    <w:rPr>
      <w:i/>
    </w:rPr>
  </w:style>
  <w:style w:type="paragraph" w:customStyle="1" w:styleId="MiniTOCTitle">
    <w:name w:val="MiniTOCTitle"/>
    <w:basedOn w:val="Heading4"/>
    <w:rsid w:val="00667D70"/>
    <w:pPr>
      <w:spacing w:before="240"/>
      <w:outlineLvl w:val="9"/>
    </w:pPr>
    <w:rPr>
      <w:noProof/>
      <w:sz w:val="24"/>
    </w:rPr>
  </w:style>
  <w:style w:type="paragraph" w:customStyle="1" w:styleId="MiniTOCItem">
    <w:name w:val="MiniTOCItem"/>
    <w:basedOn w:val="ListBullet"/>
    <w:rsid w:val="00667D70"/>
    <w:pPr>
      <w:numPr>
        <w:numId w:val="0"/>
      </w:numPr>
      <w:tabs>
        <w:tab w:val="right" w:leader="dot" w:pos="6521"/>
      </w:tabs>
      <w:spacing w:before="0" w:after="0"/>
    </w:pPr>
  </w:style>
  <w:style w:type="paragraph" w:customStyle="1" w:styleId="TOFTitle">
    <w:name w:val="TOFTitle"/>
    <w:basedOn w:val="TOCTitle"/>
    <w:rsid w:val="00667D70"/>
  </w:style>
  <w:style w:type="paragraph" w:styleId="TableofFigures">
    <w:name w:val="table of figures"/>
    <w:basedOn w:val="Normal"/>
    <w:next w:val="Normal"/>
    <w:semiHidden/>
    <w:rsid w:val="00667D70"/>
    <w:pPr>
      <w:tabs>
        <w:tab w:val="right" w:leader="dot" w:pos="9072"/>
      </w:tabs>
      <w:ind w:left="970" w:hanging="403"/>
    </w:pPr>
    <w:rPr>
      <w:rFonts w:ascii="Times New Roman" w:hAnsi="Times New Roman"/>
      <w:b/>
    </w:rPr>
  </w:style>
  <w:style w:type="paragraph" w:styleId="ListNumber">
    <w:name w:val="List Number"/>
    <w:basedOn w:val="List"/>
    <w:rsid w:val="00667D70"/>
    <w:pPr>
      <w:numPr>
        <w:numId w:val="10"/>
      </w:numPr>
    </w:pPr>
  </w:style>
  <w:style w:type="character" w:customStyle="1" w:styleId="WingdingSymbols">
    <w:name w:val="Wingding Symbols"/>
    <w:rsid w:val="00667D70"/>
    <w:rPr>
      <w:rFonts w:ascii="Wingdings" w:hAnsi="Wingdings"/>
    </w:rPr>
  </w:style>
  <w:style w:type="paragraph" w:customStyle="1" w:styleId="TableHeading">
    <w:name w:val="Table Heading"/>
    <w:basedOn w:val="HeadingBase"/>
    <w:rsid w:val="00667D70"/>
    <w:pPr>
      <w:keepLines/>
      <w:pBdr>
        <w:bottom w:val="single" w:sz="6" w:space="1" w:color="918585"/>
      </w:pBdr>
      <w:spacing w:before="240"/>
    </w:pPr>
  </w:style>
  <w:style w:type="character" w:customStyle="1" w:styleId="HotSpot">
    <w:name w:val="HotSpot"/>
    <w:rsid w:val="00667D70"/>
    <w:rPr>
      <w:color w:val="0033CC"/>
      <w:u w:val="none"/>
    </w:rPr>
  </w:style>
  <w:style w:type="paragraph" w:customStyle="1" w:styleId="BodyTextRight">
    <w:name w:val="Body Text Right"/>
    <w:basedOn w:val="BodyText"/>
    <w:rsid w:val="00667D70"/>
    <w:pPr>
      <w:spacing w:before="0" w:after="0"/>
      <w:jc w:val="right"/>
    </w:pPr>
  </w:style>
  <w:style w:type="paragraph" w:styleId="Index3">
    <w:name w:val="index 3"/>
    <w:basedOn w:val="ListNumber2"/>
    <w:next w:val="Normal"/>
    <w:semiHidden/>
    <w:rsid w:val="00667D70"/>
    <w:pPr>
      <w:numPr>
        <w:numId w:val="0"/>
      </w:numPr>
      <w:tabs>
        <w:tab w:val="right" w:leader="dot" w:pos="4176"/>
      </w:tabs>
    </w:pPr>
  </w:style>
  <w:style w:type="paragraph" w:styleId="ListNumber2">
    <w:name w:val="List Number 2"/>
    <w:basedOn w:val="List2"/>
    <w:rsid w:val="00667D70"/>
    <w:pPr>
      <w:numPr>
        <w:numId w:val="9"/>
      </w:numPr>
      <w:tabs>
        <w:tab w:val="clear" w:pos="1060"/>
      </w:tabs>
    </w:pPr>
  </w:style>
  <w:style w:type="paragraph" w:customStyle="1" w:styleId="MarginNote">
    <w:name w:val="Margin Note"/>
    <w:basedOn w:val="BodyText"/>
    <w:rsid w:val="00667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D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7D70"/>
    <w:rPr>
      <w:sz w:val="32"/>
    </w:rPr>
  </w:style>
  <w:style w:type="paragraph" w:customStyle="1" w:styleId="HeadingProcedure">
    <w:name w:val="Heading Procedure"/>
    <w:basedOn w:val="HeadingBase"/>
    <w:next w:val="Normal"/>
    <w:rsid w:val="00667D70"/>
    <w:pPr>
      <w:tabs>
        <w:tab w:val="left" w:pos="0"/>
      </w:tabs>
      <w:spacing w:before="120" w:after="60"/>
    </w:pPr>
    <w:rPr>
      <w:i/>
      <w:color w:val="918585"/>
      <w:sz w:val="22"/>
    </w:rPr>
  </w:style>
  <w:style w:type="paragraph" w:customStyle="1" w:styleId="TableBodyText">
    <w:name w:val="Table Body Text"/>
    <w:basedOn w:val="BodyText"/>
    <w:rsid w:val="00667D70"/>
    <w:pPr>
      <w:spacing w:before="60" w:after="60"/>
    </w:pPr>
  </w:style>
  <w:style w:type="paragraph" w:styleId="ListContinue">
    <w:name w:val="List Continue"/>
    <w:basedOn w:val="List"/>
    <w:rsid w:val="00667D70"/>
    <w:pPr>
      <w:ind w:firstLine="0"/>
    </w:pPr>
  </w:style>
  <w:style w:type="paragraph" w:customStyle="1" w:styleId="ListNote">
    <w:name w:val="List Note"/>
    <w:basedOn w:val="List"/>
    <w:rsid w:val="00667D70"/>
    <w:pPr>
      <w:pBdr>
        <w:top w:val="single" w:sz="6" w:space="2" w:color="918585"/>
        <w:bottom w:val="single" w:sz="6" w:space="2" w:color="918585"/>
      </w:pBdr>
      <w:tabs>
        <w:tab w:val="left" w:pos="1021"/>
      </w:tabs>
      <w:ind w:firstLine="0"/>
    </w:pPr>
  </w:style>
  <w:style w:type="paragraph" w:customStyle="1" w:styleId="Warning">
    <w:name w:val="Warning"/>
    <w:basedOn w:val="BodyText"/>
    <w:rsid w:val="00667D70"/>
    <w:pPr>
      <w:shd w:val="clear" w:color="auto" w:fill="D9D9D9"/>
      <w:tabs>
        <w:tab w:val="left" w:pos="992"/>
      </w:tabs>
      <w:ind w:left="119" w:right="119"/>
    </w:pPr>
    <w:rPr>
      <w:sz w:val="20"/>
    </w:rPr>
  </w:style>
  <w:style w:type="paragraph" w:customStyle="1" w:styleId="MarginIcons">
    <w:name w:val="Margin Icons"/>
    <w:basedOn w:val="BodyText"/>
    <w:rsid w:val="00667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D70"/>
    <w:rPr>
      <w:rFonts w:ascii="Courier New" w:hAnsi="Courier New"/>
    </w:rPr>
  </w:style>
  <w:style w:type="paragraph" w:customStyle="1" w:styleId="NoteBullet">
    <w:name w:val="Note Bullet"/>
    <w:basedOn w:val="Note"/>
    <w:rsid w:val="00667D70"/>
    <w:pPr>
      <w:tabs>
        <w:tab w:val="clear" w:pos="680"/>
      </w:tabs>
      <w:spacing w:before="60" w:after="60"/>
    </w:pPr>
  </w:style>
  <w:style w:type="paragraph" w:customStyle="1" w:styleId="SubHeading2">
    <w:name w:val="SubHeading2"/>
    <w:basedOn w:val="HeadingBase"/>
    <w:rsid w:val="00667D70"/>
    <w:pPr>
      <w:spacing w:before="240" w:after="60"/>
    </w:pPr>
    <w:rPr>
      <w:sz w:val="20"/>
    </w:rPr>
  </w:style>
  <w:style w:type="paragraph" w:customStyle="1" w:styleId="SubHeading1">
    <w:name w:val="SubHeading1"/>
    <w:basedOn w:val="HeadingBase"/>
    <w:rsid w:val="00667D70"/>
    <w:pPr>
      <w:spacing w:before="240" w:after="60"/>
    </w:pPr>
    <w:rPr>
      <w:color w:val="918585"/>
      <w:sz w:val="22"/>
    </w:rPr>
  </w:style>
  <w:style w:type="paragraph" w:customStyle="1" w:styleId="SideHeading">
    <w:name w:val="Side Heading"/>
    <w:basedOn w:val="HeadingBase"/>
    <w:rsid w:val="00667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D70"/>
    <w:pPr>
      <w:tabs>
        <w:tab w:val="num" w:pos="360"/>
      </w:tabs>
    </w:pPr>
  </w:style>
  <w:style w:type="paragraph" w:styleId="PlainText">
    <w:name w:val="Plain Text"/>
    <w:basedOn w:val="Normal"/>
    <w:link w:val="PlainTextChar"/>
    <w:rsid w:val="00667D70"/>
    <w:rPr>
      <w:sz w:val="20"/>
    </w:rPr>
  </w:style>
  <w:style w:type="character" w:customStyle="1" w:styleId="PlainTextChar">
    <w:name w:val="Plain Text Char"/>
    <w:basedOn w:val="DefaultParagraphFont"/>
    <w:link w:val="PlainText"/>
    <w:rsid w:val="00667D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7D70"/>
    <w:rPr>
      <w:b/>
      <w:smallCaps/>
    </w:rPr>
  </w:style>
  <w:style w:type="paragraph" w:customStyle="1" w:styleId="TableListNumber">
    <w:name w:val="Table List Number"/>
    <w:basedOn w:val="ListNumber"/>
    <w:rsid w:val="00667D70"/>
    <w:pPr>
      <w:numPr>
        <w:numId w:val="0"/>
      </w:numPr>
    </w:pPr>
  </w:style>
  <w:style w:type="paragraph" w:styleId="TOC4">
    <w:name w:val="toc 4"/>
    <w:basedOn w:val="TOCBase"/>
    <w:next w:val="Normal"/>
    <w:semiHidden/>
    <w:rsid w:val="00667D70"/>
    <w:pPr>
      <w:tabs>
        <w:tab w:val="right" w:leader="dot" w:pos="9071"/>
      </w:tabs>
      <w:ind w:left="1701"/>
    </w:pPr>
  </w:style>
  <w:style w:type="paragraph" w:customStyle="1" w:styleId="ListAlpha">
    <w:name w:val="List Alpha"/>
    <w:basedOn w:val="List"/>
    <w:rsid w:val="00667D70"/>
    <w:pPr>
      <w:numPr>
        <w:numId w:val="8"/>
      </w:numPr>
    </w:pPr>
  </w:style>
  <w:style w:type="paragraph" w:customStyle="1" w:styleId="ListAlpha2">
    <w:name w:val="List Alpha 2"/>
    <w:basedOn w:val="List2"/>
    <w:rsid w:val="00667D70"/>
    <w:pPr>
      <w:numPr>
        <w:numId w:val="7"/>
      </w:numPr>
    </w:pPr>
  </w:style>
  <w:style w:type="paragraph" w:styleId="List2">
    <w:name w:val="List 2"/>
    <w:basedOn w:val="BodyText"/>
    <w:rsid w:val="00667D70"/>
    <w:pPr>
      <w:tabs>
        <w:tab w:val="left" w:pos="680"/>
      </w:tabs>
      <w:spacing w:before="60" w:after="60"/>
      <w:ind w:left="680" w:hanging="340"/>
    </w:pPr>
  </w:style>
  <w:style w:type="paragraph" w:styleId="List3">
    <w:name w:val="List 3"/>
    <w:basedOn w:val="BodyText"/>
    <w:rsid w:val="00667D70"/>
    <w:pPr>
      <w:tabs>
        <w:tab w:val="left" w:pos="1021"/>
      </w:tabs>
      <w:spacing w:before="60" w:after="60"/>
      <w:ind w:left="1020" w:hanging="340"/>
    </w:pPr>
  </w:style>
  <w:style w:type="paragraph" w:styleId="List4">
    <w:name w:val="List 4"/>
    <w:basedOn w:val="BodyText"/>
    <w:rsid w:val="00667D70"/>
    <w:pPr>
      <w:tabs>
        <w:tab w:val="left" w:pos="1361"/>
      </w:tabs>
      <w:spacing w:before="60" w:after="60"/>
      <w:ind w:left="1361" w:hanging="340"/>
    </w:pPr>
  </w:style>
  <w:style w:type="paragraph" w:styleId="List5">
    <w:name w:val="List 5"/>
    <w:basedOn w:val="BodyText"/>
    <w:rsid w:val="00667D70"/>
    <w:pPr>
      <w:tabs>
        <w:tab w:val="left" w:pos="1701"/>
      </w:tabs>
      <w:spacing w:before="60" w:after="60"/>
      <w:ind w:left="1701" w:hanging="340"/>
    </w:pPr>
  </w:style>
  <w:style w:type="paragraph" w:styleId="ListBullet3">
    <w:name w:val="List Bullet 3"/>
    <w:basedOn w:val="List3"/>
    <w:rsid w:val="00667D70"/>
    <w:pPr>
      <w:numPr>
        <w:numId w:val="14"/>
      </w:numPr>
      <w:tabs>
        <w:tab w:val="clear" w:pos="1021"/>
      </w:tabs>
      <w:ind w:left="1037" w:hanging="357"/>
    </w:pPr>
  </w:style>
  <w:style w:type="paragraph" w:styleId="ListBullet4">
    <w:name w:val="List Bullet 4"/>
    <w:basedOn w:val="List4"/>
    <w:rsid w:val="00667D70"/>
    <w:pPr>
      <w:numPr>
        <w:numId w:val="2"/>
      </w:numPr>
    </w:pPr>
  </w:style>
  <w:style w:type="paragraph" w:styleId="ListBullet5">
    <w:name w:val="List Bullet 5"/>
    <w:basedOn w:val="List5"/>
    <w:rsid w:val="00667D70"/>
    <w:pPr>
      <w:numPr>
        <w:numId w:val="3"/>
      </w:numPr>
    </w:pPr>
  </w:style>
  <w:style w:type="paragraph" w:styleId="ListContinue2">
    <w:name w:val="List Continue 2"/>
    <w:basedOn w:val="List2"/>
    <w:rsid w:val="00667D70"/>
    <w:pPr>
      <w:ind w:firstLine="0"/>
    </w:pPr>
  </w:style>
  <w:style w:type="paragraph" w:styleId="ListContinue3">
    <w:name w:val="List Continue 3"/>
    <w:basedOn w:val="List3"/>
    <w:rsid w:val="00667D70"/>
    <w:pPr>
      <w:ind w:left="1021" w:firstLine="0"/>
    </w:pPr>
  </w:style>
  <w:style w:type="paragraph" w:styleId="ListContinue4">
    <w:name w:val="List Continue 4"/>
    <w:basedOn w:val="List4"/>
    <w:rsid w:val="00667D70"/>
    <w:pPr>
      <w:ind w:firstLine="0"/>
    </w:pPr>
  </w:style>
  <w:style w:type="paragraph" w:styleId="ListContinue5">
    <w:name w:val="List Continue 5"/>
    <w:basedOn w:val="List5"/>
    <w:rsid w:val="00667D70"/>
    <w:pPr>
      <w:ind w:firstLine="0"/>
    </w:pPr>
  </w:style>
  <w:style w:type="paragraph" w:styleId="ListNumber3">
    <w:name w:val="List Number 3"/>
    <w:basedOn w:val="List3"/>
    <w:rsid w:val="00667D70"/>
    <w:pPr>
      <w:numPr>
        <w:numId w:val="4"/>
      </w:numPr>
    </w:pPr>
  </w:style>
  <w:style w:type="paragraph" w:styleId="ListNumber4">
    <w:name w:val="List Number 4"/>
    <w:basedOn w:val="List4"/>
    <w:rsid w:val="00667D70"/>
    <w:pPr>
      <w:numPr>
        <w:numId w:val="5"/>
      </w:numPr>
    </w:pPr>
  </w:style>
  <w:style w:type="paragraph" w:styleId="ListNumber5">
    <w:name w:val="List Number 5"/>
    <w:basedOn w:val="List5"/>
    <w:rsid w:val="00667D70"/>
    <w:pPr>
      <w:numPr>
        <w:numId w:val="6"/>
      </w:numPr>
    </w:pPr>
  </w:style>
  <w:style w:type="paragraph" w:styleId="BlockText">
    <w:name w:val="Block Text"/>
    <w:basedOn w:val="Normal"/>
    <w:rsid w:val="00667D70"/>
    <w:pPr>
      <w:spacing w:after="120"/>
      <w:ind w:left="1440" w:right="1440"/>
    </w:pPr>
  </w:style>
  <w:style w:type="character" w:customStyle="1" w:styleId="Subscript">
    <w:name w:val="Subscript"/>
    <w:basedOn w:val="DefaultParagraphFont"/>
    <w:rsid w:val="00667D70"/>
    <w:rPr>
      <w:sz w:val="16"/>
      <w:vertAlign w:val="subscript"/>
    </w:rPr>
  </w:style>
  <w:style w:type="character" w:customStyle="1" w:styleId="Superscript">
    <w:name w:val="Superscript"/>
    <w:basedOn w:val="DefaultParagraphFont"/>
    <w:rsid w:val="00667D70"/>
    <w:rPr>
      <w:sz w:val="16"/>
      <w:vertAlign w:val="superscript"/>
    </w:rPr>
  </w:style>
  <w:style w:type="character" w:customStyle="1" w:styleId="Symbols">
    <w:name w:val="Symbols"/>
    <w:basedOn w:val="DefaultParagraphFont"/>
    <w:rsid w:val="00667D70"/>
    <w:rPr>
      <w:rFonts w:ascii="Symbol" w:hAnsi="Symbol"/>
    </w:rPr>
  </w:style>
  <w:style w:type="character" w:customStyle="1" w:styleId="MenuOptions">
    <w:name w:val="Menu Options"/>
    <w:basedOn w:val="DefaultParagraphFont"/>
    <w:rsid w:val="00667D70"/>
    <w:rPr>
      <w:rFonts w:ascii="Arial Narrow" w:hAnsi="Arial Narrow"/>
      <w:smallCaps/>
    </w:rPr>
  </w:style>
  <w:style w:type="character" w:customStyle="1" w:styleId="Buttons">
    <w:name w:val="Buttons"/>
    <w:basedOn w:val="DefaultParagraphFont"/>
    <w:rsid w:val="00667D70"/>
    <w:rPr>
      <w:b/>
    </w:rPr>
  </w:style>
  <w:style w:type="character" w:customStyle="1" w:styleId="Underlined">
    <w:name w:val="Underlined"/>
    <w:basedOn w:val="DefaultParagraphFont"/>
    <w:rsid w:val="00667D70"/>
    <w:rPr>
      <w:u w:val="single"/>
    </w:rPr>
  </w:style>
  <w:style w:type="paragraph" w:customStyle="1" w:styleId="TableBodyTextRight">
    <w:name w:val="Table Body Text Right"/>
    <w:basedOn w:val="TableBodyText"/>
    <w:rsid w:val="00667D70"/>
    <w:pPr>
      <w:widowControl w:val="0"/>
      <w:autoSpaceDE w:val="0"/>
      <w:autoSpaceDN w:val="0"/>
      <w:adjustRightInd w:val="0"/>
      <w:jc w:val="right"/>
    </w:pPr>
    <w:rPr>
      <w:rFonts w:cs="Arial"/>
      <w:szCs w:val="18"/>
    </w:rPr>
  </w:style>
  <w:style w:type="paragraph" w:customStyle="1" w:styleId="CopyrightText">
    <w:name w:val="Copyright Text"/>
    <w:basedOn w:val="BodyText"/>
    <w:rsid w:val="00667D70"/>
    <w:rPr>
      <w:sz w:val="18"/>
    </w:rPr>
  </w:style>
  <w:style w:type="paragraph" w:customStyle="1" w:styleId="BodySmallRight">
    <w:name w:val="Body Small Right"/>
    <w:basedOn w:val="BodyTextRight"/>
    <w:rsid w:val="00667D70"/>
    <w:rPr>
      <w:sz w:val="18"/>
      <w:szCs w:val="18"/>
    </w:rPr>
  </w:style>
  <w:style w:type="paragraph" w:customStyle="1" w:styleId="MarginEdition">
    <w:name w:val="Margin Edition"/>
    <w:basedOn w:val="MarginNote"/>
    <w:rsid w:val="00667D70"/>
    <w:pPr>
      <w:spacing w:before="0" w:after="0"/>
    </w:pPr>
    <w:rPr>
      <w:rFonts w:ascii="Times New Roman" w:hAnsi="Times New Roman"/>
      <w:color w:val="999999"/>
    </w:rPr>
  </w:style>
  <w:style w:type="paragraph" w:customStyle="1" w:styleId="Spacer">
    <w:name w:val="Spacer"/>
    <w:basedOn w:val="Normal"/>
    <w:rsid w:val="00667D70"/>
    <w:rPr>
      <w:sz w:val="2"/>
      <w:szCs w:val="2"/>
    </w:rPr>
  </w:style>
  <w:style w:type="character" w:customStyle="1" w:styleId="Small">
    <w:name w:val="Small"/>
    <w:basedOn w:val="DefaultParagraphFont"/>
    <w:rsid w:val="00667D70"/>
    <w:rPr>
      <w:sz w:val="16"/>
    </w:rPr>
  </w:style>
  <w:style w:type="paragraph" w:customStyle="1" w:styleId="WideTable">
    <w:name w:val="Wide Table"/>
    <w:basedOn w:val="Normal"/>
    <w:rsid w:val="00667D70"/>
    <w:pPr>
      <w:ind w:left="-1418"/>
    </w:pPr>
    <w:rPr>
      <w:sz w:val="2"/>
      <w:szCs w:val="2"/>
    </w:rPr>
  </w:style>
  <w:style w:type="character" w:styleId="PageNumber">
    <w:name w:val="page number"/>
    <w:basedOn w:val="DefaultParagraphFont"/>
    <w:rsid w:val="00667D70"/>
  </w:style>
  <w:style w:type="paragraph" w:styleId="Quote">
    <w:name w:val="Quote"/>
    <w:basedOn w:val="Heading1"/>
    <w:link w:val="QuoteChar"/>
    <w:qFormat/>
    <w:rsid w:val="00667D70"/>
    <w:rPr>
      <w:b w:val="0"/>
      <w:sz w:val="72"/>
      <w:szCs w:val="72"/>
      <w:lang w:val="en-NZ"/>
    </w:rPr>
  </w:style>
  <w:style w:type="character" w:customStyle="1" w:styleId="QuoteChar">
    <w:name w:val="Quote Char"/>
    <w:basedOn w:val="DefaultParagraphFont"/>
    <w:link w:val="Quote"/>
    <w:rsid w:val="00667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D70"/>
    <w:pPr>
      <w:pageBreakBefore/>
    </w:pPr>
  </w:style>
  <w:style w:type="paragraph" w:customStyle="1" w:styleId="Border">
    <w:name w:val="Border"/>
    <w:basedOn w:val="Normal"/>
    <w:qFormat/>
    <w:rsid w:val="00667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D70"/>
    <w:rPr>
      <w:b/>
      <w:bCs/>
      <w:i/>
      <w:iCs/>
      <w:color w:val="auto"/>
    </w:rPr>
  </w:style>
  <w:style w:type="paragraph" w:styleId="IntenseQuote">
    <w:name w:val="Intense Quote"/>
    <w:basedOn w:val="Normal"/>
    <w:next w:val="Normal"/>
    <w:link w:val="IntenseQuoteChar"/>
    <w:uiPriority w:val="30"/>
    <w:qFormat/>
    <w:rsid w:val="00667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D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7D70"/>
    <w:rPr>
      <w:smallCaps/>
      <w:color w:val="auto"/>
      <w:u w:val="single"/>
    </w:rPr>
  </w:style>
  <w:style w:type="character" w:styleId="IntenseReference">
    <w:name w:val="Intense Reference"/>
    <w:basedOn w:val="DefaultParagraphFont"/>
    <w:uiPriority w:val="32"/>
    <w:qFormat/>
    <w:rsid w:val="00667D70"/>
    <w:rPr>
      <w:b/>
      <w:bCs/>
      <w:smallCaps/>
      <w:color w:val="auto"/>
      <w:spacing w:val="5"/>
      <w:u w:val="single"/>
    </w:rPr>
  </w:style>
  <w:style w:type="paragraph" w:customStyle="1" w:styleId="2ColumnHeading">
    <w:name w:val="2Column Heading"/>
    <w:basedOn w:val="BodyText"/>
    <w:qFormat/>
    <w:rsid w:val="00667D70"/>
    <w:pPr>
      <w:spacing w:after="60"/>
      <w:ind w:left="-2268"/>
    </w:pPr>
    <w:rPr>
      <w:b/>
    </w:rPr>
  </w:style>
  <w:style w:type="paragraph" w:customStyle="1" w:styleId="Heading1TOC">
    <w:name w:val="Heading1 TOC"/>
    <w:basedOn w:val="Normal"/>
    <w:qFormat/>
    <w:rsid w:val="00667D70"/>
    <w:pPr>
      <w:spacing w:before="240" w:after="120"/>
    </w:pPr>
    <w:rPr>
      <w:rFonts w:ascii="Times New Roman" w:hAnsi="Times New Roman"/>
      <w:b/>
      <w:sz w:val="32"/>
    </w:rPr>
  </w:style>
  <w:style w:type="paragraph" w:customStyle="1" w:styleId="Heading2TOC">
    <w:name w:val="Heading2 TOC"/>
    <w:basedOn w:val="Normal"/>
    <w:qFormat/>
    <w:rsid w:val="00667D70"/>
    <w:pPr>
      <w:spacing w:before="240" w:after="60"/>
    </w:pPr>
    <w:rPr>
      <w:rFonts w:ascii="Times New Roman" w:hAnsi="Times New Roman"/>
      <w:b/>
      <w:sz w:val="28"/>
    </w:rPr>
  </w:style>
  <w:style w:type="character" w:customStyle="1" w:styleId="Underline">
    <w:name w:val="Underline"/>
    <w:basedOn w:val="DefaultParagraphFont"/>
    <w:qFormat/>
    <w:rsid w:val="00667D70"/>
    <w:rPr>
      <w:u w:val="single"/>
    </w:rPr>
  </w:style>
  <w:style w:type="character" w:customStyle="1" w:styleId="BoldandItalics">
    <w:name w:val="Bold and Italics"/>
    <w:qFormat/>
    <w:rsid w:val="00667D70"/>
    <w:rPr>
      <w:b/>
      <w:i/>
      <w:u w:val="none"/>
    </w:rPr>
  </w:style>
  <w:style w:type="paragraph" w:styleId="BalloonText">
    <w:name w:val="Balloon Text"/>
    <w:basedOn w:val="Normal"/>
    <w:link w:val="BalloonTextChar"/>
    <w:rsid w:val="00667D70"/>
    <w:rPr>
      <w:rFonts w:ascii="Tahoma" w:hAnsi="Tahoma" w:cs="Tahoma"/>
      <w:sz w:val="16"/>
      <w:szCs w:val="16"/>
    </w:rPr>
  </w:style>
  <w:style w:type="character" w:customStyle="1" w:styleId="BalloonTextChar">
    <w:name w:val="Balloon Text Char"/>
    <w:basedOn w:val="DefaultParagraphFont"/>
    <w:link w:val="BalloonText"/>
    <w:rsid w:val="00667D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7D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7D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634</Words>
  <Characters>3873</Characters>
  <Application>Microsoft Office Word</Application>
  <DocSecurity>0</DocSecurity>
  <Lines>120</Lines>
  <Paragraphs>81</Paragraphs>
  <ScaleCrop>false</ScaleCrop>
  <Company>Author-it Software Corporation Ltd.</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SUGTAEM1A Assess extraneous matter in cane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2012-05-27T03:09:00Z</dcterms:created>
  <dcterms:modified xsi:type="dcterms:W3CDTF">2012-05-27T03:09:00Z</dcterms:modified>
</cp:coreProperties>
</file>