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09ED" w:rsidP="00E609ED">
      <w:pPr>
        <w:pStyle w:val="Title"/>
      </w:pPr>
      <w:r>
        <w:fldChar w:fldCharType="begin"/>
      </w:r>
      <w:r>
        <w:instrText xml:space="preserve"> TITLE   \* MERGEFORMAT </w:instrText>
      </w:r>
      <w:r>
        <w:fldChar w:fldCharType="separate"/>
      </w:r>
      <w:r>
        <w:t>SUGCLCT1A Locate cane transport system and functions</w:t>
      </w:r>
      <w:r>
        <w:fldChar w:fldCharType="end"/>
      </w:r>
    </w:p>
    <w:p w:rsidR="00E609ED" w:rsidP="00E609ED">
      <w:pPr>
        <w:pStyle w:val="Version"/>
        <w:sectPr w:rsidSect="002C3E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C3ECC" w:rsidP="002C3ECC">
      <w:pPr>
        <w:pStyle w:val="SuperHeading"/>
      </w:pPr>
      <w:r w:rsidRPr="002C3ECC">
        <w:t>SUGCLCT1A Locate cane transport system and functions</w:t>
      </w:r>
    </w:p>
    <w:p w:rsidR="00000000" w:rsidRPr="002C3ECC" w:rsidP="002C3ECC">
      <w:pPr>
        <w:pStyle w:val="SuperHeading"/>
      </w:pPr>
    </w:p>
    <w:p w:rsidR="00000000" w:rsidRPr="002C3ECC" w:rsidP="002C3ECC">
      <w:pPr>
        <w:pStyle w:val="Heading1"/>
      </w:pPr>
      <w:bookmarkStart w:id="1" w:name="O_149067"/>
      <w:bookmarkEnd w:id="1"/>
      <w:r w:rsidRPr="002C3ECC">
        <w:t>Modification History</w:t>
      </w:r>
    </w:p>
    <w:p w:rsidR="00000000" w:rsidRPr="002C3ECC" w:rsidP="002C3ECC">
      <w:pPr>
        <w:pStyle w:val="BodyText"/>
      </w:pPr>
      <w:r w:rsidRPr="002C3ECC">
        <w:t>Not applicable.</w:t>
      </w:r>
    </w:p>
    <w:p w:rsidR="00000000" w:rsidRPr="002C3ECC" w:rsidP="002C3ECC">
      <w:pPr>
        <w:pStyle w:val="AllowPageBreak"/>
      </w:pPr>
    </w:p>
    <w:p w:rsidR="00000000" w:rsidRPr="002C3ECC" w:rsidP="002C3ECC">
      <w:pPr>
        <w:pStyle w:val="Heading1"/>
      </w:pPr>
      <w:bookmarkStart w:id="2" w:name="O_149068"/>
      <w:bookmarkEnd w:id="2"/>
      <w:r w:rsidRPr="002C3ECC">
        <w:t>Unit Descriptor</w:t>
      </w:r>
    </w:p>
    <w:tbl>
      <w:tblPr>
        <w:tblW w:w="0" w:type="auto"/>
        <w:tblLayout w:type="fixed"/>
        <w:tblCellMar>
          <w:left w:w="62" w:type="dxa"/>
          <w:right w:w="62" w:type="dxa"/>
        </w:tblCellMar>
        <w:tblLook w:val="0000"/>
      </w:tblPr>
      <w:tblGrid>
        <w:gridCol w:w="8550"/>
      </w:tblGrid>
      <w:tr w:rsidTr="00E609ED">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2C3ECC">
            <w:pPr>
              <w:pStyle w:val="BodyText"/>
              <w:rPr>
                <w:lang w:val="en-NZ"/>
              </w:rPr>
            </w:pPr>
            <w:r w:rsidRPr="002C3ECC">
              <w:rPr>
                <w:rStyle w:val="SpecialBold"/>
              </w:rPr>
              <w:t>Unit descriptor</w:t>
            </w:r>
          </w:p>
        </w:tc>
      </w:tr>
      <w:tr w:rsidTr="00E609ED">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2C3ECC" w:rsidP="002C3ECC">
            <w:pPr>
              <w:pStyle w:val="BodyText"/>
            </w:pPr>
            <w:r w:rsidRPr="002C3ECC">
              <w:t>This is a Core unit for the transport and services streams. It covers the transport system features and layout and provides a general orientation to its operations.</w:t>
            </w:r>
          </w:p>
        </w:tc>
      </w:tr>
    </w:tbl>
    <w:p w:rsidR="00000000" w:rsidRPr="002C3ECC" w:rsidP="002C3ECC">
      <w:pPr>
        <w:pStyle w:val="BodyText"/>
      </w:pPr>
    </w:p>
    <w:p w:rsidR="00000000" w:rsidRPr="002C3ECC" w:rsidP="002C3ECC">
      <w:pPr>
        <w:pStyle w:val="AllowPageBreak"/>
      </w:pPr>
    </w:p>
    <w:p w:rsidR="00000000" w:rsidRPr="002C3ECC" w:rsidP="002C3ECC">
      <w:pPr>
        <w:pStyle w:val="Heading1"/>
      </w:pPr>
      <w:bookmarkStart w:id="3" w:name="O_149069"/>
      <w:bookmarkEnd w:id="3"/>
      <w:r w:rsidRPr="002C3ECC">
        <w:t>Application of the Unit</w:t>
      </w:r>
    </w:p>
    <w:p w:rsidR="00000000" w:rsidRPr="002C3ECC" w:rsidP="002C3ECC">
      <w:pPr>
        <w:pStyle w:val="BodyText"/>
      </w:pPr>
      <w:r w:rsidRPr="002C3ECC">
        <w:t>Not applicable.</w:t>
      </w:r>
    </w:p>
    <w:p w:rsidR="00000000" w:rsidRPr="002C3ECC" w:rsidP="002C3ECC">
      <w:pPr>
        <w:pStyle w:val="AllowPageBreak"/>
      </w:pPr>
    </w:p>
    <w:p w:rsidR="00000000" w:rsidRPr="002C3ECC" w:rsidP="002C3ECC">
      <w:pPr>
        <w:pStyle w:val="Heading1"/>
      </w:pPr>
      <w:bookmarkStart w:id="4" w:name="O_149070"/>
      <w:bookmarkEnd w:id="4"/>
      <w:r w:rsidRPr="002C3ECC">
        <w:t>Licensing/Regul</w:t>
      </w:r>
      <w:r w:rsidRPr="002C3ECC">
        <w:t>atory Information</w:t>
      </w:r>
    </w:p>
    <w:p w:rsidR="00000000" w:rsidRPr="002C3ECC" w:rsidP="002C3ECC">
      <w:pPr>
        <w:pStyle w:val="BodyText"/>
      </w:pPr>
      <w:r w:rsidRPr="002C3ECC">
        <w:t>Not applicable.</w:t>
      </w:r>
    </w:p>
    <w:p w:rsidR="00000000" w:rsidRPr="002C3ECC" w:rsidP="002C3ECC">
      <w:pPr>
        <w:pStyle w:val="AllowPageBreak"/>
      </w:pPr>
    </w:p>
    <w:p w:rsidR="00000000" w:rsidRPr="002C3ECC" w:rsidP="002C3ECC">
      <w:pPr>
        <w:pStyle w:val="Heading1"/>
      </w:pPr>
      <w:bookmarkStart w:id="5" w:name="O_149071"/>
      <w:bookmarkEnd w:id="5"/>
      <w:r w:rsidRPr="002C3ECC">
        <w:t>Pre-Requisites</w:t>
      </w:r>
    </w:p>
    <w:p w:rsidR="00000000" w:rsidRPr="002C3ECC" w:rsidP="002C3ECC">
      <w:pPr>
        <w:pStyle w:val="BodyText"/>
      </w:pPr>
      <w:r w:rsidRPr="002C3ECC">
        <w:t>Not applicable.</w:t>
      </w:r>
    </w:p>
    <w:p w:rsidR="00000000" w:rsidRPr="002C3ECC" w:rsidP="002C3ECC">
      <w:pPr>
        <w:pStyle w:val="AllowPageBreak"/>
      </w:pPr>
    </w:p>
    <w:p w:rsidR="00000000" w:rsidRPr="002C3ECC" w:rsidP="002C3ECC">
      <w:pPr>
        <w:pStyle w:val="Heading1"/>
      </w:pPr>
      <w:bookmarkStart w:id="6" w:name="O_149072"/>
      <w:bookmarkEnd w:id="6"/>
      <w:r w:rsidRPr="002C3ECC">
        <w:t>Employability Skills Information</w:t>
      </w:r>
    </w:p>
    <w:p w:rsidR="00000000" w:rsidRPr="002C3ECC" w:rsidP="002C3ECC">
      <w:pPr>
        <w:pStyle w:val="BodyText"/>
      </w:pPr>
      <w:r w:rsidRPr="002C3ECC">
        <w:t>Not applicable.</w:t>
      </w:r>
    </w:p>
    <w:p w:rsidR="00000000" w:rsidRPr="002C3ECC" w:rsidP="002C3ECC">
      <w:pPr>
        <w:pStyle w:val="AllowPageBreak"/>
      </w:pPr>
    </w:p>
    <w:p w:rsidR="00000000" w:rsidRPr="002C3ECC" w:rsidP="002C3ECC">
      <w:pPr>
        <w:pStyle w:val="Heading1"/>
      </w:pPr>
      <w:bookmarkStart w:id="7" w:name="O_149073"/>
      <w:bookmarkEnd w:id="7"/>
      <w:r w:rsidRPr="002C3ECC">
        <w:t>Elements and Performance Criteria Pre-Content</w:t>
      </w:r>
    </w:p>
    <w:p w:rsidR="00000000" w:rsidRPr="002C3ECC" w:rsidP="002C3ECC">
      <w:pPr>
        <w:pStyle w:val="BodyText"/>
      </w:pPr>
      <w:r w:rsidRPr="002C3ECC">
        <w:t>Not applicable.</w:t>
      </w:r>
    </w:p>
    <w:p w:rsidR="00000000" w:rsidRPr="002C3ECC" w:rsidP="002C3ECC">
      <w:pPr>
        <w:pStyle w:val="AllowPageBreak"/>
      </w:pPr>
    </w:p>
    <w:p w:rsidR="00000000" w:rsidRPr="002C3ECC" w:rsidP="002C3ECC">
      <w:pPr>
        <w:pStyle w:val="Heading1"/>
      </w:pPr>
      <w:bookmarkStart w:id="8" w:name="O_149074"/>
      <w:bookmarkEnd w:id="8"/>
      <w:r w:rsidRPr="002C3ECC">
        <w:t>Elements and Performance Criteria</w:t>
      </w:r>
    </w:p>
    <w:tbl>
      <w:tblPr>
        <w:tblW w:w="0" w:type="auto"/>
        <w:tblLayout w:type="fixed"/>
        <w:tblCellMar>
          <w:left w:w="62" w:type="dxa"/>
          <w:right w:w="62" w:type="dxa"/>
        </w:tblCellMar>
        <w:tblLook w:val="0000"/>
      </w:tblPr>
      <w:tblGrid>
        <w:gridCol w:w="3261"/>
        <w:gridCol w:w="5289"/>
      </w:tblGrid>
      <w:tr w:rsidTr="00E609E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C3ECC" w:rsidP="002C3ECC">
            <w:pPr>
              <w:pStyle w:val="BodyText"/>
            </w:pPr>
            <w:r w:rsidRPr="002C3ECC">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2C3ECC">
            <w:pPr>
              <w:pStyle w:val="BodyText"/>
              <w:rPr>
                <w:lang w:val="en-NZ"/>
              </w:rPr>
            </w:pPr>
            <w:r w:rsidRPr="002C3ECC">
              <w:rPr>
                <w:rStyle w:val="SpecialBold"/>
              </w:rPr>
              <w:t>Performance criteria</w:t>
            </w:r>
          </w:p>
        </w:tc>
      </w:tr>
      <w:tr w:rsidTr="00E609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3ECC">
            <w:pPr>
              <w:pStyle w:val="List"/>
              <w:rPr>
                <w:lang w:val="en-NZ"/>
              </w:rPr>
            </w:pPr>
            <w:r w:rsidRPr="002C3ECC">
              <w:t>1.</w:t>
            </w:r>
            <w:r w:rsidRPr="002C3ECC">
              <w:tab/>
              <w:t>Identify cane transport functions and locations</w:t>
            </w:r>
          </w:p>
        </w:tc>
        <w:tc>
          <w:tcPr>
            <w:tcW w:w="5289" w:type="dxa"/>
            <w:tcBorders>
              <w:top w:val="nil"/>
              <w:left w:val="nil"/>
              <w:bottom w:val="nil"/>
              <w:right w:val="nil"/>
            </w:tcBorders>
            <w:tcMar>
              <w:top w:w="0" w:type="dxa"/>
              <w:left w:w="62" w:type="dxa"/>
              <w:bottom w:w="0" w:type="dxa"/>
              <w:right w:w="62" w:type="dxa"/>
            </w:tcMar>
          </w:tcPr>
          <w:p w:rsidR="00000000" w:rsidRPr="002C3ECC" w:rsidP="002C3ECC">
            <w:pPr>
              <w:pStyle w:val="List"/>
            </w:pPr>
            <w:r w:rsidRPr="002C3ECC">
              <w:t>1.1</w:t>
            </w:r>
            <w:r w:rsidRPr="002C3ECC">
              <w:tab/>
              <w:t>Personal protective clothing and equipment is selected and used</w:t>
            </w:r>
          </w:p>
          <w:p w:rsidR="00000000" w:rsidRPr="002C3ECC" w:rsidP="002C3ECC">
            <w:pPr>
              <w:pStyle w:val="List"/>
            </w:pPr>
            <w:r w:rsidRPr="002C3ECC">
              <w:t>1.2</w:t>
            </w:r>
            <w:r w:rsidRPr="002C3ECC">
              <w:tab/>
              <w:t>Transport system components are identified</w:t>
            </w:r>
          </w:p>
          <w:p w:rsidR="00000000" w:rsidRPr="002C3ECC" w:rsidP="002C3ECC">
            <w:pPr>
              <w:pStyle w:val="List"/>
            </w:pPr>
            <w:r w:rsidRPr="002C3ECC">
              <w:t>1.3</w:t>
            </w:r>
            <w:r w:rsidRPr="002C3ECC">
              <w:tab/>
              <w:t>Communication protocol</w:t>
            </w:r>
            <w:r w:rsidRPr="002C3ECC">
              <w:t>s are observed</w:t>
            </w:r>
          </w:p>
          <w:p w:rsidR="00000000" w:rsidP="002C3ECC">
            <w:pPr>
              <w:pStyle w:val="List"/>
              <w:rPr>
                <w:lang w:val="en-NZ"/>
              </w:rPr>
            </w:pPr>
            <w:r w:rsidRPr="002C3ECC">
              <w:t>1.4</w:t>
            </w:r>
            <w:r w:rsidRPr="002C3ECC">
              <w:tab/>
              <w:t>Workplace records are maintained as required by workplace recording requirements</w:t>
            </w:r>
          </w:p>
        </w:tc>
      </w:tr>
      <w:tr w:rsidTr="00E609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3ECC">
            <w:pPr>
              <w:pStyle w:val="List"/>
              <w:rPr>
                <w:lang w:val="en-NZ"/>
              </w:rPr>
            </w:pPr>
            <w:r w:rsidRPr="002C3ECC">
              <w:t>2.</w:t>
            </w:r>
            <w:r w:rsidRPr="002C3ECC">
              <w:tab/>
              <w:t>Locate, apply and convey information</w:t>
            </w:r>
          </w:p>
        </w:tc>
        <w:tc>
          <w:tcPr>
            <w:tcW w:w="5289" w:type="dxa"/>
            <w:tcBorders>
              <w:top w:val="nil"/>
              <w:left w:val="nil"/>
              <w:bottom w:val="nil"/>
              <w:right w:val="nil"/>
            </w:tcBorders>
            <w:tcMar>
              <w:top w:w="0" w:type="dxa"/>
              <w:left w:w="62" w:type="dxa"/>
              <w:bottom w:w="0" w:type="dxa"/>
              <w:right w:w="62" w:type="dxa"/>
            </w:tcMar>
          </w:tcPr>
          <w:p w:rsidR="00000000" w:rsidRPr="002C3ECC" w:rsidP="002C3ECC">
            <w:pPr>
              <w:pStyle w:val="List"/>
            </w:pPr>
            <w:r w:rsidRPr="002C3ECC">
              <w:t>2.1</w:t>
            </w:r>
            <w:r w:rsidRPr="002C3ECC">
              <w:tab/>
              <w:t xml:space="preserve">Workplace information is accessed and interpreted to identify and locate bins </w:t>
            </w:r>
          </w:p>
          <w:p w:rsidR="00000000" w:rsidRPr="002C3ECC" w:rsidP="002C3ECC">
            <w:pPr>
              <w:pStyle w:val="List"/>
            </w:pPr>
            <w:r w:rsidRPr="002C3ECC">
              <w:t>2.2</w:t>
            </w:r>
            <w:r w:rsidRPr="002C3ECC">
              <w:tab/>
            </w:r>
            <w:r w:rsidRPr="002C3ECC">
              <w:t>Communication protocols are observed when using radio communication equipment</w:t>
            </w:r>
          </w:p>
        </w:tc>
      </w:tr>
    </w:tbl>
    <w:p w:rsidR="00000000" w:rsidRPr="002C3ECC" w:rsidP="002C3ECC">
      <w:pPr>
        <w:pStyle w:val="BodyText"/>
      </w:pPr>
    </w:p>
    <w:p w:rsidR="00000000" w:rsidRPr="002C3ECC" w:rsidP="002C3ECC">
      <w:pPr>
        <w:pStyle w:val="AllowPageBreak"/>
      </w:pPr>
    </w:p>
    <w:p w:rsidR="00000000" w:rsidRPr="002C3ECC" w:rsidP="002C3ECC">
      <w:pPr>
        <w:pStyle w:val="Heading1"/>
      </w:pPr>
      <w:bookmarkStart w:id="9" w:name="O_149075"/>
      <w:bookmarkEnd w:id="9"/>
      <w:r w:rsidRPr="002C3ECC">
        <w:t>Required Skills and Knowledge</w:t>
      </w:r>
    </w:p>
    <w:p w:rsidR="00000000" w:rsidRPr="002C3ECC" w:rsidP="002C3ECC">
      <w:pPr>
        <w:pStyle w:val="BodyText"/>
      </w:pPr>
      <w:r w:rsidRPr="002C3ECC">
        <w:t>Not applicable.</w:t>
      </w:r>
    </w:p>
    <w:p w:rsidR="00000000" w:rsidRPr="002C3ECC" w:rsidP="002C3ECC">
      <w:pPr>
        <w:pStyle w:val="AllowPageBreak"/>
      </w:pPr>
    </w:p>
    <w:p w:rsidR="00000000" w:rsidRPr="002C3ECC" w:rsidP="002C3ECC">
      <w:pPr>
        <w:pStyle w:val="Heading1"/>
      </w:pPr>
      <w:bookmarkStart w:id="10" w:name="O_149076"/>
      <w:bookmarkEnd w:id="10"/>
      <w:r w:rsidRPr="002C3ECC">
        <w:t>Evidence Guide</w:t>
      </w:r>
    </w:p>
    <w:p w:rsidR="00000000" w:rsidRPr="002C3ECC" w:rsidP="002C3ECC">
      <w:pPr>
        <w:pStyle w:val="BodyText"/>
      </w:pPr>
      <w:r w:rsidRPr="002C3ECC">
        <w:rPr>
          <w:rStyle w:val="SpecialBold"/>
        </w:rPr>
        <w:t>Evidence guide</w:t>
      </w:r>
    </w:p>
    <w:p w:rsidR="00000000" w:rsidRPr="002C3ECC" w:rsidP="002C3ECC">
      <w:pPr>
        <w:pStyle w:val="BodyText"/>
      </w:pPr>
      <w:r w:rsidRPr="002C3ECC">
        <w:t xml:space="preserve">The assessment process must address all of the following items of </w:t>
      </w:r>
      <w:r w:rsidRPr="002C3ECC">
        <w:t>evidence.</w:t>
      </w:r>
    </w:p>
    <w:p w:rsidR="00000000" w:rsidRPr="002C3ECC" w:rsidP="002C3ECC">
      <w:pPr>
        <w:pStyle w:val="BodyText"/>
      </w:pPr>
      <w:r w:rsidRPr="002C3ECC">
        <w:rPr>
          <w:rStyle w:val="SpecialBold"/>
        </w:rPr>
        <w:t>Ability to</w:t>
      </w:r>
      <w:r w:rsidRPr="002C3ECC">
        <w:t>:</w:t>
      </w:r>
    </w:p>
    <w:p w:rsidR="00000000" w:rsidRPr="002C3ECC" w:rsidP="002C3ECC">
      <w:pPr>
        <w:pStyle w:val="List"/>
      </w:pPr>
      <w:r w:rsidRPr="002C3ECC">
        <w:t>1.</w:t>
      </w:r>
      <w:r w:rsidRPr="002C3ECC">
        <w:tab/>
        <w:t>Comply with OHS requirements when moving around the site. This includes awareness of how to select, fit and use appropriate personal protective clothing and/or equipment according to work responsibilities</w:t>
      </w:r>
    </w:p>
    <w:p w:rsidR="00000000" w:rsidRPr="002C3ECC" w:rsidP="002C3ECC">
      <w:pPr>
        <w:pStyle w:val="List"/>
      </w:pPr>
      <w:r w:rsidRPr="002C3ECC">
        <w:t>2.</w:t>
      </w:r>
      <w:r w:rsidRPr="002C3ECC">
        <w:tab/>
        <w:t>Identify and components</w:t>
      </w:r>
      <w:r w:rsidRPr="002C3ECC">
        <w:t xml:space="preserve"> of the transport system. This may include main and branch rail lines, yards, sidings, loops, dump points and pads, road transport or other delivery points, storage areas including fuel stores and chemical stores</w:t>
      </w:r>
    </w:p>
    <w:p w:rsidR="00000000" w:rsidRPr="002C3ECC" w:rsidP="002C3ECC">
      <w:pPr>
        <w:pStyle w:val="List"/>
      </w:pPr>
      <w:r w:rsidRPr="002C3ECC">
        <w:t>3.</w:t>
      </w:r>
      <w:r w:rsidRPr="002C3ECC">
        <w:tab/>
        <w:t>Demonstrate use of 2-way radio equipment</w:t>
      </w:r>
      <w:r w:rsidRPr="002C3ECC">
        <w:t xml:space="preserve"> as required</w:t>
      </w:r>
    </w:p>
    <w:p w:rsidR="00000000" w:rsidRPr="002C3ECC" w:rsidP="002C3ECC">
      <w:pPr>
        <w:pStyle w:val="List"/>
      </w:pPr>
      <w:r w:rsidRPr="002C3ECC">
        <w:t>4.</w:t>
      </w:r>
      <w:r w:rsidRPr="002C3ECC">
        <w:tab/>
        <w:t>Maintain housekeeping standards</w:t>
      </w:r>
    </w:p>
    <w:p w:rsidR="00000000" w:rsidRPr="002C3ECC" w:rsidP="002C3ECC">
      <w:pPr>
        <w:pStyle w:val="List"/>
      </w:pPr>
      <w:r w:rsidRPr="002C3ECC">
        <w:t>5.</w:t>
      </w:r>
      <w:r w:rsidRPr="002C3ECC">
        <w:tab/>
        <w:t>Record/communicate information in required format</w:t>
      </w:r>
    </w:p>
    <w:p w:rsidR="00000000" w:rsidRPr="002C3ECC" w:rsidP="002C3ECC">
      <w:pPr>
        <w:pStyle w:val="BodyText"/>
      </w:pPr>
      <w:r w:rsidRPr="002C3ECC">
        <w:t xml:space="preserve">Knowledge </w:t>
      </w:r>
      <w:r w:rsidRPr="002C3ECC">
        <w:rPr>
          <w:rStyle w:val="SpecialBold"/>
        </w:rPr>
        <w:t>of</w:t>
      </w:r>
      <w:r w:rsidRPr="002C3ECC">
        <w:t>:</w:t>
      </w:r>
    </w:p>
    <w:p w:rsidR="00000000" w:rsidRPr="002C3ECC" w:rsidP="002C3ECC">
      <w:pPr>
        <w:pStyle w:val="List"/>
      </w:pPr>
      <w:r w:rsidRPr="002C3ECC">
        <w:t>6.</w:t>
      </w:r>
      <w:r w:rsidRPr="002C3ECC">
        <w:tab/>
        <w:t>Structure and role of cane transport department. This includes identifying key personnel</w:t>
      </w:r>
    </w:p>
    <w:p w:rsidR="00000000" w:rsidRPr="002C3ECC" w:rsidP="002C3ECC">
      <w:pPr>
        <w:pStyle w:val="List"/>
      </w:pPr>
      <w:r w:rsidRPr="002C3ECC">
        <w:t>7.</w:t>
      </w:r>
      <w:r w:rsidRPr="002C3ECC">
        <w:tab/>
      </w:r>
      <w:r w:rsidRPr="002C3ECC">
        <w:t>Transport system components and layout. This includes yard capacity</w:t>
      </w:r>
    </w:p>
    <w:p w:rsidR="00000000" w:rsidRPr="002C3ECC" w:rsidP="002C3ECC">
      <w:pPr>
        <w:pStyle w:val="List"/>
      </w:pPr>
      <w:r w:rsidRPr="002C3ECC">
        <w:t>8.</w:t>
      </w:r>
      <w:r w:rsidRPr="002C3ECC">
        <w:tab/>
        <w:t>Purpose of major components and configuration of the cane railway system. At a minimum this includes an understanding of types of delivery points, for example roll-on, roll-off and tipp</w:t>
      </w:r>
      <w:r w:rsidRPr="002C3ECC">
        <w:t>er pads</w:t>
      </w:r>
    </w:p>
    <w:p w:rsidR="00000000" w:rsidRPr="002C3ECC" w:rsidP="002C3ECC">
      <w:pPr>
        <w:pStyle w:val="List"/>
      </w:pPr>
      <w:r w:rsidRPr="002C3ECC">
        <w:t>9.</w:t>
      </w:r>
      <w:r w:rsidRPr="002C3ECC">
        <w:tab/>
        <w:t>Terminology used to describe transport system and track work components</w:t>
      </w:r>
    </w:p>
    <w:p w:rsidR="00000000" w:rsidRPr="002C3ECC" w:rsidP="002C3ECC">
      <w:pPr>
        <w:pStyle w:val="List"/>
      </w:pPr>
      <w:r w:rsidRPr="002C3ECC">
        <w:t>10.</w:t>
      </w:r>
      <w:r w:rsidRPr="002C3ECC">
        <w:tab/>
        <w:t>Licensing requirements and codes of practice relating to work responsibilities</w:t>
      </w:r>
    </w:p>
    <w:p w:rsidR="00000000" w:rsidRPr="002C3ECC" w:rsidP="002C3ECC">
      <w:pPr>
        <w:pStyle w:val="List"/>
      </w:pPr>
      <w:r w:rsidRPr="002C3ECC">
        <w:t>11.</w:t>
      </w:r>
      <w:r w:rsidRPr="002C3ECC">
        <w:tab/>
        <w:t>Housekeeping standards</w:t>
      </w:r>
    </w:p>
    <w:p w:rsidR="00000000" w:rsidRPr="002C3ECC" w:rsidP="002C3ECC">
      <w:pPr>
        <w:pStyle w:val="List"/>
      </w:pPr>
      <w:r w:rsidRPr="002C3ECC">
        <w:t>12.</w:t>
      </w:r>
      <w:r w:rsidRPr="002C3ECC">
        <w:tab/>
        <w:t>Bin identification system including consignment notes and r</w:t>
      </w:r>
      <w:r w:rsidRPr="002C3ECC">
        <w:t>elated documentation. It may also include remote electronic data transfer and capture systems used in the workplace</w:t>
      </w:r>
    </w:p>
    <w:p w:rsidR="00000000" w:rsidRPr="002C3ECC" w:rsidP="002C3ECC">
      <w:pPr>
        <w:pStyle w:val="List"/>
      </w:pPr>
      <w:r w:rsidRPr="002C3ECC">
        <w:t>13.</w:t>
      </w:r>
      <w:r w:rsidRPr="002C3ECC">
        <w:tab/>
        <w:t>Purpose and access points for workplace documents related to work responsibilities</w:t>
      </w:r>
    </w:p>
    <w:p w:rsidR="00000000" w:rsidRPr="002C3ECC" w:rsidP="002C3ECC">
      <w:pPr>
        <w:pStyle w:val="List"/>
      </w:pPr>
      <w:r w:rsidRPr="002C3ECC">
        <w:t>14.</w:t>
      </w:r>
      <w:r w:rsidRPr="002C3ECC">
        <w:tab/>
        <w:t xml:space="preserve">Communication protocols and requirements related </w:t>
      </w:r>
      <w:r w:rsidRPr="002C3ECC">
        <w:t>to work responsibilities. This includes use of 2-way radios and hand and audible signalling to comply with workplace requirements and state authority protocols</w:t>
      </w:r>
    </w:p>
    <w:p w:rsidR="00000000" w:rsidRPr="002C3ECC" w:rsidP="002C3ECC">
      <w:pPr>
        <w:pStyle w:val="List"/>
      </w:pPr>
      <w:r w:rsidRPr="002C3ECC">
        <w:t>15.</w:t>
      </w:r>
      <w:r w:rsidRPr="002C3ECC">
        <w:tab/>
        <w:t>Company policy relating to interacting with members of the public. This includes growers</w:t>
      </w:r>
    </w:p>
    <w:p w:rsidR="00000000" w:rsidRPr="002C3ECC" w:rsidP="002C3ECC">
      <w:pPr>
        <w:pStyle w:val="BodyText"/>
      </w:pPr>
      <w:r w:rsidRPr="002C3ECC">
        <w:rPr>
          <w:rStyle w:val="SpecialBold"/>
        </w:rPr>
        <w:t>Rel</w:t>
      </w:r>
      <w:r w:rsidRPr="002C3ECC">
        <w:rPr>
          <w:rStyle w:val="SpecialBold"/>
        </w:rPr>
        <w:t>ationship with other standards</w:t>
      </w:r>
    </w:p>
    <w:p w:rsidR="00000000" w:rsidRPr="002C3ECC" w:rsidP="002C3ECC">
      <w:pPr>
        <w:pStyle w:val="BodyText"/>
      </w:pPr>
      <w:r w:rsidRPr="002C3ECC">
        <w:rPr>
          <w:rStyle w:val="Emphasis"/>
        </w:rPr>
        <w:t>Pre</w:t>
      </w:r>
      <w:r w:rsidRPr="002C3ECC">
        <w:t>-</w:t>
      </w:r>
      <w:r w:rsidRPr="002C3ECC">
        <w:rPr>
          <w:rStyle w:val="Emphasis"/>
        </w:rPr>
        <w:t>requisite units</w:t>
      </w:r>
    </w:p>
    <w:p w:rsidR="00000000" w:rsidRPr="002C3ECC" w:rsidP="002C3ECC">
      <w:pPr>
        <w:pStyle w:val="BodyText"/>
      </w:pPr>
      <w:r w:rsidRPr="002C3ECC">
        <w:t>There are no pre-requisite units for this competency standard.</w:t>
      </w:r>
    </w:p>
    <w:p w:rsidR="00000000" w:rsidRPr="002C3ECC" w:rsidP="002C3ECC">
      <w:pPr>
        <w:pStyle w:val="BodyText"/>
      </w:pPr>
      <w:r w:rsidRPr="002C3ECC">
        <w:rPr>
          <w:rStyle w:val="Emphasis"/>
        </w:rPr>
        <w:t>Co</w:t>
      </w:r>
      <w:r w:rsidRPr="002C3ECC">
        <w:t>-</w:t>
      </w:r>
      <w:r w:rsidRPr="002C3ECC">
        <w:rPr>
          <w:rStyle w:val="Emphasis"/>
        </w:rPr>
        <w:t>assessment of related units</w:t>
      </w:r>
    </w:p>
    <w:p w:rsidR="00000000" w:rsidRPr="002C3ECC" w:rsidP="002C3ECC">
      <w:pPr>
        <w:pStyle w:val="BodyText"/>
      </w:pPr>
      <w:r w:rsidRPr="002C3ECC">
        <w:t>Other units of competency relevant to the work role should be assessed in conjunction with this unit.</w:t>
      </w:r>
    </w:p>
    <w:p w:rsidR="00000000" w:rsidRPr="002C3ECC" w:rsidP="002C3ECC">
      <w:pPr>
        <w:pStyle w:val="BodyText"/>
      </w:pPr>
      <w:r w:rsidRPr="002C3ECC">
        <w:rPr>
          <w:rStyle w:val="SpecialBold"/>
        </w:rPr>
        <w:t>Resources</w:t>
      </w:r>
      <w:r w:rsidRPr="002C3ECC">
        <w:rPr>
          <w:rStyle w:val="SpecialBold"/>
        </w:rPr>
        <w:t xml:space="preserve"> required for assessment</w:t>
      </w:r>
    </w:p>
    <w:p w:rsidR="00000000" w:rsidRPr="002C3ECC" w:rsidP="002C3ECC">
      <w:pPr>
        <w:pStyle w:val="BodyText"/>
      </w:pPr>
      <w:r w:rsidRPr="002C3ECC">
        <w:t xml:space="preserve">Assessment must occur in a real or simulated workplace where the assessee has access to: </w:t>
      </w:r>
    </w:p>
    <w:p w:rsidR="00000000" w:rsidRPr="002C3ECC" w:rsidP="002C3ECC">
      <w:pPr>
        <w:pStyle w:val="ListBullet"/>
      </w:pPr>
      <w:r w:rsidRPr="002C3ECC">
        <w:t>Cane transport system and related vehicles, signaling and control systems</w:t>
      </w:r>
    </w:p>
    <w:p w:rsidR="00000000" w:rsidRPr="002C3ECC" w:rsidP="002C3ECC">
      <w:pPr>
        <w:pStyle w:val="ListBullet"/>
      </w:pPr>
      <w:r w:rsidRPr="002C3ECC">
        <w:t>Relevant codes of practice and industry standards</w:t>
      </w:r>
    </w:p>
    <w:p w:rsidR="00000000" w:rsidRPr="002C3ECC" w:rsidP="002C3ECC">
      <w:pPr>
        <w:pStyle w:val="ListBullet"/>
      </w:pPr>
      <w:r w:rsidRPr="002C3ECC">
        <w:t>Bin consignment and trip/cut-to-crush documentation</w:t>
      </w:r>
    </w:p>
    <w:p w:rsidR="00000000" w:rsidRPr="002C3ECC" w:rsidP="002C3ECC">
      <w:pPr>
        <w:pStyle w:val="ListBullet"/>
      </w:pPr>
      <w:r w:rsidRPr="002C3ECC">
        <w:t>Operating procedures and related advice on equipment operation</w:t>
      </w:r>
    </w:p>
    <w:p w:rsidR="00000000" w:rsidRPr="002C3ECC" w:rsidP="002C3ECC">
      <w:pPr>
        <w:pStyle w:val="ListBullet"/>
      </w:pPr>
      <w:r w:rsidRPr="002C3ECC">
        <w:t xml:space="preserve">Loaded and empty bins </w:t>
      </w:r>
    </w:p>
    <w:p w:rsidR="00000000" w:rsidRPr="002C3ECC" w:rsidP="002C3ECC">
      <w:pPr>
        <w:pStyle w:val="ListBullet"/>
      </w:pPr>
      <w:r w:rsidRPr="002C3ECC">
        <w:t>Personal protective clothing and equipment</w:t>
      </w:r>
    </w:p>
    <w:p w:rsidR="00000000" w:rsidRPr="002C3ECC" w:rsidP="002C3ECC">
      <w:pPr>
        <w:pStyle w:val="ListBullet"/>
      </w:pPr>
      <w:r w:rsidRPr="002C3ECC">
        <w:t>Communication systems and equipment</w:t>
      </w:r>
    </w:p>
    <w:p w:rsidR="00000000" w:rsidRPr="002C3ECC" w:rsidP="002C3ECC">
      <w:pPr>
        <w:pStyle w:val="ListBullet"/>
      </w:pPr>
      <w:r w:rsidRPr="002C3ECC">
        <w:t>Housekeeping standards and procedures</w:t>
      </w:r>
    </w:p>
    <w:p w:rsidR="00000000" w:rsidRPr="002C3ECC" w:rsidP="002C3ECC">
      <w:pPr>
        <w:pStyle w:val="ListBullet"/>
      </w:pPr>
      <w:r w:rsidRPr="002C3ECC">
        <w:t>W</w:t>
      </w:r>
      <w:r w:rsidRPr="002C3ECC">
        <w:t>orkplace information recording systems, requirements and procedures</w:t>
      </w:r>
    </w:p>
    <w:p w:rsidR="00000000" w:rsidRPr="002C3ECC" w:rsidP="002C3ECC">
      <w:pPr>
        <w:pStyle w:val="BodyText"/>
      </w:pPr>
      <w:r w:rsidRPr="002C3ECC">
        <w:rPr>
          <w:rStyle w:val="SpecialBold"/>
        </w:rPr>
        <w:t>Assessment requirements</w:t>
      </w:r>
    </w:p>
    <w:p w:rsidR="00E609ED" w:rsidP="002C3ECC">
      <w:pPr>
        <w:pStyle w:val="BodyText"/>
      </w:pPr>
      <w:r w:rsidRPr="002C3ECC">
        <w:t>For information on how to assess this competency standard and who can assess, refer to the Assessment Guidelines for this Training Package.</w:t>
      </w:r>
    </w:p>
    <w:p w:rsidR="00E609ED" w:rsidP="002C3ECC">
      <w:pPr>
        <w:pStyle w:val="BodyText"/>
      </w:pPr>
    </w:p>
    <w:p w:rsidR="00000000" w:rsidRPr="002C3ECC" w:rsidP="002C3ECC">
      <w:pPr>
        <w:pStyle w:val="Heading1"/>
      </w:pPr>
      <w:bookmarkStart w:id="11" w:name="O_149077"/>
      <w:bookmarkEnd w:id="11"/>
      <w:r w:rsidRPr="002C3ECC">
        <w:t xml:space="preserve">Range </w:t>
      </w:r>
      <w:r w:rsidRPr="002C3ECC">
        <w:t>Statement</w:t>
      </w:r>
    </w:p>
    <w:p w:rsidR="00000000" w:rsidRPr="002C3ECC" w:rsidP="002C3ECC">
      <w:pPr>
        <w:pStyle w:val="BodyText"/>
      </w:pPr>
      <w:r w:rsidRPr="002C3ECC">
        <w:rPr>
          <w:rStyle w:val="SpecialBold"/>
        </w:rPr>
        <w:t>Range statement</w:t>
      </w:r>
    </w:p>
    <w:p w:rsidR="00000000" w:rsidRPr="002C3ECC" w:rsidP="002C3ECC">
      <w:pPr>
        <w:pStyle w:val="BodyText"/>
      </w:pPr>
      <w:r w:rsidRPr="002C3ECC">
        <w:t>The range statement indicates the context for demonstrating competence. This statement is a guide and unless otherwise indicated, items may or may not apply as required by the work context.</w:t>
      </w:r>
    </w:p>
    <w:p w:rsidR="00000000" w:rsidRPr="002C3ECC" w:rsidP="002C3ECC">
      <w:pPr>
        <w:pStyle w:val="ListBullet"/>
      </w:pPr>
      <w:r w:rsidRPr="002C3ECC">
        <w:t xml:space="preserve">Work is carried out in accordance with </w:t>
      </w:r>
      <w:r w:rsidRPr="002C3ECC">
        <w:t>company policies and procedures, licensing requirements, legislative requirements, codes of practice and industrial awards and agreements. Codes of practice include the Sugar Milling Operations Industry Code of Practice and Code of Practice for Cane Railwa</w:t>
      </w:r>
      <w:r w:rsidRPr="002C3ECC">
        <w:t>y Operations</w:t>
      </w:r>
    </w:p>
    <w:p w:rsidR="00000000" w:rsidRPr="002C3ECC" w:rsidP="002C3ECC">
      <w:pPr>
        <w:pStyle w:val="ListBullet"/>
      </w:pPr>
      <w:r w:rsidRPr="002C3ECC">
        <w:t>The cane transport system depends on the site. It typically includes main and branch rail lines, yards, sidings, loops, dump points and pads, road transport or other delivery points as relevant to the site</w:t>
      </w:r>
    </w:p>
    <w:p w:rsidR="00000000" w:rsidRPr="002C3ECC" w:rsidP="002C3ECC">
      <w:pPr>
        <w:pStyle w:val="ListBullet"/>
      </w:pPr>
      <w:r w:rsidRPr="002C3ECC">
        <w:t xml:space="preserve">The cane receival process including, </w:t>
      </w:r>
      <w:r w:rsidRPr="002C3ECC">
        <w:t>full and empty yards, weighbridge and tipping operations, is the interface point between the transport network and factory operations</w:t>
      </w:r>
    </w:p>
    <w:p w:rsidR="00000000" w:rsidRPr="002C3ECC" w:rsidP="002C3ECC">
      <w:pPr>
        <w:pStyle w:val="ListBullet"/>
      </w:pPr>
      <w:r w:rsidRPr="002C3ECC">
        <w:t>Workplace information may include Standard Operating Procedures (SOPs), log books, incident and accident report formats, b</w:t>
      </w:r>
      <w:r w:rsidRPr="002C3ECC">
        <w:t>in tickets, daily schedules and employee</w:t>
      </w:r>
    </w:p>
    <w:p w:rsidR="00000000" w:rsidRPr="002C3ECC" w:rsidP="002C3ECC">
      <w:pPr>
        <w:pStyle w:val="ListBullet"/>
      </w:pPr>
      <w:r w:rsidRPr="002C3ECC">
        <w:t>Information systems may be print or screen based</w:t>
      </w:r>
    </w:p>
    <w:p w:rsidR="00000000" w:rsidRPr="002C3ECC" w:rsidP="002C3ECC">
      <w:pPr>
        <w:pStyle w:val="ListBullet"/>
      </w:pPr>
      <w:r w:rsidRPr="002C3ECC">
        <w:t>Work may require the ability to work within a team environment</w:t>
      </w:r>
    </w:p>
    <w:p w:rsidR="00000000" w:rsidRPr="002C3ECC" w:rsidP="002C3ECC">
      <w:pPr>
        <w:pStyle w:val="ListBullet"/>
      </w:pPr>
      <w:r w:rsidRPr="002C3ECC">
        <w:t>Signaling devices typically include colour aspect lights, mechanical signage</w:t>
      </w:r>
    </w:p>
    <w:p w:rsidR="00E609ED" w:rsidP="002C3ECC">
      <w:pPr>
        <w:pStyle w:val="ListBullet"/>
      </w:pPr>
      <w:r w:rsidRPr="002C3ECC">
        <w:t>Communication methods include use of two-way radios used in accordance with workplace requirements and state authority protocols</w:t>
      </w:r>
    </w:p>
    <w:p w:rsidR="00E609ED" w:rsidP="002C3ECC">
      <w:pPr>
        <w:pStyle w:val="ListBullet"/>
      </w:pPr>
    </w:p>
    <w:p w:rsidR="00000000" w:rsidRPr="002C3ECC" w:rsidP="002C3ECC">
      <w:pPr>
        <w:pStyle w:val="Heading1"/>
      </w:pPr>
      <w:bookmarkStart w:id="12" w:name="O_149078"/>
      <w:bookmarkEnd w:id="12"/>
      <w:r w:rsidRPr="002C3ECC">
        <w:t>Unit Sector(s)</w:t>
      </w:r>
    </w:p>
    <w:p w:rsidR="00000000" w:rsidRPr="002C3ECC" w:rsidP="002C3ECC">
      <w:pPr>
        <w:pStyle w:val="BodyText"/>
      </w:pPr>
      <w:r w:rsidRPr="002C3ECC">
        <w:t>Not applicable.</w:t>
      </w:r>
    </w:p>
    <w:p w:rsidR="00000000" w:rsidRPr="002C3ECC" w:rsidP="002C3ECC"/>
    <w:sectPr w:rsidSect="002C3E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E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09ED" w:rsidP="00E609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E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ED" w:rsidP="002C3E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609ED" w:rsidP="002C3E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609ED" w:rsidP="002C3E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E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09ED" w:rsidP="00E609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E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ED" w:rsidP="002C3ECC">
    <w:pPr>
      <w:pStyle w:val="Header"/>
      <w:framePr w:wrap="around"/>
    </w:pPr>
    <w:r>
      <w:fldChar w:fldCharType="begin"/>
    </w:r>
    <w:r>
      <w:instrText xml:space="preserve"> TITLE   \* MERGEFORMAT </w:instrText>
    </w:r>
    <w:r>
      <w:fldChar w:fldCharType="separate"/>
    </w:r>
    <w:r>
      <w:t>SUGCLCT1A Locate cane transport system and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09ED" w:rsidP="002C3E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0A8B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2E0F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E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3ECC"/>
    <w:pPr>
      <w:spacing w:before="360" w:after="60"/>
      <w:outlineLvl w:val="0"/>
    </w:pPr>
    <w:rPr>
      <w:sz w:val="32"/>
    </w:rPr>
  </w:style>
  <w:style w:type="paragraph" w:styleId="Heading2">
    <w:name w:val="heading 2"/>
    <w:basedOn w:val="HeadingBase"/>
    <w:next w:val="BodyText"/>
    <w:link w:val="Heading2Char"/>
    <w:qFormat/>
    <w:rsid w:val="002C3ECC"/>
    <w:pPr>
      <w:keepLines/>
      <w:spacing w:before="240" w:after="120"/>
      <w:outlineLvl w:val="1"/>
    </w:pPr>
    <w:rPr>
      <w:sz w:val="28"/>
      <w:szCs w:val="40"/>
    </w:rPr>
  </w:style>
  <w:style w:type="paragraph" w:styleId="Heading3">
    <w:name w:val="heading 3"/>
    <w:basedOn w:val="HeadingBase"/>
    <w:next w:val="BodyText"/>
    <w:link w:val="Heading3Char"/>
    <w:qFormat/>
    <w:rsid w:val="002C3ECC"/>
    <w:pPr>
      <w:spacing w:before="180" w:after="120"/>
      <w:outlineLvl w:val="2"/>
    </w:pPr>
    <w:rPr>
      <w:spacing w:val="-10"/>
      <w:kern w:val="32"/>
    </w:rPr>
  </w:style>
  <w:style w:type="paragraph" w:styleId="Heading4">
    <w:name w:val="heading 4"/>
    <w:basedOn w:val="HeadingBase"/>
    <w:next w:val="BodyText"/>
    <w:link w:val="Heading4Char"/>
    <w:qFormat/>
    <w:rsid w:val="002C3ECC"/>
    <w:pPr>
      <w:spacing w:before="160" w:after="120"/>
      <w:outlineLvl w:val="3"/>
    </w:pPr>
    <w:rPr>
      <w:sz w:val="22"/>
    </w:rPr>
  </w:style>
  <w:style w:type="paragraph" w:styleId="Heading5">
    <w:name w:val="heading 5"/>
    <w:basedOn w:val="HeadingBase"/>
    <w:next w:val="Normal"/>
    <w:link w:val="Heading5Char"/>
    <w:qFormat/>
    <w:rsid w:val="002C3ECC"/>
    <w:pPr>
      <w:spacing w:before="80"/>
      <w:outlineLvl w:val="4"/>
    </w:pPr>
    <w:rPr>
      <w:color w:val="918585"/>
      <w:sz w:val="20"/>
    </w:rPr>
  </w:style>
  <w:style w:type="paragraph" w:styleId="Heading6">
    <w:name w:val="heading 6"/>
    <w:basedOn w:val="HeadingBase"/>
    <w:next w:val="Normal"/>
    <w:link w:val="Heading6Char"/>
    <w:qFormat/>
    <w:rsid w:val="002C3ECC"/>
    <w:pPr>
      <w:spacing w:before="60"/>
      <w:outlineLvl w:val="5"/>
    </w:pPr>
    <w:rPr>
      <w:color w:val="918585"/>
      <w:sz w:val="20"/>
    </w:rPr>
  </w:style>
  <w:style w:type="paragraph" w:styleId="Heading7">
    <w:name w:val="heading 7"/>
    <w:basedOn w:val="Normal"/>
    <w:next w:val="Normal"/>
    <w:link w:val="Heading7Char"/>
    <w:qFormat/>
    <w:rsid w:val="002C3ECC"/>
    <w:pPr>
      <w:ind w:left="720"/>
      <w:outlineLvl w:val="6"/>
    </w:pPr>
    <w:rPr>
      <w:i/>
    </w:rPr>
  </w:style>
  <w:style w:type="paragraph" w:styleId="Heading8">
    <w:name w:val="heading 8"/>
    <w:basedOn w:val="Normal"/>
    <w:next w:val="Normal"/>
    <w:link w:val="Heading8Char"/>
    <w:qFormat/>
    <w:rsid w:val="002C3ECC"/>
    <w:pPr>
      <w:ind w:left="720"/>
      <w:outlineLvl w:val="7"/>
    </w:pPr>
    <w:rPr>
      <w:i/>
    </w:rPr>
  </w:style>
  <w:style w:type="paragraph" w:styleId="Heading9">
    <w:name w:val="heading 9"/>
    <w:basedOn w:val="Normal"/>
    <w:next w:val="Normal"/>
    <w:link w:val="Heading9Char"/>
    <w:qFormat/>
    <w:rsid w:val="002C3ECC"/>
    <w:pPr>
      <w:ind w:left="720"/>
      <w:outlineLvl w:val="8"/>
    </w:pPr>
    <w:rPr>
      <w:i/>
    </w:rPr>
  </w:style>
  <w:style w:type="character" w:default="1" w:styleId="DefaultParagraphFont">
    <w:name w:val="Default Paragraph Font"/>
    <w:uiPriority w:val="1"/>
    <w:unhideWhenUsed/>
    <w:rsid w:val="002C3E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ECC"/>
  </w:style>
  <w:style w:type="character" w:customStyle="1" w:styleId="Heading1Char">
    <w:name w:val="Heading 1 Char"/>
    <w:basedOn w:val="DefaultParagraphFont"/>
    <w:link w:val="Heading1"/>
    <w:rsid w:val="002C3ECC"/>
    <w:rPr>
      <w:rFonts w:ascii="Times New Roman" w:eastAsia="Times New Roman" w:hAnsi="Times New Roman" w:cs="Times New Roman"/>
      <w:b/>
      <w:sz w:val="32"/>
      <w:szCs w:val="20"/>
      <w:lang w:eastAsia="en-US"/>
    </w:rPr>
  </w:style>
  <w:style w:type="paragraph" w:styleId="BodyText">
    <w:name w:val="Body Text"/>
    <w:basedOn w:val="Normal"/>
    <w:link w:val="BodyTextChar"/>
    <w:rsid w:val="002C3E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3ECC"/>
    <w:rPr>
      <w:rFonts w:ascii="Times New Roman" w:eastAsia="Times New Roman" w:hAnsi="Times New Roman" w:cs="Times New Roman"/>
      <w:sz w:val="24"/>
      <w:lang w:val="en-US" w:eastAsia="en-US"/>
    </w:rPr>
  </w:style>
  <w:style w:type="paragraph" w:styleId="Footer">
    <w:name w:val="footer"/>
    <w:basedOn w:val="Normal"/>
    <w:link w:val="FooterChar"/>
    <w:rsid w:val="002C3E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3ECC"/>
    <w:rPr>
      <w:rFonts w:ascii="Times New Roman" w:eastAsia="Times New Roman" w:hAnsi="Times New Roman" w:cs="Times New Roman"/>
      <w:sz w:val="16"/>
      <w:lang w:val="en-US" w:eastAsia="en-US"/>
    </w:rPr>
  </w:style>
  <w:style w:type="paragraph" w:styleId="List">
    <w:name w:val="List"/>
    <w:basedOn w:val="BodyText"/>
    <w:next w:val="BodyText"/>
    <w:rsid w:val="002C3ECC"/>
    <w:pPr>
      <w:tabs>
        <w:tab w:val="left" w:pos="340"/>
      </w:tabs>
      <w:spacing w:before="60" w:after="60"/>
      <w:ind w:left="340" w:hanging="340"/>
    </w:pPr>
  </w:style>
  <w:style w:type="paragraph" w:styleId="ListBullet">
    <w:name w:val="List Bullet"/>
    <w:basedOn w:val="List"/>
    <w:rsid w:val="002C3ECC"/>
    <w:pPr>
      <w:numPr>
        <w:numId w:val="12"/>
      </w:numPr>
      <w:tabs>
        <w:tab w:val="clear" w:pos="340"/>
      </w:tabs>
      <w:spacing w:before="40" w:after="40"/>
    </w:pPr>
  </w:style>
  <w:style w:type="character" w:customStyle="1" w:styleId="SpecialBold">
    <w:name w:val="Special Bold"/>
    <w:basedOn w:val="DefaultParagraphFont"/>
    <w:rsid w:val="002C3ECC"/>
    <w:rPr>
      <w:b/>
      <w:spacing w:val="0"/>
    </w:rPr>
  </w:style>
  <w:style w:type="paragraph" w:styleId="Header">
    <w:name w:val="header"/>
    <w:basedOn w:val="Normal"/>
    <w:link w:val="HeaderChar"/>
    <w:rsid w:val="002C3E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3EC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C3ECC"/>
    <w:rPr>
      <w:i/>
    </w:rPr>
  </w:style>
  <w:style w:type="paragraph" w:customStyle="1" w:styleId="SuperHeading">
    <w:name w:val="SuperHeading"/>
    <w:basedOn w:val="Normal"/>
    <w:rsid w:val="002C3ECC"/>
    <w:pPr>
      <w:spacing w:before="240" w:after="120"/>
      <w:outlineLvl w:val="0"/>
    </w:pPr>
    <w:rPr>
      <w:rFonts w:ascii="Times New Roman" w:hAnsi="Times New Roman"/>
      <w:b/>
      <w:sz w:val="28"/>
    </w:rPr>
  </w:style>
  <w:style w:type="paragraph" w:customStyle="1" w:styleId="AllowPageBreak">
    <w:name w:val="AllowPageBreak"/>
    <w:rsid w:val="002C3E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3E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3E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3E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3E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3E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E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3E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3ECC"/>
    <w:rPr>
      <w:rFonts w:ascii="Courier New" w:eastAsia="Times New Roman" w:hAnsi="Courier New" w:cs="Times New Roman"/>
      <w:i/>
      <w:szCs w:val="20"/>
      <w:lang w:val="en-US" w:eastAsia="en-US"/>
    </w:rPr>
  </w:style>
  <w:style w:type="paragraph" w:customStyle="1" w:styleId="HeadingBase">
    <w:name w:val="Heading Base"/>
    <w:rsid w:val="002C3E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ECC"/>
    <w:pPr>
      <w:tabs>
        <w:tab w:val="right" w:leader="dot" w:pos="9072"/>
      </w:tabs>
      <w:ind w:left="567"/>
    </w:pPr>
    <w:rPr>
      <w:szCs w:val="22"/>
    </w:rPr>
  </w:style>
  <w:style w:type="paragraph" w:customStyle="1" w:styleId="TOCBase">
    <w:name w:val="TOC Base"/>
    <w:rsid w:val="002C3E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ECC"/>
    <w:pPr>
      <w:tabs>
        <w:tab w:val="right" w:leader="dot" w:pos="9072"/>
      </w:tabs>
      <w:spacing w:before="40" w:after="40"/>
      <w:ind w:left="284"/>
    </w:pPr>
    <w:rPr>
      <w:rFonts w:ascii="Times New Roman" w:hAnsi="Times New Roman"/>
    </w:rPr>
  </w:style>
  <w:style w:type="paragraph" w:styleId="TOC1">
    <w:name w:val="toc 1"/>
    <w:basedOn w:val="TOCBase"/>
    <w:next w:val="Normal"/>
    <w:rsid w:val="002C3E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3ECC"/>
    <w:pPr>
      <w:spacing w:before="5040"/>
      <w:jc w:val="center"/>
    </w:pPr>
    <w:rPr>
      <w:sz w:val="48"/>
      <w:szCs w:val="72"/>
      <w:lang w:val="en-US"/>
    </w:rPr>
  </w:style>
  <w:style w:type="character" w:customStyle="1" w:styleId="TitleChar">
    <w:name w:val="Title Char"/>
    <w:basedOn w:val="DefaultParagraphFont"/>
    <w:link w:val="Title"/>
    <w:rsid w:val="002C3E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ECC"/>
    <w:pPr>
      <w:tabs>
        <w:tab w:val="left" w:pos="3600"/>
        <w:tab w:val="left" w:pos="3958"/>
      </w:tabs>
    </w:pPr>
  </w:style>
  <w:style w:type="paragraph" w:customStyle="1" w:styleId="Note">
    <w:name w:val="Note"/>
    <w:basedOn w:val="BodyText"/>
    <w:rsid w:val="002C3E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3ECC"/>
    <w:pPr>
      <w:framePr w:wrap="auto" w:hAnchor="text" w:y="6049"/>
    </w:pPr>
    <w:rPr>
      <w:color w:val="000000"/>
      <w:sz w:val="40"/>
    </w:rPr>
  </w:style>
  <w:style w:type="paragraph" w:customStyle="1" w:styleId="TOCTitle">
    <w:name w:val="TOCTitle"/>
    <w:basedOn w:val="Heading1"/>
    <w:rsid w:val="002C3ECC"/>
    <w:pPr>
      <w:spacing w:after="240"/>
      <w:jc w:val="center"/>
      <w:outlineLvl w:val="9"/>
    </w:pPr>
    <w:rPr>
      <w:caps/>
    </w:rPr>
  </w:style>
  <w:style w:type="paragraph" w:customStyle="1" w:styleId="Version">
    <w:name w:val="Version"/>
    <w:rsid w:val="002C3E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3ECC"/>
    <w:pPr>
      <w:numPr>
        <w:numId w:val="13"/>
      </w:numPr>
      <w:tabs>
        <w:tab w:val="clear" w:pos="680"/>
      </w:tabs>
    </w:pPr>
  </w:style>
  <w:style w:type="paragraph" w:styleId="Index1">
    <w:name w:val="index 1"/>
    <w:basedOn w:val="Normal"/>
    <w:next w:val="Normal"/>
    <w:semiHidden/>
    <w:rsid w:val="002C3ECC"/>
    <w:pPr>
      <w:keepNext w:val="0"/>
      <w:tabs>
        <w:tab w:val="right" w:pos="4176"/>
      </w:tabs>
      <w:ind w:left="198" w:hanging="198"/>
    </w:pPr>
    <w:rPr>
      <w:rFonts w:ascii="Garamond" w:hAnsi="Garamond"/>
    </w:rPr>
  </w:style>
  <w:style w:type="paragraph" w:styleId="IndexHeading">
    <w:name w:val="index heading"/>
    <w:basedOn w:val="Normal"/>
    <w:next w:val="Index1"/>
    <w:semiHidden/>
    <w:rsid w:val="002C3ECC"/>
    <w:pPr>
      <w:spacing w:before="120" w:after="120"/>
    </w:pPr>
    <w:rPr>
      <w:rFonts w:ascii="Arial" w:hAnsi="Arial"/>
      <w:b/>
      <w:color w:val="918585"/>
      <w:sz w:val="24"/>
    </w:rPr>
  </w:style>
  <w:style w:type="paragraph" w:customStyle="1" w:styleId="Chapter">
    <w:name w:val="Chapter"/>
    <w:basedOn w:val="Normal"/>
    <w:rsid w:val="002C3ECC"/>
    <w:pPr>
      <w:spacing w:before="240"/>
    </w:pPr>
    <w:rPr>
      <w:rFonts w:ascii="Times New Roman" w:hAnsi="Times New Roman"/>
      <w:smallCaps/>
      <w:spacing w:val="80"/>
      <w:sz w:val="28"/>
    </w:rPr>
  </w:style>
  <w:style w:type="paragraph" w:customStyle="1" w:styleId="InChapter">
    <w:name w:val="InChapter"/>
    <w:basedOn w:val="Heading3"/>
    <w:rsid w:val="002C3ECC"/>
    <w:pPr>
      <w:spacing w:after="240"/>
      <w:outlineLvl w:val="9"/>
    </w:pPr>
    <w:rPr>
      <w:noProof/>
    </w:rPr>
  </w:style>
  <w:style w:type="paragraph" w:styleId="Index2">
    <w:name w:val="index 2"/>
    <w:basedOn w:val="Normal"/>
    <w:next w:val="Normal"/>
    <w:semiHidden/>
    <w:rsid w:val="002C3ECC"/>
    <w:pPr>
      <w:tabs>
        <w:tab w:val="right" w:pos="4176"/>
      </w:tabs>
      <w:ind w:left="568" w:hanging="284"/>
    </w:pPr>
    <w:rPr>
      <w:rFonts w:ascii="Garamond" w:hAnsi="Garamond"/>
    </w:rPr>
  </w:style>
  <w:style w:type="paragraph" w:customStyle="1" w:styleId="Byline">
    <w:name w:val="Byline"/>
    <w:rsid w:val="002C3E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ECC"/>
    <w:pPr>
      <w:tabs>
        <w:tab w:val="clear" w:pos="3600"/>
        <w:tab w:val="clear" w:pos="3958"/>
      </w:tabs>
      <w:jc w:val="right"/>
    </w:pPr>
  </w:style>
  <w:style w:type="paragraph" w:styleId="Caption">
    <w:name w:val="caption"/>
    <w:basedOn w:val="BodyText"/>
    <w:next w:val="Normal"/>
    <w:qFormat/>
    <w:rsid w:val="002C3ECC"/>
    <w:pPr>
      <w:framePr w:w="2268" w:hSpace="181" w:vSpace="181" w:wrap="around" w:vAnchor="text" w:hAnchor="page" w:x="1135" w:y="285" w:anchorLock="1"/>
    </w:pPr>
    <w:rPr>
      <w:i/>
    </w:rPr>
  </w:style>
  <w:style w:type="paragraph" w:customStyle="1" w:styleId="MiniTOCTitle">
    <w:name w:val="MiniTOCTitle"/>
    <w:basedOn w:val="Heading4"/>
    <w:rsid w:val="002C3ECC"/>
    <w:pPr>
      <w:spacing w:before="240"/>
      <w:outlineLvl w:val="9"/>
    </w:pPr>
    <w:rPr>
      <w:noProof/>
      <w:sz w:val="24"/>
    </w:rPr>
  </w:style>
  <w:style w:type="paragraph" w:customStyle="1" w:styleId="MiniTOCItem">
    <w:name w:val="MiniTOCItem"/>
    <w:basedOn w:val="ListBullet"/>
    <w:rsid w:val="002C3ECC"/>
    <w:pPr>
      <w:numPr>
        <w:numId w:val="0"/>
      </w:numPr>
      <w:tabs>
        <w:tab w:val="right" w:leader="dot" w:pos="6521"/>
      </w:tabs>
      <w:spacing w:before="0" w:after="0"/>
    </w:pPr>
  </w:style>
  <w:style w:type="paragraph" w:customStyle="1" w:styleId="TOFTitle">
    <w:name w:val="TOFTitle"/>
    <w:basedOn w:val="TOCTitle"/>
    <w:rsid w:val="002C3ECC"/>
  </w:style>
  <w:style w:type="paragraph" w:styleId="TableofFigures">
    <w:name w:val="table of figures"/>
    <w:basedOn w:val="Normal"/>
    <w:next w:val="Normal"/>
    <w:semiHidden/>
    <w:rsid w:val="002C3ECC"/>
    <w:pPr>
      <w:tabs>
        <w:tab w:val="right" w:leader="dot" w:pos="9072"/>
      </w:tabs>
      <w:ind w:left="970" w:hanging="403"/>
    </w:pPr>
    <w:rPr>
      <w:rFonts w:ascii="Times New Roman" w:hAnsi="Times New Roman"/>
      <w:b/>
    </w:rPr>
  </w:style>
  <w:style w:type="paragraph" w:styleId="ListNumber">
    <w:name w:val="List Number"/>
    <w:basedOn w:val="List"/>
    <w:rsid w:val="002C3ECC"/>
    <w:pPr>
      <w:numPr>
        <w:numId w:val="10"/>
      </w:numPr>
    </w:pPr>
  </w:style>
  <w:style w:type="character" w:customStyle="1" w:styleId="WingdingSymbols">
    <w:name w:val="Wingding Symbols"/>
    <w:rsid w:val="002C3ECC"/>
    <w:rPr>
      <w:rFonts w:ascii="Wingdings" w:hAnsi="Wingdings"/>
    </w:rPr>
  </w:style>
  <w:style w:type="paragraph" w:customStyle="1" w:styleId="TableHeading">
    <w:name w:val="Table Heading"/>
    <w:basedOn w:val="HeadingBase"/>
    <w:rsid w:val="002C3ECC"/>
    <w:pPr>
      <w:keepLines/>
      <w:pBdr>
        <w:bottom w:val="single" w:sz="6" w:space="1" w:color="918585"/>
      </w:pBdr>
      <w:spacing w:before="240"/>
    </w:pPr>
  </w:style>
  <w:style w:type="character" w:customStyle="1" w:styleId="HotSpot">
    <w:name w:val="HotSpot"/>
    <w:rsid w:val="002C3ECC"/>
    <w:rPr>
      <w:color w:val="0033CC"/>
      <w:u w:val="none"/>
    </w:rPr>
  </w:style>
  <w:style w:type="paragraph" w:customStyle="1" w:styleId="BodyTextRight">
    <w:name w:val="Body Text Right"/>
    <w:basedOn w:val="BodyText"/>
    <w:rsid w:val="002C3ECC"/>
    <w:pPr>
      <w:spacing w:before="0" w:after="0"/>
      <w:jc w:val="right"/>
    </w:pPr>
  </w:style>
  <w:style w:type="paragraph" w:styleId="Index3">
    <w:name w:val="index 3"/>
    <w:basedOn w:val="ListNumber2"/>
    <w:next w:val="Normal"/>
    <w:semiHidden/>
    <w:rsid w:val="002C3ECC"/>
    <w:pPr>
      <w:numPr>
        <w:numId w:val="0"/>
      </w:numPr>
      <w:tabs>
        <w:tab w:val="right" w:leader="dot" w:pos="4176"/>
      </w:tabs>
    </w:pPr>
  </w:style>
  <w:style w:type="paragraph" w:styleId="ListNumber2">
    <w:name w:val="List Number 2"/>
    <w:basedOn w:val="List2"/>
    <w:rsid w:val="002C3ECC"/>
    <w:pPr>
      <w:numPr>
        <w:numId w:val="9"/>
      </w:numPr>
      <w:tabs>
        <w:tab w:val="clear" w:pos="1060"/>
      </w:tabs>
    </w:pPr>
  </w:style>
  <w:style w:type="paragraph" w:customStyle="1" w:styleId="MarginNote">
    <w:name w:val="Margin Note"/>
    <w:basedOn w:val="BodyText"/>
    <w:rsid w:val="002C3E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E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3E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3ECC"/>
    <w:rPr>
      <w:sz w:val="32"/>
    </w:rPr>
  </w:style>
  <w:style w:type="paragraph" w:customStyle="1" w:styleId="HeadingProcedure">
    <w:name w:val="Heading Procedure"/>
    <w:basedOn w:val="HeadingBase"/>
    <w:next w:val="Normal"/>
    <w:rsid w:val="002C3ECC"/>
    <w:pPr>
      <w:tabs>
        <w:tab w:val="left" w:pos="0"/>
      </w:tabs>
      <w:spacing w:before="120" w:after="60"/>
    </w:pPr>
    <w:rPr>
      <w:i/>
      <w:color w:val="918585"/>
      <w:sz w:val="22"/>
    </w:rPr>
  </w:style>
  <w:style w:type="paragraph" w:customStyle="1" w:styleId="TableBodyText">
    <w:name w:val="Table Body Text"/>
    <w:basedOn w:val="BodyText"/>
    <w:rsid w:val="002C3ECC"/>
    <w:pPr>
      <w:spacing w:before="60" w:after="60"/>
    </w:pPr>
  </w:style>
  <w:style w:type="paragraph" w:styleId="ListContinue">
    <w:name w:val="List Continue"/>
    <w:basedOn w:val="List"/>
    <w:rsid w:val="002C3ECC"/>
    <w:pPr>
      <w:ind w:firstLine="0"/>
    </w:pPr>
  </w:style>
  <w:style w:type="paragraph" w:customStyle="1" w:styleId="ListNote">
    <w:name w:val="List Note"/>
    <w:basedOn w:val="List"/>
    <w:rsid w:val="002C3ECC"/>
    <w:pPr>
      <w:pBdr>
        <w:top w:val="single" w:sz="6" w:space="2" w:color="918585"/>
        <w:bottom w:val="single" w:sz="6" w:space="2" w:color="918585"/>
      </w:pBdr>
      <w:tabs>
        <w:tab w:val="left" w:pos="1021"/>
      </w:tabs>
      <w:ind w:firstLine="0"/>
    </w:pPr>
  </w:style>
  <w:style w:type="paragraph" w:customStyle="1" w:styleId="Warning">
    <w:name w:val="Warning"/>
    <w:basedOn w:val="BodyText"/>
    <w:rsid w:val="002C3ECC"/>
    <w:pPr>
      <w:shd w:val="clear" w:color="auto" w:fill="D9D9D9"/>
      <w:tabs>
        <w:tab w:val="left" w:pos="992"/>
      </w:tabs>
      <w:ind w:left="119" w:right="119"/>
    </w:pPr>
    <w:rPr>
      <w:sz w:val="20"/>
    </w:rPr>
  </w:style>
  <w:style w:type="paragraph" w:customStyle="1" w:styleId="MarginIcons">
    <w:name w:val="Margin Icons"/>
    <w:basedOn w:val="BodyText"/>
    <w:rsid w:val="002C3E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3ECC"/>
    <w:rPr>
      <w:rFonts w:ascii="Courier New" w:hAnsi="Courier New"/>
    </w:rPr>
  </w:style>
  <w:style w:type="paragraph" w:customStyle="1" w:styleId="NoteBullet">
    <w:name w:val="Note Bullet"/>
    <w:basedOn w:val="Note"/>
    <w:rsid w:val="002C3ECC"/>
    <w:pPr>
      <w:tabs>
        <w:tab w:val="clear" w:pos="680"/>
      </w:tabs>
      <w:spacing w:before="60" w:after="60"/>
    </w:pPr>
  </w:style>
  <w:style w:type="paragraph" w:customStyle="1" w:styleId="SubHeading2">
    <w:name w:val="SubHeading2"/>
    <w:basedOn w:val="HeadingBase"/>
    <w:rsid w:val="002C3ECC"/>
    <w:pPr>
      <w:spacing w:before="240" w:after="60"/>
    </w:pPr>
    <w:rPr>
      <w:sz w:val="20"/>
    </w:rPr>
  </w:style>
  <w:style w:type="paragraph" w:customStyle="1" w:styleId="SubHeading1">
    <w:name w:val="SubHeading1"/>
    <w:basedOn w:val="HeadingBase"/>
    <w:rsid w:val="002C3ECC"/>
    <w:pPr>
      <w:spacing w:before="240" w:after="60"/>
    </w:pPr>
    <w:rPr>
      <w:color w:val="918585"/>
      <w:sz w:val="22"/>
    </w:rPr>
  </w:style>
  <w:style w:type="paragraph" w:customStyle="1" w:styleId="SideHeading">
    <w:name w:val="Side Heading"/>
    <w:basedOn w:val="HeadingBase"/>
    <w:rsid w:val="002C3E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ECC"/>
    <w:pPr>
      <w:tabs>
        <w:tab w:val="num" w:pos="360"/>
      </w:tabs>
    </w:pPr>
  </w:style>
  <w:style w:type="paragraph" w:styleId="PlainText">
    <w:name w:val="Plain Text"/>
    <w:basedOn w:val="Normal"/>
    <w:link w:val="PlainTextChar"/>
    <w:rsid w:val="002C3ECC"/>
    <w:rPr>
      <w:sz w:val="20"/>
    </w:rPr>
  </w:style>
  <w:style w:type="character" w:customStyle="1" w:styleId="PlainTextChar">
    <w:name w:val="Plain Text Char"/>
    <w:basedOn w:val="DefaultParagraphFont"/>
    <w:link w:val="PlainText"/>
    <w:rsid w:val="002C3E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3ECC"/>
    <w:rPr>
      <w:b/>
      <w:smallCaps/>
    </w:rPr>
  </w:style>
  <w:style w:type="paragraph" w:customStyle="1" w:styleId="TableListNumber">
    <w:name w:val="Table List Number"/>
    <w:basedOn w:val="ListNumber"/>
    <w:rsid w:val="002C3ECC"/>
    <w:pPr>
      <w:numPr>
        <w:numId w:val="0"/>
      </w:numPr>
    </w:pPr>
  </w:style>
  <w:style w:type="paragraph" w:styleId="TOC4">
    <w:name w:val="toc 4"/>
    <w:basedOn w:val="TOCBase"/>
    <w:next w:val="Normal"/>
    <w:semiHidden/>
    <w:rsid w:val="002C3ECC"/>
    <w:pPr>
      <w:tabs>
        <w:tab w:val="right" w:leader="dot" w:pos="9071"/>
      </w:tabs>
      <w:ind w:left="1701"/>
    </w:pPr>
  </w:style>
  <w:style w:type="paragraph" w:customStyle="1" w:styleId="ListAlpha">
    <w:name w:val="List Alpha"/>
    <w:basedOn w:val="List"/>
    <w:rsid w:val="002C3ECC"/>
    <w:pPr>
      <w:numPr>
        <w:numId w:val="8"/>
      </w:numPr>
    </w:pPr>
  </w:style>
  <w:style w:type="paragraph" w:customStyle="1" w:styleId="ListAlpha2">
    <w:name w:val="List Alpha 2"/>
    <w:basedOn w:val="List2"/>
    <w:rsid w:val="002C3ECC"/>
    <w:pPr>
      <w:numPr>
        <w:numId w:val="7"/>
      </w:numPr>
    </w:pPr>
  </w:style>
  <w:style w:type="paragraph" w:styleId="List2">
    <w:name w:val="List 2"/>
    <w:basedOn w:val="BodyText"/>
    <w:rsid w:val="002C3ECC"/>
    <w:pPr>
      <w:tabs>
        <w:tab w:val="left" w:pos="680"/>
      </w:tabs>
      <w:spacing w:before="60" w:after="60"/>
      <w:ind w:left="680" w:hanging="340"/>
    </w:pPr>
  </w:style>
  <w:style w:type="paragraph" w:styleId="List3">
    <w:name w:val="List 3"/>
    <w:basedOn w:val="BodyText"/>
    <w:rsid w:val="002C3ECC"/>
    <w:pPr>
      <w:tabs>
        <w:tab w:val="left" w:pos="1021"/>
      </w:tabs>
      <w:spacing w:before="60" w:after="60"/>
      <w:ind w:left="1020" w:hanging="340"/>
    </w:pPr>
  </w:style>
  <w:style w:type="paragraph" w:styleId="List4">
    <w:name w:val="List 4"/>
    <w:basedOn w:val="BodyText"/>
    <w:rsid w:val="002C3ECC"/>
    <w:pPr>
      <w:tabs>
        <w:tab w:val="left" w:pos="1361"/>
      </w:tabs>
      <w:spacing w:before="60" w:after="60"/>
      <w:ind w:left="1361" w:hanging="340"/>
    </w:pPr>
  </w:style>
  <w:style w:type="paragraph" w:styleId="List5">
    <w:name w:val="List 5"/>
    <w:basedOn w:val="BodyText"/>
    <w:rsid w:val="002C3ECC"/>
    <w:pPr>
      <w:tabs>
        <w:tab w:val="left" w:pos="1701"/>
      </w:tabs>
      <w:spacing w:before="60" w:after="60"/>
      <w:ind w:left="1701" w:hanging="340"/>
    </w:pPr>
  </w:style>
  <w:style w:type="paragraph" w:styleId="ListBullet3">
    <w:name w:val="List Bullet 3"/>
    <w:basedOn w:val="List3"/>
    <w:rsid w:val="002C3ECC"/>
    <w:pPr>
      <w:numPr>
        <w:numId w:val="14"/>
      </w:numPr>
      <w:tabs>
        <w:tab w:val="clear" w:pos="1021"/>
      </w:tabs>
      <w:ind w:left="1037" w:hanging="357"/>
    </w:pPr>
  </w:style>
  <w:style w:type="paragraph" w:styleId="ListBullet4">
    <w:name w:val="List Bullet 4"/>
    <w:basedOn w:val="List4"/>
    <w:rsid w:val="002C3ECC"/>
    <w:pPr>
      <w:numPr>
        <w:numId w:val="2"/>
      </w:numPr>
    </w:pPr>
  </w:style>
  <w:style w:type="paragraph" w:styleId="ListBullet5">
    <w:name w:val="List Bullet 5"/>
    <w:basedOn w:val="List5"/>
    <w:rsid w:val="002C3ECC"/>
    <w:pPr>
      <w:numPr>
        <w:numId w:val="3"/>
      </w:numPr>
    </w:pPr>
  </w:style>
  <w:style w:type="paragraph" w:styleId="ListContinue2">
    <w:name w:val="List Continue 2"/>
    <w:basedOn w:val="List2"/>
    <w:rsid w:val="002C3ECC"/>
    <w:pPr>
      <w:ind w:firstLine="0"/>
    </w:pPr>
  </w:style>
  <w:style w:type="paragraph" w:styleId="ListContinue3">
    <w:name w:val="List Continue 3"/>
    <w:basedOn w:val="List3"/>
    <w:rsid w:val="002C3ECC"/>
    <w:pPr>
      <w:ind w:left="1021" w:firstLine="0"/>
    </w:pPr>
  </w:style>
  <w:style w:type="paragraph" w:styleId="ListContinue4">
    <w:name w:val="List Continue 4"/>
    <w:basedOn w:val="List4"/>
    <w:rsid w:val="002C3ECC"/>
    <w:pPr>
      <w:ind w:firstLine="0"/>
    </w:pPr>
  </w:style>
  <w:style w:type="paragraph" w:styleId="ListContinue5">
    <w:name w:val="List Continue 5"/>
    <w:basedOn w:val="List5"/>
    <w:rsid w:val="002C3ECC"/>
    <w:pPr>
      <w:ind w:firstLine="0"/>
    </w:pPr>
  </w:style>
  <w:style w:type="paragraph" w:styleId="ListNumber3">
    <w:name w:val="List Number 3"/>
    <w:basedOn w:val="List3"/>
    <w:rsid w:val="002C3ECC"/>
    <w:pPr>
      <w:numPr>
        <w:numId w:val="4"/>
      </w:numPr>
    </w:pPr>
  </w:style>
  <w:style w:type="paragraph" w:styleId="ListNumber4">
    <w:name w:val="List Number 4"/>
    <w:basedOn w:val="List4"/>
    <w:rsid w:val="002C3ECC"/>
    <w:pPr>
      <w:numPr>
        <w:numId w:val="5"/>
      </w:numPr>
    </w:pPr>
  </w:style>
  <w:style w:type="paragraph" w:styleId="ListNumber5">
    <w:name w:val="List Number 5"/>
    <w:basedOn w:val="List5"/>
    <w:rsid w:val="002C3ECC"/>
    <w:pPr>
      <w:numPr>
        <w:numId w:val="6"/>
      </w:numPr>
    </w:pPr>
  </w:style>
  <w:style w:type="paragraph" w:styleId="BlockText">
    <w:name w:val="Block Text"/>
    <w:basedOn w:val="Normal"/>
    <w:rsid w:val="002C3ECC"/>
    <w:pPr>
      <w:spacing w:after="120"/>
      <w:ind w:left="1440" w:right="1440"/>
    </w:pPr>
  </w:style>
  <w:style w:type="character" w:customStyle="1" w:styleId="Subscript">
    <w:name w:val="Subscript"/>
    <w:basedOn w:val="DefaultParagraphFont"/>
    <w:rsid w:val="002C3ECC"/>
    <w:rPr>
      <w:sz w:val="16"/>
      <w:vertAlign w:val="subscript"/>
    </w:rPr>
  </w:style>
  <w:style w:type="character" w:customStyle="1" w:styleId="Superscript">
    <w:name w:val="Superscript"/>
    <w:basedOn w:val="DefaultParagraphFont"/>
    <w:rsid w:val="002C3ECC"/>
    <w:rPr>
      <w:sz w:val="16"/>
      <w:vertAlign w:val="superscript"/>
    </w:rPr>
  </w:style>
  <w:style w:type="character" w:customStyle="1" w:styleId="Symbols">
    <w:name w:val="Symbols"/>
    <w:basedOn w:val="DefaultParagraphFont"/>
    <w:rsid w:val="002C3ECC"/>
    <w:rPr>
      <w:rFonts w:ascii="Symbol" w:hAnsi="Symbol"/>
    </w:rPr>
  </w:style>
  <w:style w:type="character" w:customStyle="1" w:styleId="MenuOptions">
    <w:name w:val="Menu Options"/>
    <w:basedOn w:val="DefaultParagraphFont"/>
    <w:rsid w:val="002C3ECC"/>
    <w:rPr>
      <w:rFonts w:ascii="Arial Narrow" w:hAnsi="Arial Narrow"/>
      <w:smallCaps/>
    </w:rPr>
  </w:style>
  <w:style w:type="character" w:customStyle="1" w:styleId="Buttons">
    <w:name w:val="Buttons"/>
    <w:basedOn w:val="DefaultParagraphFont"/>
    <w:rsid w:val="002C3ECC"/>
    <w:rPr>
      <w:b/>
    </w:rPr>
  </w:style>
  <w:style w:type="character" w:customStyle="1" w:styleId="Underlined">
    <w:name w:val="Underlined"/>
    <w:basedOn w:val="DefaultParagraphFont"/>
    <w:rsid w:val="002C3ECC"/>
    <w:rPr>
      <w:u w:val="single"/>
    </w:rPr>
  </w:style>
  <w:style w:type="paragraph" w:customStyle="1" w:styleId="TableBodyTextRight">
    <w:name w:val="Table Body Text Right"/>
    <w:basedOn w:val="TableBodyText"/>
    <w:rsid w:val="002C3ECC"/>
    <w:pPr>
      <w:widowControl w:val="0"/>
      <w:autoSpaceDE w:val="0"/>
      <w:autoSpaceDN w:val="0"/>
      <w:adjustRightInd w:val="0"/>
      <w:jc w:val="right"/>
    </w:pPr>
    <w:rPr>
      <w:rFonts w:cs="Arial"/>
      <w:szCs w:val="18"/>
    </w:rPr>
  </w:style>
  <w:style w:type="paragraph" w:customStyle="1" w:styleId="CopyrightText">
    <w:name w:val="Copyright Text"/>
    <w:basedOn w:val="BodyText"/>
    <w:rsid w:val="002C3ECC"/>
    <w:rPr>
      <w:sz w:val="18"/>
    </w:rPr>
  </w:style>
  <w:style w:type="paragraph" w:customStyle="1" w:styleId="BodySmallRight">
    <w:name w:val="Body Small Right"/>
    <w:basedOn w:val="BodyTextRight"/>
    <w:rsid w:val="002C3ECC"/>
    <w:rPr>
      <w:sz w:val="18"/>
      <w:szCs w:val="18"/>
    </w:rPr>
  </w:style>
  <w:style w:type="paragraph" w:customStyle="1" w:styleId="MarginEdition">
    <w:name w:val="Margin Edition"/>
    <w:basedOn w:val="MarginNote"/>
    <w:rsid w:val="002C3ECC"/>
    <w:pPr>
      <w:spacing w:before="0" w:after="0"/>
    </w:pPr>
    <w:rPr>
      <w:rFonts w:ascii="Times New Roman" w:hAnsi="Times New Roman"/>
      <w:color w:val="999999"/>
    </w:rPr>
  </w:style>
  <w:style w:type="paragraph" w:customStyle="1" w:styleId="Spacer">
    <w:name w:val="Spacer"/>
    <w:basedOn w:val="Normal"/>
    <w:rsid w:val="002C3ECC"/>
    <w:rPr>
      <w:sz w:val="2"/>
      <w:szCs w:val="2"/>
    </w:rPr>
  </w:style>
  <w:style w:type="character" w:customStyle="1" w:styleId="Small">
    <w:name w:val="Small"/>
    <w:basedOn w:val="DefaultParagraphFont"/>
    <w:rsid w:val="002C3ECC"/>
    <w:rPr>
      <w:sz w:val="16"/>
    </w:rPr>
  </w:style>
  <w:style w:type="paragraph" w:customStyle="1" w:styleId="WideTable">
    <w:name w:val="Wide Table"/>
    <w:basedOn w:val="Normal"/>
    <w:rsid w:val="002C3ECC"/>
    <w:pPr>
      <w:ind w:left="-1418"/>
    </w:pPr>
    <w:rPr>
      <w:sz w:val="2"/>
      <w:szCs w:val="2"/>
    </w:rPr>
  </w:style>
  <w:style w:type="character" w:styleId="PageNumber">
    <w:name w:val="page number"/>
    <w:basedOn w:val="DefaultParagraphFont"/>
    <w:rsid w:val="002C3ECC"/>
  </w:style>
  <w:style w:type="paragraph" w:styleId="Quote">
    <w:name w:val="Quote"/>
    <w:basedOn w:val="Heading1"/>
    <w:link w:val="QuoteChar"/>
    <w:qFormat/>
    <w:rsid w:val="002C3ECC"/>
    <w:rPr>
      <w:b w:val="0"/>
      <w:sz w:val="72"/>
      <w:szCs w:val="72"/>
      <w:lang w:val="en-NZ"/>
    </w:rPr>
  </w:style>
  <w:style w:type="character" w:customStyle="1" w:styleId="QuoteChar">
    <w:name w:val="Quote Char"/>
    <w:basedOn w:val="DefaultParagraphFont"/>
    <w:link w:val="Quote"/>
    <w:rsid w:val="002C3E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ECC"/>
    <w:pPr>
      <w:pageBreakBefore/>
    </w:pPr>
  </w:style>
  <w:style w:type="paragraph" w:customStyle="1" w:styleId="Border">
    <w:name w:val="Border"/>
    <w:basedOn w:val="Normal"/>
    <w:qFormat/>
    <w:rsid w:val="002C3E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3ECC"/>
    <w:rPr>
      <w:b/>
      <w:bCs/>
      <w:i/>
      <w:iCs/>
      <w:color w:val="auto"/>
    </w:rPr>
  </w:style>
  <w:style w:type="paragraph" w:styleId="IntenseQuote">
    <w:name w:val="Intense Quote"/>
    <w:basedOn w:val="Normal"/>
    <w:next w:val="Normal"/>
    <w:link w:val="IntenseQuoteChar"/>
    <w:uiPriority w:val="30"/>
    <w:qFormat/>
    <w:rsid w:val="002C3E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3E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3ECC"/>
    <w:rPr>
      <w:smallCaps/>
      <w:color w:val="auto"/>
      <w:u w:val="single"/>
    </w:rPr>
  </w:style>
  <w:style w:type="character" w:styleId="IntenseReference">
    <w:name w:val="Intense Reference"/>
    <w:basedOn w:val="DefaultParagraphFont"/>
    <w:uiPriority w:val="32"/>
    <w:qFormat/>
    <w:rsid w:val="002C3ECC"/>
    <w:rPr>
      <w:b/>
      <w:bCs/>
      <w:smallCaps/>
      <w:color w:val="auto"/>
      <w:spacing w:val="5"/>
      <w:u w:val="single"/>
    </w:rPr>
  </w:style>
  <w:style w:type="paragraph" w:customStyle="1" w:styleId="2ColumnHeading">
    <w:name w:val="2Column Heading"/>
    <w:basedOn w:val="BodyText"/>
    <w:qFormat/>
    <w:rsid w:val="002C3ECC"/>
    <w:pPr>
      <w:spacing w:after="60"/>
      <w:ind w:left="-2268"/>
    </w:pPr>
    <w:rPr>
      <w:b/>
    </w:rPr>
  </w:style>
  <w:style w:type="paragraph" w:customStyle="1" w:styleId="Heading1TOC">
    <w:name w:val="Heading1 TOC"/>
    <w:basedOn w:val="Normal"/>
    <w:qFormat/>
    <w:rsid w:val="002C3ECC"/>
    <w:pPr>
      <w:spacing w:before="240" w:after="120"/>
    </w:pPr>
    <w:rPr>
      <w:rFonts w:ascii="Times New Roman" w:hAnsi="Times New Roman"/>
      <w:b/>
      <w:sz w:val="32"/>
    </w:rPr>
  </w:style>
  <w:style w:type="paragraph" w:customStyle="1" w:styleId="Heading2TOC">
    <w:name w:val="Heading2 TOC"/>
    <w:basedOn w:val="Normal"/>
    <w:qFormat/>
    <w:rsid w:val="002C3ECC"/>
    <w:pPr>
      <w:spacing w:before="240" w:after="60"/>
    </w:pPr>
    <w:rPr>
      <w:rFonts w:ascii="Times New Roman" w:hAnsi="Times New Roman"/>
      <w:b/>
      <w:sz w:val="28"/>
    </w:rPr>
  </w:style>
  <w:style w:type="character" w:customStyle="1" w:styleId="Underline">
    <w:name w:val="Underline"/>
    <w:basedOn w:val="DefaultParagraphFont"/>
    <w:qFormat/>
    <w:rsid w:val="002C3ECC"/>
    <w:rPr>
      <w:u w:val="single"/>
    </w:rPr>
  </w:style>
  <w:style w:type="character" w:customStyle="1" w:styleId="BoldandItalics">
    <w:name w:val="Bold and Italics"/>
    <w:qFormat/>
    <w:rsid w:val="002C3ECC"/>
    <w:rPr>
      <w:b/>
      <w:i/>
      <w:u w:val="none"/>
    </w:rPr>
  </w:style>
  <w:style w:type="paragraph" w:styleId="BalloonText">
    <w:name w:val="Balloon Text"/>
    <w:basedOn w:val="Normal"/>
    <w:link w:val="BalloonTextChar"/>
    <w:rsid w:val="002C3ECC"/>
    <w:rPr>
      <w:rFonts w:ascii="Tahoma" w:hAnsi="Tahoma" w:cs="Tahoma"/>
      <w:sz w:val="16"/>
      <w:szCs w:val="16"/>
    </w:rPr>
  </w:style>
  <w:style w:type="character" w:customStyle="1" w:styleId="BalloonTextChar">
    <w:name w:val="Balloon Text Char"/>
    <w:basedOn w:val="DefaultParagraphFont"/>
    <w:link w:val="BalloonText"/>
    <w:rsid w:val="002C3E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3E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3E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760</Words>
  <Characters>4695</Characters>
  <Application>Microsoft Office Word</Application>
  <DocSecurity>0</DocSecurity>
  <Lines>126</Lines>
  <Paragraphs>82</Paragraphs>
  <ScaleCrop>false</ScaleCrop>
  <Company>Author-it Software Corporation Ltd.</Company>
  <LinksUpToDate>false</LinksUpToDate>
  <CharactersWithSpaces>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SUGCLCT1A Locate cane transport system and functions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2012-05-27T03:05:00Z</dcterms:created>
  <dcterms:modified xsi:type="dcterms:W3CDTF">2012-05-27T03:05:00Z</dcterms:modified>
</cp:coreProperties>
</file>