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7372" w:rsidP="00E17372">
      <w:pPr>
        <w:pStyle w:val="Title"/>
      </w:pPr>
      <w:r>
        <w:fldChar w:fldCharType="begin"/>
      </w:r>
      <w:r>
        <w:instrText xml:space="preserve"> TITLE   \* MERGEFORMAT </w:instrText>
      </w:r>
      <w:r>
        <w:fldChar w:fldCharType="separate"/>
      </w:r>
      <w:r>
        <w:t>SRXRIK001A Undertake risk analysis of activities</w:t>
      </w:r>
      <w:r>
        <w:fldChar w:fldCharType="end"/>
      </w:r>
    </w:p>
    <w:p w:rsidR="00E17372" w:rsidP="00E17372">
      <w:pPr>
        <w:pStyle w:val="Version"/>
        <w:sectPr w:rsidSect="006F7F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7F7F" w:rsidP="006F7F7F">
      <w:pPr>
        <w:pStyle w:val="SuperHeading"/>
      </w:pPr>
      <w:r w:rsidRPr="006F7F7F">
        <w:t>SRXRIK001A Undertake risk analysis of activities</w:t>
      </w:r>
    </w:p>
    <w:p w:rsidR="00000000" w:rsidRPr="006F7F7F" w:rsidP="006F7F7F">
      <w:pPr>
        <w:pStyle w:val="Heading1"/>
      </w:pPr>
      <w:bookmarkStart w:id="1" w:name="O_327752"/>
      <w:bookmarkEnd w:id="1"/>
      <w:r w:rsidRPr="006F7F7F">
        <w:t>Modification History</w:t>
      </w:r>
    </w:p>
    <w:p w:rsidR="00000000" w:rsidRPr="006F7F7F" w:rsidP="006F7F7F">
      <w:pPr>
        <w:pStyle w:val="BodyText"/>
      </w:pPr>
      <w:r w:rsidRPr="006F7F7F">
        <w:t>Not Applicable</w:t>
      </w:r>
    </w:p>
    <w:p w:rsidR="00000000" w:rsidRPr="006F7F7F" w:rsidP="006F7F7F">
      <w:pPr>
        <w:pStyle w:val="AllowPageBreak"/>
      </w:pPr>
    </w:p>
    <w:p w:rsidR="00000000" w:rsidRPr="006F7F7F" w:rsidP="006F7F7F">
      <w:pPr>
        <w:pStyle w:val="Heading1"/>
      </w:pPr>
      <w:bookmarkStart w:id="2" w:name="O_327753"/>
      <w:bookmarkEnd w:id="2"/>
      <w:r w:rsidRPr="006F7F7F">
        <w:t>Unit Descriptor</w:t>
      </w:r>
    </w:p>
    <w:tbl>
      <w:tblPr>
        <w:tblW w:w="0" w:type="auto"/>
        <w:tblLayout w:type="fixed"/>
        <w:tblCellMar>
          <w:left w:w="62" w:type="dxa"/>
          <w:right w:w="62" w:type="dxa"/>
        </w:tblCellMar>
        <w:tblLook w:val="0000"/>
      </w:tblPr>
      <w:tblGrid>
        <w:gridCol w:w="3261"/>
        <w:gridCol w:w="5670"/>
      </w:tblGrid>
      <w:tr w:rsidTr="006F7F7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F7F7F">
            <w:pPr>
              <w:pStyle w:val="BodyText"/>
              <w:rPr>
                <w:lang w:val="en-NZ"/>
              </w:rPr>
            </w:pPr>
            <w:r w:rsidRPr="006F7F7F">
              <w:rPr>
                <w:rStyle w:val="SpecialBold"/>
              </w:rPr>
              <w:t>Descriptor</w:t>
            </w:r>
          </w:p>
        </w:tc>
        <w:tc>
          <w:tcPr>
            <w:tcW w:w="5670" w:type="dxa"/>
            <w:tcBorders>
              <w:top w:val="nil"/>
              <w:left w:val="nil"/>
              <w:bottom w:val="nil"/>
              <w:right w:val="nil"/>
            </w:tcBorders>
            <w:tcMar>
              <w:top w:w="0" w:type="dxa"/>
              <w:left w:w="62" w:type="dxa"/>
              <w:bottom w:w="0" w:type="dxa"/>
              <w:right w:w="62" w:type="dxa"/>
            </w:tcMar>
          </w:tcPr>
          <w:p w:rsidR="00000000" w:rsidRPr="006F7F7F" w:rsidP="006F7F7F">
            <w:pPr>
              <w:pStyle w:val="BodyText"/>
            </w:pPr>
            <w:r w:rsidRPr="006F7F7F">
              <w:t xml:space="preserve">This unit provides basic knowledge and skills to apply a risk analysis </w:t>
            </w:r>
            <w:r w:rsidRPr="006F7F7F">
              <w:rPr>
                <w:rStyle w:val="Emphasis"/>
              </w:rPr>
              <w:t>process</w:t>
            </w:r>
            <w:r w:rsidRPr="006F7F7F">
              <w:t xml:space="preserve"> in the context</w:t>
            </w:r>
            <w:r w:rsidRPr="006F7F7F">
              <w:t xml:space="preserve"> of a recreation activity in accordance with an organisation’s risk management procedures.</w:t>
            </w:r>
          </w:p>
        </w:tc>
      </w:tr>
    </w:tbl>
    <w:p w:rsidR="00E17372" w:rsidP="006F7F7F">
      <w:pPr>
        <w:pStyle w:val="BodyText"/>
      </w:pPr>
    </w:p>
    <w:p w:rsidR="00E17372" w:rsidP="006F7F7F">
      <w:pPr>
        <w:pStyle w:val="BodyText"/>
      </w:pPr>
    </w:p>
    <w:p w:rsidR="00000000" w:rsidRPr="006F7F7F" w:rsidP="006F7F7F">
      <w:pPr>
        <w:pStyle w:val="Heading1"/>
      </w:pPr>
      <w:bookmarkStart w:id="3" w:name="O_327754"/>
      <w:bookmarkEnd w:id="3"/>
      <w:r w:rsidRPr="006F7F7F">
        <w:t>Application of the Unit</w:t>
      </w:r>
    </w:p>
    <w:p w:rsidR="00000000" w:rsidRPr="006F7F7F" w:rsidP="006F7F7F">
      <w:pPr>
        <w:pStyle w:val="BodyText"/>
      </w:pPr>
      <w:r w:rsidRPr="006F7F7F">
        <w:t>Not Applicable</w:t>
      </w:r>
    </w:p>
    <w:p w:rsidR="00000000" w:rsidRPr="006F7F7F" w:rsidP="006F7F7F">
      <w:pPr>
        <w:pStyle w:val="AllowPageBreak"/>
      </w:pPr>
    </w:p>
    <w:p w:rsidR="00000000" w:rsidRPr="006F7F7F" w:rsidP="006F7F7F">
      <w:pPr>
        <w:pStyle w:val="Heading1"/>
      </w:pPr>
      <w:bookmarkStart w:id="4" w:name="O_327755"/>
      <w:bookmarkEnd w:id="4"/>
      <w:r w:rsidRPr="006F7F7F">
        <w:t>Licensing/Regulatory Information</w:t>
      </w:r>
    </w:p>
    <w:p w:rsidR="00000000" w:rsidRPr="006F7F7F" w:rsidP="006F7F7F">
      <w:pPr>
        <w:pStyle w:val="BodyText"/>
      </w:pPr>
      <w:r w:rsidRPr="006F7F7F">
        <w:t>Not Applicable</w:t>
      </w:r>
    </w:p>
    <w:p w:rsidR="00000000" w:rsidRPr="006F7F7F" w:rsidP="006F7F7F">
      <w:pPr>
        <w:pStyle w:val="AllowPageBreak"/>
      </w:pPr>
    </w:p>
    <w:p w:rsidR="00000000" w:rsidRPr="006F7F7F" w:rsidP="006F7F7F">
      <w:pPr>
        <w:pStyle w:val="Heading1"/>
      </w:pPr>
      <w:bookmarkStart w:id="5" w:name="O_327756"/>
      <w:bookmarkEnd w:id="5"/>
      <w:r w:rsidRPr="006F7F7F">
        <w:t>Pre-Requisites</w:t>
      </w:r>
    </w:p>
    <w:p w:rsidR="00000000" w:rsidRPr="006F7F7F" w:rsidP="006F7F7F">
      <w:pPr>
        <w:pStyle w:val="BodyText"/>
      </w:pPr>
      <w:r w:rsidRPr="006F7F7F">
        <w:t>Not Applicable</w:t>
      </w:r>
    </w:p>
    <w:p w:rsidR="00000000" w:rsidRPr="006F7F7F" w:rsidP="006F7F7F">
      <w:pPr>
        <w:pStyle w:val="AllowPageBreak"/>
      </w:pPr>
    </w:p>
    <w:p w:rsidR="00000000" w:rsidRPr="006F7F7F" w:rsidP="006F7F7F">
      <w:pPr>
        <w:pStyle w:val="Heading1"/>
      </w:pPr>
      <w:bookmarkStart w:id="6" w:name="O_327757"/>
      <w:bookmarkEnd w:id="6"/>
      <w:r w:rsidRPr="006F7F7F">
        <w:t>Employability Skills Information</w:t>
      </w:r>
    </w:p>
    <w:p w:rsidR="00000000" w:rsidRPr="006F7F7F" w:rsidP="006F7F7F">
      <w:pPr>
        <w:pStyle w:val="BodyText"/>
      </w:pPr>
      <w:r w:rsidRPr="006F7F7F">
        <w:t>Not Applicable</w:t>
      </w:r>
    </w:p>
    <w:p w:rsidR="00000000" w:rsidRPr="006F7F7F" w:rsidP="006F7F7F">
      <w:pPr>
        <w:pStyle w:val="AllowPageBreak"/>
      </w:pPr>
    </w:p>
    <w:p w:rsidR="00000000" w:rsidRPr="006F7F7F" w:rsidP="006F7F7F">
      <w:pPr>
        <w:pStyle w:val="Heading1"/>
      </w:pPr>
      <w:bookmarkStart w:id="7" w:name="O_327758"/>
      <w:bookmarkEnd w:id="7"/>
      <w:r w:rsidRPr="006F7F7F">
        <w:t>Elements and Performance Criteria Pre-Content</w:t>
      </w:r>
    </w:p>
    <w:tbl>
      <w:tblPr>
        <w:tblW w:w="0" w:type="auto"/>
        <w:tblLayout w:type="fixed"/>
        <w:tblCellMar>
          <w:left w:w="62" w:type="dxa"/>
          <w:right w:w="62" w:type="dxa"/>
        </w:tblCellMar>
        <w:tblLook w:val="0000"/>
      </w:tblPr>
      <w:tblGrid>
        <w:gridCol w:w="3261"/>
        <w:gridCol w:w="5702"/>
      </w:tblGrid>
      <w:tr w:rsidTr="00E1737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F7F7F">
            <w:pPr>
              <w:pStyle w:val="BodyText"/>
              <w:rPr>
                <w:lang w:val="en-NZ"/>
              </w:rPr>
            </w:pPr>
            <w:r w:rsidRPr="006F7F7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F7F7F" w:rsidP="006F7F7F">
            <w:pPr>
              <w:pStyle w:val="BodyText"/>
            </w:pPr>
            <w:r w:rsidRPr="006F7F7F">
              <w:t>Performance criteria describe the performance nee</w:t>
            </w:r>
            <w:r w:rsidRPr="006F7F7F">
              <w:t>ded 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E17372" w:rsidP="006F7F7F">
      <w:pPr>
        <w:pStyle w:val="BodyText"/>
      </w:pPr>
    </w:p>
    <w:p w:rsidR="00E17372" w:rsidP="006F7F7F">
      <w:pPr>
        <w:pStyle w:val="BodyText"/>
      </w:pPr>
    </w:p>
    <w:p w:rsidR="00000000" w:rsidRPr="006F7F7F" w:rsidP="006F7F7F">
      <w:pPr>
        <w:pStyle w:val="Heading1"/>
      </w:pPr>
      <w:bookmarkStart w:id="8" w:name="O_327759"/>
      <w:bookmarkEnd w:id="8"/>
      <w:r w:rsidRPr="006F7F7F">
        <w:t>Elements and Performance Criteria</w:t>
      </w:r>
    </w:p>
    <w:tbl>
      <w:tblPr>
        <w:tblW w:w="0" w:type="auto"/>
        <w:tblLayout w:type="fixed"/>
        <w:tblCellMar>
          <w:left w:w="62" w:type="dxa"/>
          <w:right w:w="62" w:type="dxa"/>
        </w:tblCellMar>
        <w:tblLook w:val="0000"/>
      </w:tblPr>
      <w:tblGrid>
        <w:gridCol w:w="3261"/>
        <w:gridCol w:w="5702"/>
      </w:tblGrid>
      <w:tr w:rsidTr="00E1737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F7F7F" w:rsidP="006F7F7F">
            <w:pPr>
              <w:pStyle w:val="BodyText"/>
            </w:pPr>
            <w:r w:rsidRPr="006F7F7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F7F7F">
            <w:pPr>
              <w:pStyle w:val="BodyText"/>
              <w:rPr>
                <w:lang w:val="en-NZ"/>
              </w:rPr>
            </w:pPr>
            <w:r w:rsidRPr="006F7F7F">
              <w:rPr>
                <w:rStyle w:val="SpecialBold"/>
              </w:rPr>
              <w:t>PERFORMANCE CRITERIA</w:t>
            </w:r>
          </w:p>
        </w:tc>
      </w:tr>
      <w:tr w:rsidTr="00E1737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F7F7F">
            <w:pPr>
              <w:pStyle w:val="List"/>
              <w:rPr>
                <w:lang w:val="en-NZ"/>
              </w:rPr>
            </w:pPr>
            <w:r w:rsidRPr="006F7F7F">
              <w:t>1. Establish the context</w:t>
            </w:r>
          </w:p>
        </w:tc>
        <w:tc>
          <w:tcPr>
            <w:tcW w:w="5702" w:type="dxa"/>
            <w:tcBorders>
              <w:top w:val="nil"/>
              <w:left w:val="nil"/>
              <w:bottom w:val="nil"/>
              <w:right w:val="nil"/>
            </w:tcBorders>
            <w:tcMar>
              <w:top w:w="0" w:type="dxa"/>
              <w:left w:w="62" w:type="dxa"/>
              <w:bottom w:w="0" w:type="dxa"/>
              <w:right w:w="62" w:type="dxa"/>
            </w:tcMar>
          </w:tcPr>
          <w:p w:rsidR="00000000" w:rsidRPr="006F7F7F" w:rsidP="006F7F7F">
            <w:pPr>
              <w:pStyle w:val="BodyText"/>
            </w:pPr>
            <w:r w:rsidRPr="006F7F7F">
              <w:t>1.1 Organisations' activity/location/equipment maintenance and operational procedures are obtained</w:t>
            </w:r>
          </w:p>
          <w:p w:rsidR="00000000" w:rsidRPr="006F7F7F" w:rsidP="006F7F7F">
            <w:pPr>
              <w:pStyle w:val="BodyText"/>
            </w:pPr>
            <w:r w:rsidRPr="006F7F7F">
              <w:t>1.2 Activity/location/equipment operating and maintenance history is obtained including relevant incident and failure reports</w:t>
            </w:r>
          </w:p>
          <w:p w:rsidR="00000000" w:rsidRPr="006F7F7F" w:rsidP="006F7F7F">
            <w:pPr>
              <w:pStyle w:val="BodyText"/>
            </w:pPr>
            <w:r w:rsidRPr="006F7F7F">
              <w:t>1.3 Applicable occupational health and safety and environmental standards are researched</w:t>
            </w:r>
          </w:p>
          <w:p w:rsidR="00000000" w:rsidRPr="006F7F7F" w:rsidP="006F7F7F">
            <w:pPr>
              <w:pStyle w:val="BodyText"/>
            </w:pPr>
            <w:r w:rsidRPr="006F7F7F">
              <w:t>1.4 Applicable technical documentation is</w:t>
            </w:r>
            <w:r w:rsidRPr="006F7F7F">
              <w:t xml:space="preserve"> obtained</w:t>
            </w:r>
          </w:p>
          <w:p w:rsidR="00000000" w:rsidP="006F7F7F">
            <w:pPr>
              <w:pStyle w:val="BodyText"/>
              <w:rPr>
                <w:lang w:val="en-NZ"/>
              </w:rPr>
            </w:pPr>
            <w:r w:rsidRPr="006F7F7F">
              <w:t>1.5 Risk criteria, as determined by the organisation’s risk management policy and plan, are accessed and clarified</w:t>
            </w:r>
          </w:p>
        </w:tc>
      </w:tr>
      <w:tr w:rsidTr="00E1737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F7F7F">
            <w:pPr>
              <w:pStyle w:val="List"/>
              <w:rPr>
                <w:lang w:val="en-NZ"/>
              </w:rPr>
            </w:pPr>
          </w:p>
        </w:tc>
        <w:tc>
          <w:tcPr>
            <w:tcW w:w="5702" w:type="dxa"/>
            <w:tcBorders>
              <w:top w:val="nil"/>
              <w:left w:val="nil"/>
              <w:bottom w:val="nil"/>
              <w:right w:val="nil"/>
            </w:tcBorders>
            <w:tcMar>
              <w:top w:w="0" w:type="dxa"/>
              <w:left w:w="62" w:type="dxa"/>
              <w:bottom w:w="0" w:type="dxa"/>
              <w:right w:w="62" w:type="dxa"/>
            </w:tcMar>
          </w:tcPr>
          <w:p w:rsidR="00000000" w:rsidP="006F7F7F">
            <w:pPr>
              <w:pStyle w:val="BodyText"/>
              <w:rPr>
                <w:lang w:val="en-NZ"/>
              </w:rPr>
            </w:pPr>
          </w:p>
        </w:tc>
      </w:tr>
      <w:tr w:rsidTr="00E1737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F7F7F">
            <w:pPr>
              <w:pStyle w:val="List"/>
              <w:rPr>
                <w:lang w:val="en-NZ"/>
              </w:rPr>
            </w:pPr>
            <w:r w:rsidRPr="006F7F7F">
              <w:t>2. Identify risks</w:t>
            </w:r>
          </w:p>
        </w:tc>
        <w:tc>
          <w:tcPr>
            <w:tcW w:w="5702" w:type="dxa"/>
            <w:tcBorders>
              <w:top w:val="nil"/>
              <w:left w:val="nil"/>
              <w:bottom w:val="nil"/>
              <w:right w:val="nil"/>
            </w:tcBorders>
            <w:tcMar>
              <w:top w:w="0" w:type="dxa"/>
              <w:left w:w="62" w:type="dxa"/>
              <w:bottom w:w="0" w:type="dxa"/>
              <w:right w:w="62" w:type="dxa"/>
            </w:tcMar>
          </w:tcPr>
          <w:p w:rsidR="00000000" w:rsidRPr="006F7F7F" w:rsidP="006F7F7F">
            <w:pPr>
              <w:pStyle w:val="BodyText"/>
            </w:pPr>
            <w:r w:rsidRPr="006F7F7F">
              <w:t>2.1 A comprehensive list of sources of risks within the particular activity is generated, including risks that are not under the control of the organisation</w:t>
            </w:r>
          </w:p>
          <w:p w:rsidR="00000000" w:rsidRPr="006F7F7F" w:rsidP="006F7F7F">
            <w:pPr>
              <w:pStyle w:val="BodyText"/>
            </w:pPr>
            <w:r w:rsidRPr="006F7F7F">
              <w:t>2.2 Areas of impact on the organisation are taken into consideration</w:t>
            </w:r>
          </w:p>
          <w:p w:rsidR="00000000" w:rsidRPr="006F7F7F" w:rsidP="006F7F7F">
            <w:pPr>
              <w:pStyle w:val="BodyText"/>
            </w:pPr>
            <w:r w:rsidRPr="006F7F7F">
              <w:t>2.3 Possible causes of risks a</w:t>
            </w:r>
            <w:r w:rsidRPr="006F7F7F">
              <w:t>re considered</w:t>
            </w:r>
          </w:p>
          <w:p w:rsidR="00000000" w:rsidP="006F7F7F">
            <w:pPr>
              <w:pStyle w:val="BodyText"/>
              <w:rPr>
                <w:lang w:val="en-NZ"/>
              </w:rPr>
            </w:pPr>
            <w:r w:rsidRPr="006F7F7F">
              <w:t>2.4 Sources of risk and areas of impact are documented in a clear and concise manner</w:t>
            </w:r>
          </w:p>
        </w:tc>
      </w:tr>
      <w:tr w:rsidTr="00E1737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F7F7F">
            <w:pPr>
              <w:pStyle w:val="List"/>
              <w:rPr>
                <w:lang w:val="en-NZ"/>
              </w:rPr>
            </w:pPr>
          </w:p>
        </w:tc>
        <w:tc>
          <w:tcPr>
            <w:tcW w:w="5702" w:type="dxa"/>
            <w:tcBorders>
              <w:top w:val="nil"/>
              <w:left w:val="nil"/>
              <w:bottom w:val="nil"/>
              <w:right w:val="nil"/>
            </w:tcBorders>
            <w:tcMar>
              <w:top w:w="0" w:type="dxa"/>
              <w:left w:w="62" w:type="dxa"/>
              <w:bottom w:w="0" w:type="dxa"/>
              <w:right w:w="62" w:type="dxa"/>
            </w:tcMar>
          </w:tcPr>
          <w:p w:rsidR="00000000" w:rsidP="006F7F7F">
            <w:pPr>
              <w:pStyle w:val="BodyText"/>
              <w:rPr>
                <w:lang w:val="en-NZ"/>
              </w:rPr>
            </w:pPr>
          </w:p>
        </w:tc>
      </w:tr>
      <w:tr w:rsidTr="00E1737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F7F7F">
            <w:pPr>
              <w:pStyle w:val="List"/>
              <w:rPr>
                <w:lang w:val="en-NZ"/>
              </w:rPr>
            </w:pPr>
            <w:r w:rsidRPr="006F7F7F">
              <w:t>3. Conduct risk analysis</w:t>
            </w:r>
          </w:p>
        </w:tc>
        <w:tc>
          <w:tcPr>
            <w:tcW w:w="5702" w:type="dxa"/>
            <w:tcBorders>
              <w:top w:val="nil"/>
              <w:left w:val="nil"/>
              <w:bottom w:val="nil"/>
              <w:right w:val="nil"/>
            </w:tcBorders>
            <w:tcMar>
              <w:top w:w="0" w:type="dxa"/>
              <w:left w:w="62" w:type="dxa"/>
              <w:bottom w:w="0" w:type="dxa"/>
              <w:right w:w="62" w:type="dxa"/>
            </w:tcMar>
          </w:tcPr>
          <w:p w:rsidR="00000000" w:rsidRPr="006F7F7F" w:rsidP="006F7F7F">
            <w:pPr>
              <w:pStyle w:val="BodyText"/>
            </w:pPr>
            <w:r w:rsidRPr="006F7F7F">
              <w:t>3.1 Analysis is completed using appropriate methodology in accordance with organisations' and/or activity requirements</w:t>
            </w:r>
          </w:p>
          <w:p w:rsidR="00000000" w:rsidRPr="006F7F7F" w:rsidP="006F7F7F">
            <w:pPr>
              <w:pStyle w:val="BodyText"/>
            </w:pPr>
            <w:r w:rsidRPr="006F7F7F">
              <w:t>3.2 Exist</w:t>
            </w:r>
            <w:r w:rsidRPr="006F7F7F">
              <w:t>ing control, likelihood and consequences are determined</w:t>
            </w:r>
          </w:p>
          <w:p w:rsidR="00000000" w:rsidP="006F7F7F">
            <w:pPr>
              <w:pStyle w:val="BodyText"/>
              <w:rPr>
                <w:lang w:val="en-NZ"/>
              </w:rPr>
            </w:pPr>
            <w:r w:rsidRPr="006F7F7F">
              <w:t>3.3 Level of risk is compared to previously established risk criteria</w:t>
            </w:r>
          </w:p>
        </w:tc>
      </w:tr>
      <w:tr w:rsidTr="00E1737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F7F7F">
            <w:pPr>
              <w:pStyle w:val="List"/>
              <w:rPr>
                <w:lang w:val="en-NZ"/>
              </w:rPr>
            </w:pPr>
          </w:p>
        </w:tc>
        <w:tc>
          <w:tcPr>
            <w:tcW w:w="5702" w:type="dxa"/>
            <w:tcBorders>
              <w:top w:val="nil"/>
              <w:left w:val="nil"/>
              <w:bottom w:val="nil"/>
              <w:right w:val="nil"/>
            </w:tcBorders>
            <w:tcMar>
              <w:top w:w="0" w:type="dxa"/>
              <w:left w:w="62" w:type="dxa"/>
              <w:bottom w:w="0" w:type="dxa"/>
              <w:right w:w="62" w:type="dxa"/>
            </w:tcMar>
          </w:tcPr>
          <w:p w:rsidR="00000000" w:rsidP="006F7F7F">
            <w:pPr>
              <w:pStyle w:val="BodyText"/>
              <w:rPr>
                <w:lang w:val="en-NZ"/>
              </w:rPr>
            </w:pPr>
          </w:p>
        </w:tc>
      </w:tr>
      <w:tr w:rsidTr="00E1737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F7F7F">
            <w:pPr>
              <w:pStyle w:val="List"/>
              <w:rPr>
                <w:lang w:val="en-NZ"/>
              </w:rPr>
            </w:pPr>
            <w:r w:rsidRPr="006F7F7F">
              <w:t>4. Undertake risk assessment</w:t>
            </w:r>
          </w:p>
        </w:tc>
        <w:tc>
          <w:tcPr>
            <w:tcW w:w="5702" w:type="dxa"/>
            <w:tcBorders>
              <w:top w:val="nil"/>
              <w:left w:val="nil"/>
              <w:bottom w:val="nil"/>
              <w:right w:val="nil"/>
            </w:tcBorders>
            <w:tcMar>
              <w:top w:w="0" w:type="dxa"/>
              <w:left w:w="62" w:type="dxa"/>
              <w:bottom w:w="0" w:type="dxa"/>
              <w:right w:w="62" w:type="dxa"/>
            </w:tcMar>
          </w:tcPr>
          <w:p w:rsidR="00000000" w:rsidRPr="006F7F7F" w:rsidP="006F7F7F">
            <w:pPr>
              <w:pStyle w:val="BodyText"/>
            </w:pPr>
            <w:r w:rsidRPr="006F7F7F">
              <w:t>4.1 Level of risks are compared against previously established risk criteria and decisions made as to whether risks can be accepted</w:t>
            </w:r>
          </w:p>
          <w:p w:rsidR="00000000" w:rsidRPr="006F7F7F" w:rsidP="006F7F7F">
            <w:pPr>
              <w:pStyle w:val="BodyText"/>
            </w:pPr>
            <w:r w:rsidRPr="006F7F7F">
              <w:t>4.2 Risks are prioritised, taking account of the wider context of the risk</w:t>
            </w:r>
          </w:p>
          <w:p w:rsidR="00000000" w:rsidRPr="006F7F7F" w:rsidP="006F7F7F">
            <w:pPr>
              <w:pStyle w:val="BodyText"/>
            </w:pPr>
            <w:r w:rsidRPr="006F7F7F">
              <w:t>4.3 Consideration is given to the tolerability of</w:t>
            </w:r>
            <w:r w:rsidRPr="006F7F7F">
              <w:t xml:space="preserve"> the risks borne by parties other than the organisation that benefits from it</w:t>
            </w:r>
          </w:p>
          <w:p w:rsidR="00000000" w:rsidRPr="006F7F7F" w:rsidP="006F7F7F">
            <w:pPr>
              <w:pStyle w:val="BodyText"/>
            </w:pPr>
            <w:r w:rsidRPr="006F7F7F">
              <w:t>4.4 Risks that fall into the low or acceptable categories may be accepted without further treatment, monitored and periodically reviewed to ensure they remain acceptable</w:t>
            </w:r>
          </w:p>
          <w:p w:rsidR="00000000" w:rsidP="006F7F7F">
            <w:pPr>
              <w:pStyle w:val="BodyText"/>
              <w:rPr>
                <w:lang w:val="en-NZ"/>
              </w:rPr>
            </w:pPr>
            <w:r w:rsidRPr="006F7F7F">
              <w:t>4.5 Risk</w:t>
            </w:r>
            <w:r w:rsidRPr="006F7F7F">
              <w:t>s that fall outside the low or acceptable category are treated using a range of options</w:t>
            </w:r>
          </w:p>
        </w:tc>
      </w:tr>
      <w:tr w:rsidTr="00E1737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F7F7F">
            <w:pPr>
              <w:pStyle w:val="List"/>
              <w:rPr>
                <w:lang w:val="en-NZ"/>
              </w:rPr>
            </w:pPr>
          </w:p>
        </w:tc>
        <w:tc>
          <w:tcPr>
            <w:tcW w:w="5702" w:type="dxa"/>
            <w:tcBorders>
              <w:top w:val="nil"/>
              <w:left w:val="nil"/>
              <w:bottom w:val="nil"/>
              <w:right w:val="nil"/>
            </w:tcBorders>
            <w:tcMar>
              <w:top w:w="0" w:type="dxa"/>
              <w:left w:w="62" w:type="dxa"/>
              <w:bottom w:w="0" w:type="dxa"/>
              <w:right w:w="62" w:type="dxa"/>
            </w:tcMar>
          </w:tcPr>
          <w:p w:rsidR="00000000" w:rsidP="006F7F7F">
            <w:pPr>
              <w:pStyle w:val="BodyText"/>
              <w:rPr>
                <w:lang w:val="en-NZ"/>
              </w:rPr>
            </w:pPr>
          </w:p>
        </w:tc>
      </w:tr>
      <w:tr w:rsidTr="00E1737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F7F7F">
            <w:pPr>
              <w:pStyle w:val="List"/>
              <w:rPr>
                <w:lang w:val="en-NZ"/>
              </w:rPr>
            </w:pPr>
            <w:r w:rsidRPr="006F7F7F">
              <w:t>5. Treat risks</w:t>
            </w:r>
          </w:p>
        </w:tc>
        <w:tc>
          <w:tcPr>
            <w:tcW w:w="5702" w:type="dxa"/>
            <w:tcBorders>
              <w:top w:val="nil"/>
              <w:left w:val="nil"/>
              <w:bottom w:val="nil"/>
              <w:right w:val="nil"/>
            </w:tcBorders>
            <w:tcMar>
              <w:top w:w="0" w:type="dxa"/>
              <w:left w:w="62" w:type="dxa"/>
              <w:bottom w:w="0" w:type="dxa"/>
              <w:right w:w="62" w:type="dxa"/>
            </w:tcMar>
          </w:tcPr>
          <w:p w:rsidR="00000000" w:rsidRPr="006F7F7F" w:rsidP="006F7F7F">
            <w:pPr>
              <w:pStyle w:val="BodyText"/>
            </w:pPr>
            <w:r w:rsidRPr="006F7F7F">
              <w:t>5.1 Risk treatment options are identified such as retaining the risk, reducing the likelihood of occurrence, reducing the consequence or transferring</w:t>
            </w:r>
            <w:r w:rsidRPr="006F7F7F">
              <w:t xml:space="preserve"> the risk</w:t>
            </w:r>
          </w:p>
          <w:p w:rsidR="00000000" w:rsidRPr="006F7F7F" w:rsidP="006F7F7F">
            <w:pPr>
              <w:pStyle w:val="BodyText"/>
            </w:pPr>
            <w:r w:rsidRPr="006F7F7F">
              <w:t>5.2 Risk treatment options are evaluated in accordance with the organisation’s risk management plan, on the basis of the extent of risk reduction, the extent of benefits or opportunities created and taking into account the risk criteria previousl</w:t>
            </w:r>
            <w:r w:rsidRPr="006F7F7F">
              <w:t>y established</w:t>
            </w:r>
          </w:p>
          <w:p w:rsidR="00000000" w:rsidRPr="006F7F7F" w:rsidP="006F7F7F">
            <w:pPr>
              <w:pStyle w:val="BodyText"/>
            </w:pPr>
            <w:r w:rsidRPr="006F7F7F">
              <w:t>5.3 Risk treatment plans are prepared identifying responsibilities, schedules, the expected outcome of treatments, budgeting, performance measures and the review process set in place</w:t>
            </w:r>
          </w:p>
          <w:p w:rsidR="00000000" w:rsidRPr="006F7F7F" w:rsidP="006F7F7F">
            <w:pPr>
              <w:pStyle w:val="BodyText"/>
            </w:pPr>
            <w:r w:rsidRPr="006F7F7F">
              <w:t xml:space="preserve">5.4 Risk analysis and treatment options are documented, in </w:t>
            </w:r>
            <w:r w:rsidRPr="006F7F7F">
              <w:t>accordance with the organisation’s procedures</w:t>
            </w:r>
          </w:p>
          <w:p w:rsidR="00000000" w:rsidP="006F7F7F">
            <w:pPr>
              <w:pStyle w:val="BodyText"/>
              <w:rPr>
                <w:lang w:val="en-NZ"/>
              </w:rPr>
            </w:pPr>
            <w:r w:rsidRPr="006F7F7F">
              <w:t>5.5 Risk treatment plans are implemented prior to and during the conduct of an activity</w:t>
            </w:r>
          </w:p>
        </w:tc>
      </w:tr>
      <w:tr w:rsidTr="00E1737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F7F7F">
            <w:pPr>
              <w:pStyle w:val="List"/>
              <w:rPr>
                <w:lang w:val="en-NZ"/>
              </w:rPr>
            </w:pPr>
          </w:p>
        </w:tc>
        <w:tc>
          <w:tcPr>
            <w:tcW w:w="5702" w:type="dxa"/>
            <w:tcBorders>
              <w:top w:val="nil"/>
              <w:left w:val="nil"/>
              <w:bottom w:val="nil"/>
              <w:right w:val="nil"/>
            </w:tcBorders>
            <w:tcMar>
              <w:top w:w="0" w:type="dxa"/>
              <w:left w:w="62" w:type="dxa"/>
              <w:bottom w:w="0" w:type="dxa"/>
              <w:right w:w="62" w:type="dxa"/>
            </w:tcMar>
          </w:tcPr>
          <w:p w:rsidR="00000000" w:rsidP="006F7F7F">
            <w:pPr>
              <w:pStyle w:val="BodyText"/>
              <w:rPr>
                <w:lang w:val="en-NZ"/>
              </w:rPr>
            </w:pPr>
          </w:p>
        </w:tc>
      </w:tr>
      <w:tr w:rsidTr="00E1737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F7F7F">
            <w:pPr>
              <w:pStyle w:val="List"/>
              <w:rPr>
                <w:lang w:val="en-NZ"/>
              </w:rPr>
            </w:pPr>
            <w:r w:rsidRPr="006F7F7F">
              <w:t>6. Monitor and review the risk management plan</w:t>
            </w:r>
          </w:p>
        </w:tc>
        <w:tc>
          <w:tcPr>
            <w:tcW w:w="5702" w:type="dxa"/>
            <w:tcBorders>
              <w:top w:val="nil"/>
              <w:left w:val="nil"/>
              <w:bottom w:val="nil"/>
              <w:right w:val="nil"/>
            </w:tcBorders>
            <w:tcMar>
              <w:top w:w="0" w:type="dxa"/>
              <w:left w:w="62" w:type="dxa"/>
              <w:bottom w:w="0" w:type="dxa"/>
              <w:right w:w="62" w:type="dxa"/>
            </w:tcMar>
          </w:tcPr>
          <w:p w:rsidR="00000000" w:rsidRPr="006F7F7F" w:rsidP="006F7F7F">
            <w:pPr>
              <w:pStyle w:val="BodyText"/>
            </w:pPr>
            <w:r w:rsidRPr="006F7F7F">
              <w:t>6.1 Risks and the effectiveness of control measures are monitored in accordance with the organisation’s risk management plan to ensure changing circumstances do not alter risk priorities</w:t>
            </w:r>
          </w:p>
          <w:p w:rsidR="00000000" w:rsidRPr="006F7F7F" w:rsidP="006F7F7F">
            <w:pPr>
              <w:pStyle w:val="BodyText"/>
            </w:pPr>
            <w:r w:rsidRPr="006F7F7F">
              <w:t>6.2 The risk analysis is repeated regularly to ensure the risk treatm</w:t>
            </w:r>
            <w:r w:rsidRPr="006F7F7F">
              <w:t>ent plan remains relevant</w:t>
            </w:r>
          </w:p>
          <w:p w:rsidR="00000000" w:rsidRPr="006F7F7F" w:rsidP="006F7F7F">
            <w:pPr>
              <w:pStyle w:val="BodyText"/>
            </w:pPr>
            <w:r w:rsidRPr="006F7F7F">
              <w:t>6.3 Changes to the conduct of an activity are made, where required, in accordance with review recommendations</w:t>
            </w:r>
          </w:p>
          <w:p w:rsidR="00000000" w:rsidRPr="006F7F7F" w:rsidP="006F7F7F">
            <w:pPr>
              <w:pStyle w:val="BodyText"/>
            </w:pPr>
            <w:r w:rsidRPr="006F7F7F">
              <w:t>6.4 Recommendations in accordance with the organisation’s risk audit are implemented in future risk analysis of activiti</w:t>
            </w:r>
            <w:r w:rsidRPr="006F7F7F">
              <w:t>es</w:t>
            </w:r>
          </w:p>
        </w:tc>
      </w:tr>
    </w:tbl>
    <w:p w:rsidR="00E17372" w:rsidP="006F7F7F">
      <w:pPr>
        <w:pStyle w:val="List"/>
      </w:pPr>
    </w:p>
    <w:p w:rsidR="00E17372" w:rsidP="006F7F7F">
      <w:pPr>
        <w:pStyle w:val="List"/>
      </w:pPr>
    </w:p>
    <w:p w:rsidR="00000000" w:rsidRPr="006F7F7F" w:rsidP="006F7F7F">
      <w:pPr>
        <w:pStyle w:val="Heading1"/>
      </w:pPr>
      <w:bookmarkStart w:id="9" w:name="O_327760"/>
      <w:bookmarkEnd w:id="9"/>
      <w:r w:rsidRPr="006F7F7F">
        <w:t>Required Skills and Knowledge</w:t>
      </w:r>
    </w:p>
    <w:tbl>
      <w:tblPr>
        <w:tblW w:w="0" w:type="auto"/>
        <w:tblLayout w:type="fixed"/>
        <w:tblCellMar>
          <w:left w:w="62" w:type="dxa"/>
          <w:right w:w="62" w:type="dxa"/>
        </w:tblCellMar>
        <w:tblLook w:val="0000"/>
      </w:tblPr>
      <w:tblGrid>
        <w:gridCol w:w="8964"/>
      </w:tblGrid>
      <w:tr w:rsidTr="00E17372">
        <w:tblPrEx>
          <w:tblW w:w="0" w:type="auto"/>
          <w:tblLayout w:type="fixed"/>
          <w:tblCellMar>
            <w:left w:w="62" w:type="dxa"/>
            <w:right w:w="62" w:type="dxa"/>
          </w:tblCellMar>
          <w:tblLook w:val="0000"/>
        </w:tblPrEx>
        <w:trPr>
          <w:tblHeader/>
        </w:trPr>
        <w:tc>
          <w:tcPr>
            <w:tcW w:w="8964" w:type="dxa"/>
            <w:tcBorders>
              <w:top w:val="nil"/>
              <w:left w:val="nil"/>
              <w:bottom w:val="nil"/>
              <w:right w:val="nil"/>
            </w:tcBorders>
            <w:tcMar>
              <w:top w:w="0" w:type="dxa"/>
              <w:left w:w="62" w:type="dxa"/>
              <w:bottom w:w="0" w:type="dxa"/>
              <w:right w:w="62" w:type="dxa"/>
            </w:tcMar>
          </w:tcPr>
          <w:p w:rsidR="00000000" w:rsidP="006F7F7F">
            <w:pPr>
              <w:pStyle w:val="Heading3"/>
            </w:pPr>
            <w:r w:rsidRPr="006F7F7F">
              <w:t>REQUIRED SKILLS AND KNOWLEDGE</w:t>
            </w:r>
          </w:p>
        </w:tc>
      </w:tr>
      <w:tr w:rsidTr="00E17372">
        <w:tblPrEx>
          <w:tblW w:w="0" w:type="auto"/>
          <w:tblLayout w:type="fixed"/>
          <w:tblCellMar>
            <w:left w:w="62" w:type="dxa"/>
            <w:right w:w="62" w:type="dxa"/>
          </w:tblCellMar>
          <w:tblLook w:val="0000"/>
        </w:tblPrEx>
        <w:trPr>
          <w:tblHeader/>
        </w:trPr>
        <w:tc>
          <w:tcPr>
            <w:tcW w:w="8964" w:type="dxa"/>
            <w:tcBorders>
              <w:top w:val="nil"/>
              <w:left w:val="nil"/>
              <w:bottom w:val="nil"/>
              <w:right w:val="nil"/>
            </w:tcBorders>
            <w:tcMar>
              <w:top w:w="0" w:type="dxa"/>
              <w:left w:w="62" w:type="dxa"/>
              <w:bottom w:w="0" w:type="dxa"/>
              <w:right w:w="62" w:type="dxa"/>
            </w:tcMar>
          </w:tcPr>
          <w:p w:rsidR="00000000" w:rsidP="006F7F7F">
            <w:pPr>
              <w:pStyle w:val="BodyText"/>
              <w:rPr>
                <w:lang w:val="en-NZ"/>
              </w:rPr>
            </w:pPr>
          </w:p>
        </w:tc>
      </w:tr>
      <w:tr w:rsidTr="00E17372">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6F7F7F">
            <w:pPr>
              <w:pStyle w:val="BodyText"/>
              <w:rPr>
                <w:lang w:val="en-NZ"/>
              </w:rPr>
            </w:pPr>
            <w:r w:rsidRPr="006F7F7F">
              <w:t>This describes the essential skills and knowledge and their level required for this unit.</w:t>
            </w:r>
          </w:p>
        </w:tc>
      </w:tr>
      <w:tr w:rsidTr="00E17372">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6F7F7F">
            <w:pPr>
              <w:pStyle w:val="BodyText"/>
              <w:rPr>
                <w:lang w:val="en-NZ"/>
              </w:rPr>
            </w:pPr>
          </w:p>
        </w:tc>
      </w:tr>
      <w:tr w:rsidTr="00E17372">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6F7F7F" w:rsidP="006F7F7F">
            <w:pPr>
              <w:pStyle w:val="BodyText"/>
            </w:pPr>
            <w:r w:rsidRPr="006F7F7F">
              <w:rPr>
                <w:rStyle w:val="Emphasis"/>
              </w:rPr>
              <w:t>Essential knowledge:</w:t>
            </w:r>
          </w:p>
          <w:p w:rsidR="00000000" w:rsidRPr="006F7F7F" w:rsidP="006F7F7F">
            <w:pPr>
              <w:pStyle w:val="BodyText"/>
            </w:pPr>
            <w:r w:rsidRPr="006F7F7F">
              <w:t>The candidate must be able to demonstrate essential knowledge required to effectively perform task skills; task management skills; contingency management skills and job/role environment skills as outlined in elements and performance criteria of this unit</w:t>
            </w:r>
          </w:p>
          <w:p w:rsidR="00000000" w:rsidRPr="006F7F7F" w:rsidP="006F7F7F">
            <w:pPr>
              <w:pStyle w:val="BodyText"/>
            </w:pPr>
            <w:r w:rsidRPr="006F7F7F">
              <w:t>T</w:t>
            </w:r>
            <w:r w:rsidRPr="006F7F7F">
              <w:t>hese include knowledge of:</w:t>
            </w:r>
          </w:p>
          <w:p w:rsidR="00000000" w:rsidRPr="006F7F7F" w:rsidP="006F7F7F">
            <w:pPr>
              <w:pStyle w:val="ListBullet"/>
            </w:pPr>
            <w:r w:rsidRPr="006F7F7F">
              <w:t>Common risk management terminology</w:t>
            </w:r>
          </w:p>
          <w:p w:rsidR="00000000" w:rsidRPr="006F7F7F" w:rsidP="006F7F7F">
            <w:pPr>
              <w:pStyle w:val="ListBullet"/>
            </w:pPr>
            <w:r w:rsidRPr="006F7F7F">
              <w:t>The role of risk as a reason for participating in or using recreation activities</w:t>
            </w:r>
          </w:p>
          <w:p w:rsidR="00000000" w:rsidRPr="006F7F7F" w:rsidP="006F7F7F">
            <w:pPr>
              <w:pStyle w:val="ListBullet"/>
            </w:pPr>
            <w:r w:rsidRPr="006F7F7F">
              <w:t>Factors that affect an individual’s perception of risk</w:t>
            </w:r>
          </w:p>
          <w:p w:rsidR="00000000" w:rsidRPr="006F7F7F" w:rsidP="006F7F7F">
            <w:pPr>
              <w:pStyle w:val="ListBullet"/>
            </w:pPr>
            <w:r w:rsidRPr="006F7F7F">
              <w:t>Effect of legislation on procedures and practices in the recreation industry</w:t>
            </w:r>
          </w:p>
          <w:p w:rsidR="00000000" w:rsidRPr="006F7F7F" w:rsidP="006F7F7F">
            <w:pPr>
              <w:pStyle w:val="ListBullet"/>
            </w:pPr>
            <w:r w:rsidRPr="006F7F7F">
              <w:t>Causes of accidents, incidents and losses, in a recreation context</w:t>
            </w:r>
          </w:p>
          <w:p w:rsidR="00000000" w:rsidRPr="006F7F7F" w:rsidP="006F7F7F">
            <w:pPr>
              <w:pStyle w:val="ListBullet"/>
            </w:pPr>
            <w:r w:rsidRPr="006F7F7F">
              <w:t>Impact of high profile accidents/incidents/losses</w:t>
            </w:r>
          </w:p>
          <w:p w:rsidR="00000000" w:rsidRPr="006F7F7F" w:rsidP="006F7F7F">
            <w:pPr>
              <w:pStyle w:val="ListBullet"/>
            </w:pPr>
            <w:r w:rsidRPr="006F7F7F">
              <w:t>Legal responsibilities in risk management</w:t>
            </w:r>
          </w:p>
          <w:p w:rsidR="00000000" w:rsidRPr="006F7F7F" w:rsidP="006F7F7F">
            <w:pPr>
              <w:pStyle w:val="ListBullet"/>
            </w:pPr>
            <w:r w:rsidRPr="006F7F7F">
              <w:t>Knowledge of the act</w:t>
            </w:r>
            <w:r w:rsidRPr="006F7F7F">
              <w:t>ivity for analysis</w:t>
            </w:r>
          </w:p>
          <w:p w:rsidR="00000000" w:rsidP="006F7F7F">
            <w:pPr>
              <w:pStyle w:val="ListBullet"/>
              <w:rPr>
                <w:lang w:val="en-NZ"/>
              </w:rPr>
            </w:pPr>
            <w:r w:rsidRPr="006F7F7F">
              <w:t>Equipment design limits and effects of operating outside design limits</w:t>
            </w:r>
          </w:p>
        </w:tc>
      </w:tr>
      <w:tr w:rsidTr="00E17372">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6F7F7F" w:rsidP="006F7F7F">
            <w:pPr>
              <w:pStyle w:val="BodyText"/>
            </w:pPr>
            <w:r w:rsidRPr="006F7F7F">
              <w:rPr>
                <w:rStyle w:val="Emphasis"/>
              </w:rPr>
              <w:t>Essential skills:</w:t>
            </w:r>
          </w:p>
          <w:p w:rsidR="00000000" w:rsidRPr="006F7F7F" w:rsidP="006F7F7F">
            <w:pPr>
              <w:pStyle w:val="ListBullet"/>
            </w:pPr>
            <w:r w:rsidRPr="006F7F7F">
              <w:t>Application of incident scenarios logically and structurally</w:t>
            </w:r>
          </w:p>
          <w:p w:rsidR="00000000" w:rsidRPr="006F7F7F" w:rsidP="006F7F7F">
            <w:pPr>
              <w:pStyle w:val="ListBullet"/>
            </w:pPr>
            <w:r w:rsidRPr="006F7F7F">
              <w:t>Analysis and documentation of research</w:t>
            </w:r>
          </w:p>
        </w:tc>
      </w:tr>
    </w:tbl>
    <w:p w:rsidR="00E17372" w:rsidP="006F7F7F">
      <w:pPr>
        <w:pStyle w:val="ListBullet"/>
      </w:pPr>
    </w:p>
    <w:p w:rsidR="00E17372" w:rsidP="006F7F7F">
      <w:pPr>
        <w:pStyle w:val="ListBullet"/>
      </w:pPr>
    </w:p>
    <w:p w:rsidR="00000000" w:rsidRPr="006F7F7F" w:rsidP="006F7F7F">
      <w:pPr>
        <w:pStyle w:val="Heading1"/>
      </w:pPr>
      <w:bookmarkStart w:id="10" w:name="O_327761"/>
      <w:bookmarkEnd w:id="10"/>
      <w:r w:rsidRPr="006F7F7F">
        <w:t>Evidence Guide</w:t>
      </w:r>
    </w:p>
    <w:tbl>
      <w:tblPr>
        <w:tblW w:w="0" w:type="auto"/>
        <w:tblLayout w:type="fixed"/>
        <w:tblCellMar>
          <w:left w:w="62" w:type="dxa"/>
          <w:right w:w="62" w:type="dxa"/>
        </w:tblCellMar>
        <w:tblLook w:val="0000"/>
      </w:tblPr>
      <w:tblGrid>
        <w:gridCol w:w="3294"/>
        <w:gridCol w:w="5670"/>
      </w:tblGrid>
      <w:tr w:rsidTr="00E17372">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6F7F7F">
            <w:pPr>
              <w:pStyle w:val="BodyText"/>
              <w:rPr>
                <w:lang w:val="en-NZ"/>
              </w:rPr>
            </w:pPr>
            <w:r w:rsidRPr="006F7F7F">
              <w:rPr>
                <w:rStyle w:val="SpecialBold"/>
              </w:rPr>
              <w:t>EVIDENCE GUIDE</w:t>
            </w:r>
          </w:p>
        </w:tc>
      </w:tr>
      <w:tr w:rsidTr="00E17372">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6F7F7F">
            <w:pPr>
              <w:pStyle w:val="BodyText"/>
              <w:rPr>
                <w:lang w:val="en-NZ"/>
              </w:rPr>
            </w:pPr>
          </w:p>
        </w:tc>
      </w:tr>
      <w:tr w:rsidTr="00E17372">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6F7F7F">
            <w:pPr>
              <w:pStyle w:val="BodyText"/>
              <w:rPr>
                <w:lang w:val="en-NZ"/>
              </w:rPr>
            </w:pPr>
            <w:r w:rsidRPr="006F7F7F">
              <w:t>The evidence guide provides advice on assessment and must be read in conjunction with the Performance Criteria, Required Skills and Knowledge, the Range Statement and the Assessment Guidelines for this Training Package.</w:t>
            </w:r>
          </w:p>
        </w:tc>
      </w:tr>
      <w:tr w:rsidTr="00E17372">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6F7F7F">
            <w:pPr>
              <w:pStyle w:val="BodyText"/>
              <w:rPr>
                <w:lang w:val="en-NZ"/>
              </w:rPr>
            </w:pPr>
          </w:p>
        </w:tc>
      </w:tr>
      <w:tr w:rsidTr="00E1737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6F7F7F">
            <w:pPr>
              <w:pStyle w:val="BodyText"/>
              <w:rPr>
                <w:lang w:val="en-NZ"/>
              </w:rPr>
            </w:pPr>
            <w:r w:rsidRPr="006F7F7F">
              <w:rPr>
                <w:rStyle w:val="Emphasis"/>
              </w:rPr>
              <w:t>Critical aspects for assessment and evidence required to demonstrate competency in this unit</w:t>
            </w:r>
          </w:p>
        </w:tc>
        <w:tc>
          <w:tcPr>
            <w:tcW w:w="5670" w:type="dxa"/>
            <w:tcBorders>
              <w:top w:val="nil"/>
              <w:left w:val="nil"/>
              <w:bottom w:val="nil"/>
              <w:right w:val="nil"/>
            </w:tcBorders>
            <w:tcMar>
              <w:top w:w="0" w:type="dxa"/>
              <w:left w:w="62" w:type="dxa"/>
              <w:bottom w:w="0" w:type="dxa"/>
              <w:right w:w="62" w:type="dxa"/>
            </w:tcMar>
          </w:tcPr>
          <w:p w:rsidR="00000000" w:rsidRPr="006F7F7F" w:rsidP="006F7F7F">
            <w:pPr>
              <w:pStyle w:val="BodyText"/>
            </w:pPr>
            <w:r w:rsidRPr="006F7F7F">
              <w:t>Assessment must confirm sufficient knowledge of relevant occupational health and safety regulations, statutory legislation and organisational safety procedures and</w:t>
            </w:r>
            <w:r w:rsidRPr="006F7F7F">
              <w:t xml:space="preserve"> risk management plan</w:t>
            </w:r>
          </w:p>
          <w:p w:rsidR="00000000" w:rsidRPr="006F7F7F" w:rsidP="006F7F7F">
            <w:pPr>
              <w:pStyle w:val="BodyText"/>
            </w:pPr>
            <w:r w:rsidRPr="006F7F7F">
              <w:t>Assessment must confirm the ability to apply knowledge of the organisations' emergency procedures, techniques and operating parameters to conduct a risk analysis of individual activities in accordance with the organisation’s risk mana</w:t>
            </w:r>
            <w:r w:rsidRPr="006F7F7F">
              <w:t>gement procedures, taking into account all categories of the range of variables statement applicable to the learner’s work environment</w:t>
            </w:r>
          </w:p>
          <w:p w:rsidR="00000000" w:rsidP="006F7F7F">
            <w:pPr>
              <w:pStyle w:val="BodyText"/>
              <w:rPr>
                <w:lang w:val="en-NZ"/>
              </w:rPr>
            </w:pPr>
            <w:r w:rsidRPr="006F7F7F">
              <w:t>In particular, assessment must confirm the ability to effectively implement a structured analysis methodology to a partic</w:t>
            </w:r>
            <w:r w:rsidRPr="006F7F7F">
              <w:t>ular recreation activity and clearly and concisely document analysis results and recommendations</w:t>
            </w:r>
          </w:p>
        </w:tc>
      </w:tr>
      <w:tr w:rsidTr="00E1737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7F7F">
            <w:pPr>
              <w:pStyle w:val="BodyText"/>
              <w:rPr>
                <w:lang w:val="en-NZ"/>
              </w:rPr>
            </w:pPr>
          </w:p>
        </w:tc>
      </w:tr>
      <w:tr w:rsidTr="00E1737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6F7F7F">
            <w:pPr>
              <w:pStyle w:val="BodyText"/>
              <w:rPr>
                <w:lang w:val="en-NZ"/>
              </w:rPr>
            </w:pPr>
            <w:r w:rsidRPr="006F7F7F">
              <w:rPr>
                <w:rStyle w:val="Emphasis"/>
              </w:rPr>
              <w:t>Interdependent assessment of units</w:t>
            </w:r>
          </w:p>
        </w:tc>
        <w:tc>
          <w:tcPr>
            <w:tcW w:w="5670" w:type="dxa"/>
            <w:tcBorders>
              <w:top w:val="nil"/>
              <w:left w:val="nil"/>
              <w:bottom w:val="nil"/>
              <w:right w:val="nil"/>
            </w:tcBorders>
            <w:tcMar>
              <w:top w:w="0" w:type="dxa"/>
              <w:left w:w="62" w:type="dxa"/>
              <w:bottom w:w="0" w:type="dxa"/>
              <w:right w:w="62" w:type="dxa"/>
            </w:tcMar>
          </w:tcPr>
          <w:p w:rsidR="00000000" w:rsidRPr="006F7F7F" w:rsidP="006F7F7F">
            <w:pPr>
              <w:pStyle w:val="BodyText"/>
            </w:pPr>
            <w:r w:rsidRPr="006F7F7F">
              <w:t>This unit must be assessed after attainment of competency in the following unit(s):</w:t>
            </w:r>
          </w:p>
          <w:p w:rsidR="00000000" w:rsidRPr="006F7F7F" w:rsidP="006F7F7F">
            <w:pPr>
              <w:pStyle w:val="ListBullet"/>
            </w:pPr>
            <w:r w:rsidRPr="006F7F7F">
              <w:t>Nil</w:t>
            </w:r>
          </w:p>
          <w:p w:rsidR="00000000" w:rsidRPr="006F7F7F" w:rsidP="006F7F7F">
            <w:pPr>
              <w:pStyle w:val="BodyText"/>
            </w:pPr>
            <w:r w:rsidRPr="006F7F7F">
              <w:t>This unit must be assessed in conjunction with the following unit(s):</w:t>
            </w:r>
          </w:p>
          <w:p w:rsidR="00000000" w:rsidRPr="006F7F7F" w:rsidP="006F7F7F">
            <w:pPr>
              <w:pStyle w:val="ListBullet"/>
            </w:pPr>
            <w:r w:rsidRPr="006F7F7F">
              <w:t>Nil</w:t>
            </w:r>
          </w:p>
          <w:p w:rsidR="00000000" w:rsidRPr="006F7F7F" w:rsidP="006F7F7F">
            <w:pPr>
              <w:pStyle w:val="BodyText"/>
            </w:pPr>
            <w:r w:rsidRPr="006F7F7F">
              <w:t>For the purpose of integrated assessment, this unit may be assessed in conjunction with the following unit(s):</w:t>
            </w:r>
          </w:p>
          <w:p w:rsidR="00000000" w:rsidP="006F7F7F">
            <w:pPr>
              <w:pStyle w:val="ListBullet"/>
              <w:rPr>
                <w:lang w:val="en-NZ"/>
              </w:rPr>
            </w:pPr>
            <w:r w:rsidRPr="006F7F7F">
              <w:t>Nil</w:t>
            </w:r>
          </w:p>
        </w:tc>
      </w:tr>
      <w:tr w:rsidTr="00E1737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7F7F">
            <w:pPr>
              <w:pStyle w:val="BodyText"/>
              <w:rPr>
                <w:lang w:val="en-NZ"/>
              </w:rPr>
            </w:pPr>
          </w:p>
        </w:tc>
      </w:tr>
      <w:tr w:rsidTr="00E1737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6F7F7F">
            <w:pPr>
              <w:pStyle w:val="BodyText"/>
              <w:rPr>
                <w:lang w:val="en-NZ"/>
              </w:rPr>
            </w:pPr>
            <w:r w:rsidRPr="006F7F7F">
              <w:rPr>
                <w:rStyle w:val="Emphasis"/>
              </w:rPr>
              <w:t>Resource implications</w:t>
            </w:r>
          </w:p>
        </w:tc>
        <w:tc>
          <w:tcPr>
            <w:tcW w:w="5670" w:type="dxa"/>
            <w:tcBorders>
              <w:top w:val="nil"/>
              <w:left w:val="nil"/>
              <w:bottom w:val="nil"/>
              <w:right w:val="nil"/>
            </w:tcBorders>
            <w:tcMar>
              <w:top w:w="0" w:type="dxa"/>
              <w:left w:w="62" w:type="dxa"/>
              <w:bottom w:w="0" w:type="dxa"/>
              <w:right w:w="62" w:type="dxa"/>
            </w:tcMar>
          </w:tcPr>
          <w:p w:rsidR="00000000" w:rsidRPr="006F7F7F" w:rsidP="006F7F7F">
            <w:pPr>
              <w:pStyle w:val="BodyText"/>
            </w:pPr>
            <w:r w:rsidRPr="006F7F7F">
              <w:t xml:space="preserve">Assessment of this competency requires </w:t>
            </w:r>
            <w:r w:rsidRPr="006F7F7F">
              <w:t>access to case studies, scenarios and incident reports</w:t>
            </w:r>
          </w:p>
          <w:p w:rsidR="00000000" w:rsidP="006F7F7F">
            <w:pPr>
              <w:pStyle w:val="BodyText"/>
              <w:rPr>
                <w:lang w:val="en-NZ"/>
              </w:rPr>
            </w:pPr>
            <w:r w:rsidRPr="006F7F7F">
              <w:t>Assessment of this competency will require human resources consistent with those outlined in the Assessment Guidelines</w:t>
            </w:r>
          </w:p>
        </w:tc>
      </w:tr>
      <w:tr w:rsidTr="00E1737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7F7F">
            <w:pPr>
              <w:pStyle w:val="BodyText"/>
              <w:rPr>
                <w:lang w:val="en-NZ"/>
              </w:rPr>
            </w:pPr>
          </w:p>
        </w:tc>
      </w:tr>
      <w:tr w:rsidTr="00E1737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6F7F7F">
            <w:pPr>
              <w:pStyle w:val="BodyText"/>
              <w:rPr>
                <w:lang w:val="en-NZ"/>
              </w:rPr>
            </w:pPr>
            <w:r w:rsidRPr="006F7F7F">
              <w:rPr>
                <w:rStyle w:val="Emphasis"/>
              </w:rPr>
              <w:t>Consistency in performance</w:t>
            </w:r>
          </w:p>
        </w:tc>
        <w:tc>
          <w:tcPr>
            <w:tcW w:w="5670" w:type="dxa"/>
            <w:tcBorders>
              <w:top w:val="nil"/>
              <w:left w:val="nil"/>
              <w:bottom w:val="nil"/>
              <w:right w:val="nil"/>
            </w:tcBorders>
            <w:tcMar>
              <w:top w:w="0" w:type="dxa"/>
              <w:left w:w="62" w:type="dxa"/>
              <w:bottom w:w="0" w:type="dxa"/>
              <w:right w:w="62" w:type="dxa"/>
            </w:tcMar>
          </w:tcPr>
          <w:p w:rsidR="00000000" w:rsidP="006F7F7F">
            <w:pPr>
              <w:pStyle w:val="BodyText"/>
              <w:rPr>
                <w:lang w:val="en-NZ"/>
              </w:rPr>
            </w:pPr>
            <w:r w:rsidRPr="006F7F7F">
              <w:t>Competence in this unit must be assessed over a period of time in order to ensure consistency of performance over the range of variables and contexts applicable to a recreation workplace</w:t>
            </w:r>
          </w:p>
        </w:tc>
      </w:tr>
      <w:tr w:rsidTr="00E1737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7F7F">
            <w:pPr>
              <w:pStyle w:val="BodyText"/>
              <w:rPr>
                <w:lang w:val="en-NZ"/>
              </w:rPr>
            </w:pPr>
          </w:p>
        </w:tc>
      </w:tr>
      <w:tr w:rsidTr="00E1737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6F7F7F">
            <w:pPr>
              <w:pStyle w:val="BodyText"/>
              <w:rPr>
                <w:lang w:val="en-NZ"/>
              </w:rPr>
            </w:pPr>
            <w:r w:rsidRPr="006F7F7F">
              <w:rPr>
                <w:rStyle w:val="Emphasis"/>
              </w:rPr>
              <w:t>Context for assessment</w:t>
            </w:r>
          </w:p>
        </w:tc>
        <w:tc>
          <w:tcPr>
            <w:tcW w:w="5670" w:type="dxa"/>
            <w:tcBorders>
              <w:top w:val="nil"/>
              <w:left w:val="nil"/>
              <w:bottom w:val="nil"/>
              <w:right w:val="nil"/>
            </w:tcBorders>
            <w:tcMar>
              <w:top w:w="0" w:type="dxa"/>
              <w:left w:w="62" w:type="dxa"/>
              <w:bottom w:w="0" w:type="dxa"/>
              <w:right w:w="62" w:type="dxa"/>
            </w:tcMar>
          </w:tcPr>
          <w:p w:rsidR="00000000" w:rsidRPr="006F7F7F" w:rsidP="006F7F7F">
            <w:pPr>
              <w:pStyle w:val="BodyText"/>
            </w:pPr>
            <w:r w:rsidRPr="006F7F7F">
              <w:t>Competency must be demonstrated on-the-job or in a realistic simulated work environment</w:t>
            </w:r>
          </w:p>
          <w:p w:rsidR="00000000" w:rsidRPr="006F7F7F" w:rsidP="006F7F7F">
            <w:pPr>
              <w:pStyle w:val="BodyText"/>
            </w:pPr>
            <w:r w:rsidRPr="006F7F7F">
              <w:t>Assessment of this unit of competence will usually include observation of processes and procedures, oral and/or written questioning on underpinning knowledge and skills</w:t>
            </w:r>
            <w:r w:rsidRPr="006F7F7F">
              <w:t xml:space="preserve"> and consideration of required attitudes</w:t>
            </w:r>
          </w:p>
          <w:p w:rsidR="00000000" w:rsidRPr="006F7F7F" w:rsidP="006F7F7F">
            <w:pPr>
              <w:pStyle w:val="BodyText"/>
            </w:pPr>
            <w:r w:rsidRPr="006F7F7F">
              <w:t>In cases where the learner does not have the opportunity to cover all relevant categories of the range of variables statements in the work environment, the remainder should be assessed through realistic simulations,</w:t>
            </w:r>
            <w:r w:rsidRPr="006F7F7F">
              <w:t xml:space="preserve"> projects, previous relevant experience or oral questioning on "What if?" scenarios</w:t>
            </w:r>
          </w:p>
          <w:p w:rsidR="00000000" w:rsidP="006F7F7F">
            <w:pPr>
              <w:pStyle w:val="BodyText"/>
              <w:rPr>
                <w:lang w:val="en-NZ"/>
              </w:rPr>
            </w:pPr>
            <w:r w:rsidRPr="006F7F7F">
              <w:t>Where performance is not directly observed and/or is required to be demonstrated over a "period of time" and/or in a "number of locations", any evidence should be authentic</w:t>
            </w:r>
            <w:r w:rsidRPr="006F7F7F">
              <w:t>ated by colleagues, supervisors, clients or other appropriate persons</w:t>
            </w:r>
          </w:p>
        </w:tc>
      </w:tr>
      <w:tr w:rsidTr="00E1737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F7F7F" w:rsidP="006F7F7F">
            <w:pPr>
              <w:pStyle w:val="BodyText"/>
            </w:pPr>
          </w:p>
        </w:tc>
      </w:tr>
    </w:tbl>
    <w:p w:rsidR="00E17372" w:rsidP="006F7F7F">
      <w:pPr>
        <w:pStyle w:val="BodyText"/>
      </w:pPr>
    </w:p>
    <w:p w:rsidR="00E17372" w:rsidP="006F7F7F">
      <w:pPr>
        <w:pStyle w:val="BodyText"/>
      </w:pPr>
    </w:p>
    <w:p w:rsidR="00000000" w:rsidRPr="006F7F7F" w:rsidP="006F7F7F">
      <w:pPr>
        <w:pStyle w:val="Heading1"/>
      </w:pPr>
      <w:bookmarkStart w:id="11" w:name="O_327762"/>
      <w:bookmarkEnd w:id="11"/>
      <w:r w:rsidRPr="006F7F7F">
        <w:t>Range Statement</w:t>
      </w:r>
    </w:p>
    <w:tbl>
      <w:tblPr>
        <w:tblW w:w="0" w:type="auto"/>
        <w:tblLayout w:type="fixed"/>
        <w:tblCellMar>
          <w:left w:w="62" w:type="dxa"/>
          <w:right w:w="62" w:type="dxa"/>
        </w:tblCellMar>
        <w:tblLook w:val="0000"/>
      </w:tblPr>
      <w:tblGrid>
        <w:gridCol w:w="3294"/>
        <w:gridCol w:w="5670"/>
      </w:tblGrid>
      <w:tr w:rsidTr="00E17372">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6F7F7F">
            <w:pPr>
              <w:pStyle w:val="Heading3"/>
            </w:pPr>
            <w:r w:rsidRPr="006F7F7F">
              <w:t>RANGE STATEMENT</w:t>
            </w:r>
          </w:p>
        </w:tc>
      </w:tr>
      <w:tr w:rsidTr="00E17372">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6F7F7F">
            <w:pPr>
              <w:pStyle w:val="BodyText"/>
              <w:rPr>
                <w:lang w:val="en-NZ"/>
              </w:rPr>
            </w:pPr>
          </w:p>
        </w:tc>
      </w:tr>
      <w:tr w:rsidTr="00E17372">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6F7F7F">
            <w:pPr>
              <w:pStyle w:val="BodyText"/>
              <w:rPr>
                <w:lang w:val="en-NZ"/>
              </w:rPr>
            </w:pPr>
            <w:r w:rsidRPr="006F7F7F">
              <w:t>The Range Statement relates to the unit of competency as a whole. It allows for different work environments and situations that may affect performance. Add any essential operating conditions that may be present with training and assessment depending on the</w:t>
            </w:r>
            <w:r w:rsidRPr="006F7F7F">
              <w:t xml:space="preserve"> work situation, needs of the candidate, accessibility of the item, and local industry and regional contexts.</w:t>
            </w:r>
          </w:p>
        </w:tc>
      </w:tr>
      <w:tr w:rsidTr="00E1737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7F7F">
            <w:pPr>
              <w:pStyle w:val="BodyText"/>
              <w:rPr>
                <w:lang w:val="en-NZ"/>
              </w:rPr>
            </w:pPr>
          </w:p>
        </w:tc>
      </w:tr>
      <w:tr w:rsidTr="00E1737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RPr="006F7F7F" w:rsidP="006F7F7F">
            <w:pPr>
              <w:pStyle w:val="BodyText"/>
            </w:pPr>
            <w:r w:rsidRPr="006F7F7F">
              <w:rPr>
                <w:rStyle w:val="Emphasis"/>
              </w:rPr>
              <w:t>Areas of impact</w:t>
            </w:r>
          </w:p>
          <w:p w:rsidR="00000000" w:rsidP="006F7F7F">
            <w:pPr>
              <w:pStyle w:val="BodyText"/>
              <w:rPr>
                <w:lang w:val="en-NZ"/>
              </w:rPr>
            </w:pPr>
          </w:p>
        </w:tc>
        <w:tc>
          <w:tcPr>
            <w:tcW w:w="5670" w:type="dxa"/>
            <w:tcBorders>
              <w:top w:val="nil"/>
              <w:left w:val="nil"/>
              <w:bottom w:val="nil"/>
              <w:right w:val="nil"/>
            </w:tcBorders>
            <w:tcMar>
              <w:top w:w="0" w:type="dxa"/>
              <w:left w:w="62" w:type="dxa"/>
              <w:bottom w:w="0" w:type="dxa"/>
              <w:right w:w="62" w:type="dxa"/>
            </w:tcMar>
          </w:tcPr>
          <w:p w:rsidR="00000000" w:rsidRPr="006F7F7F" w:rsidP="006F7F7F">
            <w:pPr>
              <w:pStyle w:val="ListBullet"/>
            </w:pPr>
            <w:r w:rsidRPr="006F7F7F">
              <w:t>Asset and resource base of the organisation and including personnel</w:t>
            </w:r>
          </w:p>
          <w:p w:rsidR="00000000" w:rsidRPr="006F7F7F" w:rsidP="006F7F7F">
            <w:pPr>
              <w:pStyle w:val="ListBullet"/>
            </w:pPr>
            <w:r w:rsidRPr="006F7F7F">
              <w:t>Revenue and entitlements</w:t>
            </w:r>
          </w:p>
          <w:p w:rsidR="00000000" w:rsidRPr="006F7F7F" w:rsidP="006F7F7F">
            <w:pPr>
              <w:pStyle w:val="ListBullet"/>
            </w:pPr>
            <w:r w:rsidRPr="006F7F7F">
              <w:t>Costs of activities both direct and indirect</w:t>
            </w:r>
          </w:p>
          <w:p w:rsidR="00000000" w:rsidRPr="006F7F7F" w:rsidP="006F7F7F">
            <w:pPr>
              <w:pStyle w:val="ListBullet"/>
            </w:pPr>
            <w:r w:rsidRPr="006F7F7F">
              <w:t>People/community</w:t>
            </w:r>
          </w:p>
          <w:p w:rsidR="00000000" w:rsidRPr="006F7F7F" w:rsidP="006F7F7F">
            <w:pPr>
              <w:pStyle w:val="ListBullet"/>
            </w:pPr>
            <w:r w:rsidRPr="006F7F7F">
              <w:t>Performance</w:t>
            </w:r>
          </w:p>
          <w:p w:rsidR="00000000" w:rsidRPr="006F7F7F" w:rsidP="006F7F7F">
            <w:pPr>
              <w:pStyle w:val="ListBullet"/>
            </w:pPr>
            <w:r w:rsidRPr="006F7F7F">
              <w:t>Timing and schedule of activities</w:t>
            </w:r>
          </w:p>
          <w:p w:rsidR="00000000" w:rsidRPr="006F7F7F" w:rsidP="006F7F7F">
            <w:pPr>
              <w:pStyle w:val="ListBullet"/>
            </w:pPr>
            <w:r w:rsidRPr="006F7F7F">
              <w:t>The environment</w:t>
            </w:r>
          </w:p>
          <w:p w:rsidR="00000000" w:rsidRPr="006F7F7F" w:rsidP="006F7F7F">
            <w:pPr>
              <w:pStyle w:val="ListBullet"/>
            </w:pPr>
            <w:r w:rsidRPr="006F7F7F">
              <w:t>Intangibles such as reputation, goodwill, quality of life</w:t>
            </w:r>
          </w:p>
          <w:p w:rsidR="00000000" w:rsidP="006F7F7F">
            <w:pPr>
              <w:pStyle w:val="ListBullet"/>
              <w:rPr>
                <w:lang w:val="en-NZ"/>
              </w:rPr>
            </w:pPr>
            <w:r w:rsidRPr="006F7F7F">
              <w:t>Organisational behaviour</w:t>
            </w:r>
          </w:p>
        </w:tc>
      </w:tr>
      <w:tr w:rsidTr="00E1737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7F7F">
            <w:pPr>
              <w:pStyle w:val="BodyText"/>
              <w:rPr>
                <w:lang w:val="en-NZ"/>
              </w:rPr>
            </w:pPr>
          </w:p>
        </w:tc>
      </w:tr>
      <w:tr w:rsidTr="00E1737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RPr="006F7F7F" w:rsidP="006F7F7F">
            <w:pPr>
              <w:pStyle w:val="BodyText"/>
            </w:pPr>
            <w:r w:rsidRPr="006F7F7F">
              <w:rPr>
                <w:rStyle w:val="Emphasis"/>
              </w:rPr>
              <w:t>Classification of risk</w:t>
            </w:r>
          </w:p>
          <w:p w:rsidR="00000000" w:rsidP="006F7F7F">
            <w:pPr>
              <w:pStyle w:val="BodyText"/>
              <w:rPr>
                <w:lang w:val="en-NZ"/>
              </w:rPr>
            </w:pPr>
          </w:p>
        </w:tc>
        <w:tc>
          <w:tcPr>
            <w:tcW w:w="5670" w:type="dxa"/>
            <w:tcBorders>
              <w:top w:val="nil"/>
              <w:left w:val="nil"/>
              <w:bottom w:val="nil"/>
              <w:right w:val="nil"/>
            </w:tcBorders>
            <w:tcMar>
              <w:top w:w="0" w:type="dxa"/>
              <w:left w:w="62" w:type="dxa"/>
              <w:bottom w:w="0" w:type="dxa"/>
              <w:right w:w="62" w:type="dxa"/>
            </w:tcMar>
          </w:tcPr>
          <w:p w:rsidR="00000000" w:rsidRPr="006F7F7F" w:rsidP="006F7F7F">
            <w:pPr>
              <w:pStyle w:val="ListBullet"/>
            </w:pPr>
            <w:r w:rsidRPr="006F7F7F">
              <w:t>Diseases affecting humans, animals and plants</w:t>
            </w:r>
          </w:p>
          <w:p w:rsidR="00000000" w:rsidRPr="006F7F7F" w:rsidP="006F7F7F">
            <w:pPr>
              <w:pStyle w:val="ListBullet"/>
            </w:pPr>
            <w:r w:rsidRPr="006F7F7F">
              <w:t>Economic perils (eg, currency fluctuations, interest rates, share market)</w:t>
            </w:r>
          </w:p>
          <w:p w:rsidR="00000000" w:rsidRPr="006F7F7F" w:rsidP="006F7F7F">
            <w:pPr>
              <w:pStyle w:val="ListBullet"/>
            </w:pPr>
            <w:r w:rsidRPr="006F7F7F">
              <w:t>Environmental (eg, noise, contamination, pollution)</w:t>
            </w:r>
          </w:p>
          <w:p w:rsidR="00000000" w:rsidRPr="006F7F7F" w:rsidP="006F7F7F">
            <w:pPr>
              <w:pStyle w:val="ListBullet"/>
            </w:pPr>
            <w:r w:rsidRPr="006F7F7F">
              <w:t>Financial (eg, contractual risks, misappropriation of funds, fraud, fines)</w:t>
            </w:r>
          </w:p>
          <w:p w:rsidR="00000000" w:rsidRPr="006F7F7F" w:rsidP="006F7F7F">
            <w:pPr>
              <w:pStyle w:val="ListBullet"/>
            </w:pPr>
            <w:r w:rsidRPr="006F7F7F">
              <w:t>Human per</w:t>
            </w:r>
            <w:r w:rsidRPr="006F7F7F">
              <w:t>ils (eg, explosions, riots, strikes, sabotage)</w:t>
            </w:r>
          </w:p>
          <w:p w:rsidR="00000000" w:rsidRPr="006F7F7F" w:rsidP="006F7F7F">
            <w:pPr>
              <w:pStyle w:val="ListBullet"/>
            </w:pPr>
            <w:r w:rsidRPr="006F7F7F">
              <w:t>Natural perils (eg, climatic conditions, earthquakes, bushfires, vermin, volcanic activity)</w:t>
            </w:r>
          </w:p>
          <w:p w:rsidR="00000000" w:rsidRPr="006F7F7F" w:rsidP="006F7F7F">
            <w:pPr>
              <w:pStyle w:val="ListBullet"/>
            </w:pPr>
            <w:r w:rsidRPr="006F7F7F">
              <w:t>Occupational health and safety (eg, inadequate safety measures, poor safety management)</w:t>
            </w:r>
          </w:p>
          <w:p w:rsidR="00000000" w:rsidRPr="006F7F7F" w:rsidP="006F7F7F">
            <w:pPr>
              <w:pStyle w:val="ListBullet"/>
            </w:pPr>
            <w:r w:rsidRPr="006F7F7F">
              <w:t>Product liability (eg, design</w:t>
            </w:r>
            <w:r w:rsidRPr="006F7F7F">
              <w:t xml:space="preserve"> error, substandard quality control, inadequate testing)</w:t>
            </w:r>
          </w:p>
          <w:p w:rsidR="00000000" w:rsidRPr="006F7F7F" w:rsidP="006F7F7F">
            <w:pPr>
              <w:pStyle w:val="ListBullet"/>
            </w:pPr>
            <w:r w:rsidRPr="006F7F7F">
              <w:t>Professional liability (eg, wrong advice, negligence, design error)</w:t>
            </w:r>
          </w:p>
          <w:p w:rsidR="00000000" w:rsidRPr="006F7F7F" w:rsidP="006F7F7F">
            <w:pPr>
              <w:pStyle w:val="ListBullet"/>
            </w:pPr>
            <w:r w:rsidRPr="006F7F7F">
              <w:t>Property damage (eg, fire, water damage, earthquakes, contamination, human error)</w:t>
            </w:r>
          </w:p>
          <w:p w:rsidR="00000000" w:rsidRPr="006F7F7F" w:rsidP="006F7F7F">
            <w:pPr>
              <w:pStyle w:val="ListBullet"/>
            </w:pPr>
            <w:r w:rsidRPr="006F7F7F">
              <w:t>Public liability (eg, public access, egress and s</w:t>
            </w:r>
            <w:r w:rsidRPr="006F7F7F">
              <w:t>afety)</w:t>
            </w:r>
          </w:p>
          <w:p w:rsidR="00000000" w:rsidRPr="006F7F7F" w:rsidP="006F7F7F">
            <w:pPr>
              <w:pStyle w:val="ListBullet"/>
            </w:pPr>
            <w:r w:rsidRPr="006F7F7F">
              <w:t>Security (eg, cash arrangements, vandalism, theft, misappropriation of information, illegal entry)</w:t>
            </w:r>
          </w:p>
          <w:p w:rsidR="00000000" w:rsidP="006F7F7F">
            <w:pPr>
              <w:pStyle w:val="ListBullet"/>
              <w:rPr>
                <w:lang w:val="en-NZ"/>
              </w:rPr>
            </w:pPr>
            <w:r w:rsidRPr="006F7F7F">
              <w:t xml:space="preserve"> Technology (eg, obsolescence, advances and failure)</w:t>
            </w:r>
          </w:p>
        </w:tc>
      </w:tr>
      <w:tr w:rsidTr="00E1737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7F7F">
            <w:pPr>
              <w:pStyle w:val="BodyText"/>
              <w:rPr>
                <w:lang w:val="en-NZ"/>
              </w:rPr>
            </w:pPr>
          </w:p>
        </w:tc>
      </w:tr>
      <w:tr w:rsidTr="00E1737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RPr="006F7F7F" w:rsidP="006F7F7F">
            <w:pPr>
              <w:pStyle w:val="BodyText"/>
            </w:pPr>
            <w:r w:rsidRPr="006F7F7F">
              <w:rPr>
                <w:rStyle w:val="Emphasis"/>
              </w:rPr>
              <w:t>Risk analysis applies to</w:t>
            </w:r>
          </w:p>
          <w:p w:rsidR="00000000" w:rsidRPr="006F7F7F" w:rsidP="006F7F7F">
            <w:pPr>
              <w:pStyle w:val="BodyText"/>
            </w:pPr>
          </w:p>
          <w:p w:rsidR="00000000" w:rsidP="006F7F7F">
            <w:pPr>
              <w:pStyle w:val="BodyText"/>
              <w:rPr>
                <w:lang w:val="en-NZ"/>
              </w:rPr>
            </w:pPr>
          </w:p>
        </w:tc>
        <w:tc>
          <w:tcPr>
            <w:tcW w:w="5670" w:type="dxa"/>
            <w:tcBorders>
              <w:top w:val="nil"/>
              <w:left w:val="nil"/>
              <w:bottom w:val="nil"/>
              <w:right w:val="nil"/>
            </w:tcBorders>
            <w:tcMar>
              <w:top w:w="0" w:type="dxa"/>
              <w:left w:w="62" w:type="dxa"/>
              <w:bottom w:w="0" w:type="dxa"/>
              <w:right w:w="62" w:type="dxa"/>
            </w:tcMar>
          </w:tcPr>
          <w:p w:rsidR="00000000" w:rsidRPr="006F7F7F" w:rsidP="006F7F7F">
            <w:pPr>
              <w:pStyle w:val="ListBullet"/>
            </w:pPr>
            <w:r w:rsidRPr="006F7F7F">
              <w:t>Support equipment</w:t>
            </w:r>
          </w:p>
          <w:p w:rsidR="00000000" w:rsidRPr="006F7F7F" w:rsidP="006F7F7F">
            <w:pPr>
              <w:pStyle w:val="ListBullet"/>
            </w:pPr>
            <w:r w:rsidRPr="006F7F7F">
              <w:t>Personnel safety</w:t>
            </w:r>
          </w:p>
          <w:p w:rsidR="00000000" w:rsidRPr="006F7F7F" w:rsidP="006F7F7F">
            <w:pPr>
              <w:pStyle w:val="ListBullet"/>
            </w:pPr>
            <w:r w:rsidRPr="006F7F7F">
              <w:t>Environmental impact</w:t>
            </w:r>
          </w:p>
          <w:p w:rsidR="00000000" w:rsidP="006F7F7F">
            <w:pPr>
              <w:pStyle w:val="ListBullet"/>
              <w:rPr>
                <w:lang w:val="en-NZ"/>
              </w:rPr>
            </w:pPr>
            <w:r w:rsidRPr="006F7F7F">
              <w:t>Processes</w:t>
            </w:r>
          </w:p>
        </w:tc>
      </w:tr>
      <w:tr w:rsidTr="00E1737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7F7F">
            <w:pPr>
              <w:pStyle w:val="BodyText"/>
              <w:rPr>
                <w:lang w:val="en-NZ"/>
              </w:rPr>
            </w:pPr>
          </w:p>
        </w:tc>
      </w:tr>
      <w:tr w:rsidTr="00E1737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RPr="006F7F7F" w:rsidP="006F7F7F">
            <w:pPr>
              <w:pStyle w:val="BodyText"/>
            </w:pPr>
            <w:r w:rsidRPr="006F7F7F">
              <w:rPr>
                <w:rStyle w:val="Emphasis"/>
              </w:rPr>
              <w:t>Sources of risk</w:t>
            </w:r>
          </w:p>
          <w:p w:rsidR="00000000" w:rsidRPr="006F7F7F" w:rsidP="006F7F7F">
            <w:pPr>
              <w:pStyle w:val="BodyText"/>
            </w:pPr>
          </w:p>
          <w:p w:rsidR="00000000" w:rsidP="006F7F7F">
            <w:pPr>
              <w:pStyle w:val="BodyText"/>
              <w:rPr>
                <w:lang w:val="en-NZ"/>
              </w:rPr>
            </w:pPr>
          </w:p>
        </w:tc>
        <w:tc>
          <w:tcPr>
            <w:tcW w:w="5670" w:type="dxa"/>
            <w:tcBorders>
              <w:top w:val="nil"/>
              <w:left w:val="nil"/>
              <w:bottom w:val="nil"/>
              <w:right w:val="nil"/>
            </w:tcBorders>
            <w:tcMar>
              <w:top w:w="0" w:type="dxa"/>
              <w:left w:w="62" w:type="dxa"/>
              <w:bottom w:w="0" w:type="dxa"/>
              <w:right w:w="62" w:type="dxa"/>
            </w:tcMar>
          </w:tcPr>
          <w:p w:rsidR="00000000" w:rsidRPr="006F7F7F" w:rsidP="006F7F7F">
            <w:pPr>
              <w:pStyle w:val="ListBullet"/>
            </w:pPr>
            <w:r w:rsidRPr="006F7F7F">
              <w:t>Commercial and legal relationships between the organisation and other organisations (eg, suppliers, subcontractors, lessees)</w:t>
            </w:r>
          </w:p>
          <w:p w:rsidR="00000000" w:rsidRPr="006F7F7F" w:rsidP="006F7F7F">
            <w:pPr>
              <w:pStyle w:val="ListBullet"/>
            </w:pPr>
            <w:r w:rsidRPr="006F7F7F">
              <w:t>Economic circumstances of the organisation, country, internationally as well as factors contributing to those circumstances (eg, exchange rates)</w:t>
            </w:r>
          </w:p>
          <w:p w:rsidR="00000000" w:rsidRPr="006F7F7F" w:rsidP="006F7F7F">
            <w:pPr>
              <w:pStyle w:val="ListBullet"/>
            </w:pPr>
            <w:r w:rsidRPr="006F7F7F">
              <w:t>Human behaviour of both those involved and those not involved in the organisation</w:t>
            </w:r>
          </w:p>
          <w:p w:rsidR="00000000" w:rsidRPr="006F7F7F" w:rsidP="006F7F7F">
            <w:pPr>
              <w:pStyle w:val="ListBullet"/>
            </w:pPr>
            <w:r w:rsidRPr="006F7F7F">
              <w:t>Natural events</w:t>
            </w:r>
          </w:p>
          <w:p w:rsidR="00000000" w:rsidRPr="006F7F7F" w:rsidP="006F7F7F">
            <w:pPr>
              <w:pStyle w:val="ListBullet"/>
            </w:pPr>
            <w:r w:rsidRPr="006F7F7F">
              <w:t>Political circ</w:t>
            </w:r>
            <w:r w:rsidRPr="006F7F7F">
              <w:t>umstances including legislative changes and factors which may influence other sources of risk</w:t>
            </w:r>
          </w:p>
          <w:p w:rsidR="00000000" w:rsidRPr="006F7F7F" w:rsidP="006F7F7F">
            <w:pPr>
              <w:pStyle w:val="ListBullet"/>
            </w:pPr>
            <w:r w:rsidRPr="006F7F7F">
              <w:t>Technology and technical issues both internal and external to the organisation</w:t>
            </w:r>
          </w:p>
          <w:p w:rsidR="00000000" w:rsidRPr="006F7F7F" w:rsidP="006F7F7F">
            <w:pPr>
              <w:pStyle w:val="ListBullet"/>
            </w:pPr>
            <w:r w:rsidRPr="006F7F7F">
              <w:t>Management activities and controls</w:t>
            </w:r>
          </w:p>
          <w:p w:rsidR="00000000" w:rsidP="006F7F7F">
            <w:pPr>
              <w:pStyle w:val="ListBullet"/>
              <w:rPr>
                <w:lang w:val="en-NZ"/>
              </w:rPr>
            </w:pPr>
            <w:r w:rsidRPr="006F7F7F">
              <w:t>Individual activities</w:t>
            </w:r>
          </w:p>
        </w:tc>
      </w:tr>
      <w:tr w:rsidTr="00E1737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F7F7F" w:rsidP="006F7F7F">
            <w:pPr>
              <w:pStyle w:val="BodyText"/>
            </w:pPr>
          </w:p>
        </w:tc>
      </w:tr>
    </w:tbl>
    <w:p w:rsidR="00000000" w:rsidRPr="006F7F7F" w:rsidP="006F7F7F">
      <w:pPr>
        <w:pStyle w:val="BodyText"/>
      </w:pPr>
    </w:p>
    <w:p w:rsidR="00000000" w:rsidRPr="006F7F7F" w:rsidP="006F7F7F">
      <w:pPr>
        <w:pStyle w:val="AllowPageBreak"/>
      </w:pPr>
    </w:p>
    <w:p w:rsidR="00000000" w:rsidRPr="006F7F7F" w:rsidP="006F7F7F">
      <w:pPr>
        <w:pStyle w:val="Heading1"/>
      </w:pPr>
      <w:bookmarkStart w:id="12" w:name="O_327763"/>
      <w:bookmarkEnd w:id="12"/>
      <w:r w:rsidRPr="006F7F7F">
        <w:t>Unit Sector(s)</w:t>
      </w:r>
    </w:p>
    <w:p w:rsidR="00000000" w:rsidRPr="006F7F7F" w:rsidP="006F7F7F">
      <w:pPr>
        <w:pStyle w:val="BodyText"/>
      </w:pPr>
      <w:r w:rsidRPr="006F7F7F">
        <w:t>Not Applicable</w:t>
      </w:r>
    </w:p>
    <w:p w:rsidR="00000000" w:rsidRPr="006F7F7F" w:rsidP="006F7F7F"/>
    <w:sectPr w:rsidSect="006F7F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F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7372" w:rsidP="00E173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F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372" w:rsidP="006F7F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17372" w:rsidP="006F7F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17372" w:rsidP="006F7F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F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7372" w:rsidP="00E1737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F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372" w:rsidP="006F7F7F">
    <w:pPr>
      <w:pStyle w:val="Header"/>
      <w:framePr w:wrap="around"/>
    </w:pPr>
    <w:r>
      <w:fldChar w:fldCharType="begin"/>
    </w:r>
    <w:r>
      <w:instrText xml:space="preserve"> TITLE   \* MERGEFORMAT </w:instrText>
    </w:r>
    <w:r>
      <w:fldChar w:fldCharType="separate"/>
    </w:r>
    <w:r>
      <w:t>SRXRIK001A Undertake risk analysis of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17372" w:rsidP="006F7F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B2A3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B099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F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7F7F"/>
    <w:pPr>
      <w:spacing w:before="360" w:after="60"/>
      <w:outlineLvl w:val="0"/>
    </w:pPr>
    <w:rPr>
      <w:sz w:val="32"/>
    </w:rPr>
  </w:style>
  <w:style w:type="paragraph" w:styleId="Heading2">
    <w:name w:val="heading 2"/>
    <w:basedOn w:val="HeadingBase"/>
    <w:next w:val="BodyText"/>
    <w:link w:val="Heading2Char"/>
    <w:qFormat/>
    <w:rsid w:val="006F7F7F"/>
    <w:pPr>
      <w:keepLines/>
      <w:spacing w:before="240" w:after="120"/>
      <w:outlineLvl w:val="1"/>
    </w:pPr>
    <w:rPr>
      <w:sz w:val="28"/>
      <w:szCs w:val="40"/>
    </w:rPr>
  </w:style>
  <w:style w:type="paragraph" w:styleId="Heading3">
    <w:name w:val="heading 3"/>
    <w:basedOn w:val="HeadingBase"/>
    <w:next w:val="BodyText"/>
    <w:link w:val="Heading3Char"/>
    <w:qFormat/>
    <w:rsid w:val="006F7F7F"/>
    <w:pPr>
      <w:spacing w:before="180" w:after="120"/>
      <w:outlineLvl w:val="2"/>
    </w:pPr>
    <w:rPr>
      <w:spacing w:val="-10"/>
      <w:kern w:val="32"/>
    </w:rPr>
  </w:style>
  <w:style w:type="paragraph" w:styleId="Heading4">
    <w:name w:val="heading 4"/>
    <w:basedOn w:val="HeadingBase"/>
    <w:next w:val="BodyText"/>
    <w:link w:val="Heading4Char"/>
    <w:qFormat/>
    <w:rsid w:val="006F7F7F"/>
    <w:pPr>
      <w:spacing w:before="160" w:after="120"/>
      <w:outlineLvl w:val="3"/>
    </w:pPr>
    <w:rPr>
      <w:sz w:val="22"/>
    </w:rPr>
  </w:style>
  <w:style w:type="paragraph" w:styleId="Heading5">
    <w:name w:val="heading 5"/>
    <w:basedOn w:val="HeadingBase"/>
    <w:next w:val="Normal"/>
    <w:link w:val="Heading5Char"/>
    <w:qFormat/>
    <w:rsid w:val="006F7F7F"/>
    <w:pPr>
      <w:spacing w:before="80"/>
      <w:outlineLvl w:val="4"/>
    </w:pPr>
    <w:rPr>
      <w:color w:val="918585"/>
      <w:sz w:val="20"/>
    </w:rPr>
  </w:style>
  <w:style w:type="paragraph" w:styleId="Heading6">
    <w:name w:val="heading 6"/>
    <w:basedOn w:val="HeadingBase"/>
    <w:next w:val="Normal"/>
    <w:link w:val="Heading6Char"/>
    <w:qFormat/>
    <w:rsid w:val="006F7F7F"/>
    <w:pPr>
      <w:spacing w:before="60"/>
      <w:outlineLvl w:val="5"/>
    </w:pPr>
    <w:rPr>
      <w:color w:val="918585"/>
      <w:sz w:val="20"/>
    </w:rPr>
  </w:style>
  <w:style w:type="paragraph" w:styleId="Heading7">
    <w:name w:val="heading 7"/>
    <w:basedOn w:val="Normal"/>
    <w:next w:val="Normal"/>
    <w:link w:val="Heading7Char"/>
    <w:qFormat/>
    <w:rsid w:val="006F7F7F"/>
    <w:pPr>
      <w:ind w:left="720"/>
      <w:outlineLvl w:val="6"/>
    </w:pPr>
    <w:rPr>
      <w:i/>
    </w:rPr>
  </w:style>
  <w:style w:type="paragraph" w:styleId="Heading8">
    <w:name w:val="heading 8"/>
    <w:basedOn w:val="Normal"/>
    <w:next w:val="Normal"/>
    <w:link w:val="Heading8Char"/>
    <w:qFormat/>
    <w:rsid w:val="006F7F7F"/>
    <w:pPr>
      <w:ind w:left="720"/>
      <w:outlineLvl w:val="7"/>
    </w:pPr>
    <w:rPr>
      <w:i/>
    </w:rPr>
  </w:style>
  <w:style w:type="paragraph" w:styleId="Heading9">
    <w:name w:val="heading 9"/>
    <w:basedOn w:val="Normal"/>
    <w:next w:val="Normal"/>
    <w:link w:val="Heading9Char"/>
    <w:qFormat/>
    <w:rsid w:val="006F7F7F"/>
    <w:pPr>
      <w:ind w:left="720"/>
      <w:outlineLvl w:val="8"/>
    </w:pPr>
    <w:rPr>
      <w:i/>
    </w:rPr>
  </w:style>
  <w:style w:type="character" w:default="1" w:styleId="DefaultParagraphFont">
    <w:name w:val="Default Paragraph Font"/>
    <w:uiPriority w:val="1"/>
    <w:unhideWhenUsed/>
    <w:rsid w:val="006F7F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7F7F"/>
  </w:style>
  <w:style w:type="character" w:customStyle="1" w:styleId="Heading1Char">
    <w:name w:val="Heading 1 Char"/>
    <w:basedOn w:val="DefaultParagraphFont"/>
    <w:link w:val="Heading1"/>
    <w:rsid w:val="006F7F7F"/>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6F7F7F"/>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6F7F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7F7F"/>
    <w:rPr>
      <w:rFonts w:ascii="Times New Roman" w:eastAsia="Times New Roman" w:hAnsi="Times New Roman" w:cs="Times New Roman"/>
      <w:sz w:val="24"/>
      <w:lang w:val="en-US" w:eastAsia="en-US"/>
    </w:rPr>
  </w:style>
  <w:style w:type="paragraph" w:styleId="Footer">
    <w:name w:val="footer"/>
    <w:basedOn w:val="Normal"/>
    <w:link w:val="FooterChar"/>
    <w:rsid w:val="006F7F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7F7F"/>
    <w:rPr>
      <w:rFonts w:ascii="Times New Roman" w:eastAsia="Times New Roman" w:hAnsi="Times New Roman" w:cs="Times New Roman"/>
      <w:sz w:val="16"/>
      <w:lang w:val="en-US" w:eastAsia="en-US"/>
    </w:rPr>
  </w:style>
  <w:style w:type="paragraph" w:styleId="List">
    <w:name w:val="List"/>
    <w:basedOn w:val="BodyText"/>
    <w:next w:val="BodyText"/>
    <w:rsid w:val="006F7F7F"/>
    <w:pPr>
      <w:tabs>
        <w:tab w:val="left" w:pos="340"/>
      </w:tabs>
      <w:spacing w:before="60" w:after="60"/>
      <w:ind w:left="340" w:hanging="340"/>
    </w:pPr>
  </w:style>
  <w:style w:type="paragraph" w:styleId="ListBullet">
    <w:name w:val="List Bullet"/>
    <w:basedOn w:val="List"/>
    <w:rsid w:val="006F7F7F"/>
    <w:pPr>
      <w:numPr>
        <w:numId w:val="12"/>
      </w:numPr>
      <w:tabs>
        <w:tab w:val="clear" w:pos="340"/>
      </w:tabs>
      <w:spacing w:before="40" w:after="40"/>
    </w:pPr>
  </w:style>
  <w:style w:type="character" w:customStyle="1" w:styleId="SpecialBold">
    <w:name w:val="Special Bold"/>
    <w:basedOn w:val="DefaultParagraphFont"/>
    <w:rsid w:val="006F7F7F"/>
    <w:rPr>
      <w:b/>
      <w:spacing w:val="0"/>
    </w:rPr>
  </w:style>
  <w:style w:type="paragraph" w:styleId="Header">
    <w:name w:val="header"/>
    <w:basedOn w:val="Normal"/>
    <w:link w:val="HeaderChar"/>
    <w:rsid w:val="006F7F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7F7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F7F7F"/>
    <w:rPr>
      <w:i/>
    </w:rPr>
  </w:style>
  <w:style w:type="paragraph" w:customStyle="1" w:styleId="SuperHeading">
    <w:name w:val="SuperHeading"/>
    <w:basedOn w:val="Normal"/>
    <w:rsid w:val="006F7F7F"/>
    <w:pPr>
      <w:spacing w:before="240" w:after="120"/>
      <w:outlineLvl w:val="0"/>
    </w:pPr>
    <w:rPr>
      <w:rFonts w:ascii="Times New Roman" w:hAnsi="Times New Roman"/>
      <w:b/>
      <w:sz w:val="28"/>
    </w:rPr>
  </w:style>
  <w:style w:type="paragraph" w:customStyle="1" w:styleId="AllowPageBreak">
    <w:name w:val="AllowPageBreak"/>
    <w:rsid w:val="006F7F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7F7F"/>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6F7F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7F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7F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7F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7F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7F7F"/>
    <w:rPr>
      <w:rFonts w:ascii="Courier New" w:eastAsia="Times New Roman" w:hAnsi="Courier New" w:cs="Times New Roman"/>
      <w:i/>
      <w:szCs w:val="20"/>
      <w:lang w:val="en-US" w:eastAsia="en-US"/>
    </w:rPr>
  </w:style>
  <w:style w:type="paragraph" w:customStyle="1" w:styleId="HeadingBase">
    <w:name w:val="Heading Base"/>
    <w:rsid w:val="006F7F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7F7F"/>
    <w:pPr>
      <w:tabs>
        <w:tab w:val="right" w:leader="dot" w:pos="9072"/>
      </w:tabs>
      <w:ind w:left="567"/>
    </w:pPr>
    <w:rPr>
      <w:szCs w:val="22"/>
    </w:rPr>
  </w:style>
  <w:style w:type="paragraph" w:customStyle="1" w:styleId="TOCBase">
    <w:name w:val="TOC Base"/>
    <w:rsid w:val="006F7F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7F7F"/>
    <w:pPr>
      <w:tabs>
        <w:tab w:val="right" w:leader="dot" w:pos="9072"/>
      </w:tabs>
      <w:spacing w:before="40" w:after="40"/>
      <w:ind w:left="284"/>
    </w:pPr>
    <w:rPr>
      <w:rFonts w:ascii="Times New Roman" w:hAnsi="Times New Roman"/>
    </w:rPr>
  </w:style>
  <w:style w:type="paragraph" w:styleId="TOC1">
    <w:name w:val="toc 1"/>
    <w:basedOn w:val="TOCBase"/>
    <w:next w:val="Normal"/>
    <w:rsid w:val="006F7F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7F7F"/>
    <w:pPr>
      <w:spacing w:before="5040"/>
      <w:jc w:val="center"/>
    </w:pPr>
    <w:rPr>
      <w:sz w:val="48"/>
      <w:szCs w:val="72"/>
      <w:lang w:val="en-US"/>
    </w:rPr>
  </w:style>
  <w:style w:type="character" w:customStyle="1" w:styleId="TitleChar">
    <w:name w:val="Title Char"/>
    <w:basedOn w:val="DefaultParagraphFont"/>
    <w:link w:val="Title"/>
    <w:rsid w:val="006F7F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7F7F"/>
    <w:pPr>
      <w:tabs>
        <w:tab w:val="left" w:pos="3600"/>
        <w:tab w:val="left" w:pos="3958"/>
      </w:tabs>
    </w:pPr>
  </w:style>
  <w:style w:type="paragraph" w:customStyle="1" w:styleId="Note">
    <w:name w:val="Note"/>
    <w:basedOn w:val="BodyText"/>
    <w:rsid w:val="006F7F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7F7F"/>
    <w:pPr>
      <w:framePr w:wrap="auto" w:hAnchor="text" w:y="6049"/>
    </w:pPr>
    <w:rPr>
      <w:color w:val="000000"/>
      <w:sz w:val="40"/>
    </w:rPr>
  </w:style>
  <w:style w:type="paragraph" w:customStyle="1" w:styleId="TOCTitle">
    <w:name w:val="TOCTitle"/>
    <w:basedOn w:val="Heading1"/>
    <w:rsid w:val="006F7F7F"/>
    <w:pPr>
      <w:spacing w:after="240"/>
      <w:jc w:val="center"/>
      <w:outlineLvl w:val="9"/>
    </w:pPr>
    <w:rPr>
      <w:caps/>
    </w:rPr>
  </w:style>
  <w:style w:type="paragraph" w:customStyle="1" w:styleId="Version">
    <w:name w:val="Version"/>
    <w:rsid w:val="006F7F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7F7F"/>
    <w:pPr>
      <w:numPr>
        <w:numId w:val="13"/>
      </w:numPr>
      <w:tabs>
        <w:tab w:val="clear" w:pos="680"/>
      </w:tabs>
    </w:pPr>
  </w:style>
  <w:style w:type="paragraph" w:styleId="Index1">
    <w:name w:val="index 1"/>
    <w:basedOn w:val="Normal"/>
    <w:next w:val="Normal"/>
    <w:semiHidden/>
    <w:rsid w:val="006F7F7F"/>
    <w:pPr>
      <w:keepNext w:val="0"/>
      <w:tabs>
        <w:tab w:val="right" w:pos="4176"/>
      </w:tabs>
      <w:ind w:left="198" w:hanging="198"/>
    </w:pPr>
    <w:rPr>
      <w:rFonts w:ascii="Garamond" w:hAnsi="Garamond"/>
    </w:rPr>
  </w:style>
  <w:style w:type="paragraph" w:styleId="IndexHeading">
    <w:name w:val="index heading"/>
    <w:basedOn w:val="Normal"/>
    <w:next w:val="Index1"/>
    <w:semiHidden/>
    <w:rsid w:val="006F7F7F"/>
    <w:pPr>
      <w:spacing w:before="120" w:after="120"/>
    </w:pPr>
    <w:rPr>
      <w:rFonts w:ascii="Arial" w:hAnsi="Arial"/>
      <w:b/>
      <w:color w:val="918585"/>
      <w:sz w:val="24"/>
    </w:rPr>
  </w:style>
  <w:style w:type="paragraph" w:customStyle="1" w:styleId="Chapter">
    <w:name w:val="Chapter"/>
    <w:basedOn w:val="Normal"/>
    <w:rsid w:val="006F7F7F"/>
    <w:pPr>
      <w:spacing w:before="240"/>
    </w:pPr>
    <w:rPr>
      <w:rFonts w:ascii="Times New Roman" w:hAnsi="Times New Roman"/>
      <w:smallCaps/>
      <w:spacing w:val="80"/>
      <w:sz w:val="28"/>
    </w:rPr>
  </w:style>
  <w:style w:type="paragraph" w:customStyle="1" w:styleId="InChapter">
    <w:name w:val="InChapter"/>
    <w:basedOn w:val="Heading3"/>
    <w:rsid w:val="006F7F7F"/>
    <w:pPr>
      <w:spacing w:after="240"/>
      <w:outlineLvl w:val="9"/>
    </w:pPr>
    <w:rPr>
      <w:noProof/>
    </w:rPr>
  </w:style>
  <w:style w:type="paragraph" w:styleId="Index2">
    <w:name w:val="index 2"/>
    <w:basedOn w:val="Normal"/>
    <w:next w:val="Normal"/>
    <w:semiHidden/>
    <w:rsid w:val="006F7F7F"/>
    <w:pPr>
      <w:tabs>
        <w:tab w:val="right" w:pos="4176"/>
      </w:tabs>
      <w:ind w:left="568" w:hanging="284"/>
    </w:pPr>
    <w:rPr>
      <w:rFonts w:ascii="Garamond" w:hAnsi="Garamond"/>
    </w:rPr>
  </w:style>
  <w:style w:type="paragraph" w:customStyle="1" w:styleId="Byline">
    <w:name w:val="Byline"/>
    <w:rsid w:val="006F7F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7F7F"/>
    <w:pPr>
      <w:tabs>
        <w:tab w:val="clear" w:pos="3600"/>
        <w:tab w:val="clear" w:pos="3958"/>
      </w:tabs>
      <w:jc w:val="right"/>
    </w:pPr>
  </w:style>
  <w:style w:type="paragraph" w:styleId="Caption">
    <w:name w:val="caption"/>
    <w:basedOn w:val="BodyText"/>
    <w:next w:val="Normal"/>
    <w:qFormat/>
    <w:rsid w:val="006F7F7F"/>
    <w:pPr>
      <w:framePr w:w="2268" w:hSpace="181" w:vSpace="181" w:wrap="around" w:vAnchor="text" w:hAnchor="page" w:x="1135" w:y="285" w:anchorLock="1"/>
    </w:pPr>
    <w:rPr>
      <w:i/>
    </w:rPr>
  </w:style>
  <w:style w:type="paragraph" w:customStyle="1" w:styleId="MiniTOCTitle">
    <w:name w:val="MiniTOCTitle"/>
    <w:basedOn w:val="Heading4"/>
    <w:rsid w:val="006F7F7F"/>
    <w:pPr>
      <w:spacing w:before="240"/>
      <w:outlineLvl w:val="9"/>
    </w:pPr>
    <w:rPr>
      <w:noProof/>
      <w:sz w:val="24"/>
    </w:rPr>
  </w:style>
  <w:style w:type="paragraph" w:customStyle="1" w:styleId="MiniTOCItem">
    <w:name w:val="MiniTOCItem"/>
    <w:basedOn w:val="ListBullet"/>
    <w:rsid w:val="006F7F7F"/>
    <w:pPr>
      <w:numPr>
        <w:numId w:val="0"/>
      </w:numPr>
      <w:tabs>
        <w:tab w:val="right" w:leader="dot" w:pos="6521"/>
      </w:tabs>
      <w:spacing w:before="0" w:after="0"/>
    </w:pPr>
  </w:style>
  <w:style w:type="paragraph" w:customStyle="1" w:styleId="TOFTitle">
    <w:name w:val="TOFTitle"/>
    <w:basedOn w:val="TOCTitle"/>
    <w:rsid w:val="006F7F7F"/>
  </w:style>
  <w:style w:type="paragraph" w:styleId="TableofFigures">
    <w:name w:val="table of figures"/>
    <w:basedOn w:val="Normal"/>
    <w:next w:val="Normal"/>
    <w:semiHidden/>
    <w:rsid w:val="006F7F7F"/>
    <w:pPr>
      <w:tabs>
        <w:tab w:val="right" w:leader="dot" w:pos="9072"/>
      </w:tabs>
      <w:ind w:left="970" w:hanging="403"/>
    </w:pPr>
    <w:rPr>
      <w:rFonts w:ascii="Times New Roman" w:hAnsi="Times New Roman"/>
      <w:b/>
    </w:rPr>
  </w:style>
  <w:style w:type="paragraph" w:styleId="ListNumber">
    <w:name w:val="List Number"/>
    <w:basedOn w:val="List"/>
    <w:rsid w:val="006F7F7F"/>
    <w:pPr>
      <w:numPr>
        <w:numId w:val="10"/>
      </w:numPr>
    </w:pPr>
  </w:style>
  <w:style w:type="character" w:customStyle="1" w:styleId="WingdingSymbols">
    <w:name w:val="Wingding Symbols"/>
    <w:rsid w:val="006F7F7F"/>
    <w:rPr>
      <w:rFonts w:ascii="Wingdings" w:hAnsi="Wingdings"/>
    </w:rPr>
  </w:style>
  <w:style w:type="paragraph" w:customStyle="1" w:styleId="TableHeading">
    <w:name w:val="Table Heading"/>
    <w:basedOn w:val="HeadingBase"/>
    <w:rsid w:val="006F7F7F"/>
    <w:pPr>
      <w:keepLines/>
      <w:pBdr>
        <w:bottom w:val="single" w:sz="6" w:space="1" w:color="918585"/>
      </w:pBdr>
      <w:spacing w:before="240"/>
    </w:pPr>
  </w:style>
  <w:style w:type="character" w:customStyle="1" w:styleId="HotSpot">
    <w:name w:val="HotSpot"/>
    <w:rsid w:val="006F7F7F"/>
    <w:rPr>
      <w:color w:val="0033CC"/>
      <w:u w:val="none"/>
    </w:rPr>
  </w:style>
  <w:style w:type="paragraph" w:customStyle="1" w:styleId="BodyTextRight">
    <w:name w:val="Body Text Right"/>
    <w:basedOn w:val="BodyText"/>
    <w:rsid w:val="006F7F7F"/>
    <w:pPr>
      <w:spacing w:before="0" w:after="0"/>
      <w:jc w:val="right"/>
    </w:pPr>
  </w:style>
  <w:style w:type="paragraph" w:styleId="Index3">
    <w:name w:val="index 3"/>
    <w:basedOn w:val="ListNumber2"/>
    <w:next w:val="Normal"/>
    <w:semiHidden/>
    <w:rsid w:val="006F7F7F"/>
    <w:pPr>
      <w:numPr>
        <w:numId w:val="0"/>
      </w:numPr>
      <w:tabs>
        <w:tab w:val="right" w:leader="dot" w:pos="4176"/>
      </w:tabs>
    </w:pPr>
  </w:style>
  <w:style w:type="paragraph" w:styleId="ListNumber2">
    <w:name w:val="List Number 2"/>
    <w:basedOn w:val="List2"/>
    <w:rsid w:val="006F7F7F"/>
    <w:pPr>
      <w:numPr>
        <w:numId w:val="9"/>
      </w:numPr>
      <w:tabs>
        <w:tab w:val="clear" w:pos="1060"/>
      </w:tabs>
    </w:pPr>
  </w:style>
  <w:style w:type="paragraph" w:customStyle="1" w:styleId="MarginNote">
    <w:name w:val="Margin Note"/>
    <w:basedOn w:val="BodyText"/>
    <w:rsid w:val="006F7F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7F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7F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7F7F"/>
    <w:rPr>
      <w:sz w:val="32"/>
    </w:rPr>
  </w:style>
  <w:style w:type="paragraph" w:customStyle="1" w:styleId="HeadingProcedure">
    <w:name w:val="Heading Procedure"/>
    <w:basedOn w:val="HeadingBase"/>
    <w:next w:val="Normal"/>
    <w:rsid w:val="006F7F7F"/>
    <w:pPr>
      <w:tabs>
        <w:tab w:val="left" w:pos="0"/>
      </w:tabs>
      <w:spacing w:before="120" w:after="60"/>
    </w:pPr>
    <w:rPr>
      <w:i/>
      <w:color w:val="918585"/>
      <w:sz w:val="22"/>
    </w:rPr>
  </w:style>
  <w:style w:type="paragraph" w:customStyle="1" w:styleId="TableBodyText">
    <w:name w:val="Table Body Text"/>
    <w:basedOn w:val="BodyText"/>
    <w:rsid w:val="006F7F7F"/>
    <w:pPr>
      <w:spacing w:before="60" w:after="60"/>
    </w:pPr>
  </w:style>
  <w:style w:type="paragraph" w:styleId="ListContinue">
    <w:name w:val="List Continue"/>
    <w:basedOn w:val="List"/>
    <w:rsid w:val="006F7F7F"/>
    <w:pPr>
      <w:ind w:firstLine="0"/>
    </w:pPr>
  </w:style>
  <w:style w:type="paragraph" w:customStyle="1" w:styleId="ListNote">
    <w:name w:val="List Note"/>
    <w:basedOn w:val="List"/>
    <w:rsid w:val="006F7F7F"/>
    <w:pPr>
      <w:pBdr>
        <w:top w:val="single" w:sz="6" w:space="2" w:color="918585"/>
        <w:bottom w:val="single" w:sz="6" w:space="2" w:color="918585"/>
      </w:pBdr>
      <w:tabs>
        <w:tab w:val="left" w:pos="1021"/>
      </w:tabs>
      <w:ind w:firstLine="0"/>
    </w:pPr>
  </w:style>
  <w:style w:type="paragraph" w:customStyle="1" w:styleId="Warning">
    <w:name w:val="Warning"/>
    <w:basedOn w:val="BodyText"/>
    <w:rsid w:val="006F7F7F"/>
    <w:pPr>
      <w:shd w:val="clear" w:color="auto" w:fill="D9D9D9"/>
      <w:tabs>
        <w:tab w:val="left" w:pos="992"/>
      </w:tabs>
      <w:ind w:left="119" w:right="119"/>
    </w:pPr>
    <w:rPr>
      <w:sz w:val="20"/>
    </w:rPr>
  </w:style>
  <w:style w:type="paragraph" w:customStyle="1" w:styleId="MarginIcons">
    <w:name w:val="Margin Icons"/>
    <w:basedOn w:val="BodyText"/>
    <w:rsid w:val="006F7F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7F7F"/>
    <w:rPr>
      <w:rFonts w:ascii="Courier New" w:hAnsi="Courier New"/>
    </w:rPr>
  </w:style>
  <w:style w:type="paragraph" w:customStyle="1" w:styleId="NoteBullet">
    <w:name w:val="Note Bullet"/>
    <w:basedOn w:val="Note"/>
    <w:rsid w:val="006F7F7F"/>
    <w:pPr>
      <w:tabs>
        <w:tab w:val="clear" w:pos="680"/>
      </w:tabs>
      <w:spacing w:before="60" w:after="60"/>
    </w:pPr>
  </w:style>
  <w:style w:type="paragraph" w:customStyle="1" w:styleId="SubHeading2">
    <w:name w:val="SubHeading2"/>
    <w:basedOn w:val="HeadingBase"/>
    <w:rsid w:val="006F7F7F"/>
    <w:pPr>
      <w:spacing w:before="240" w:after="60"/>
    </w:pPr>
    <w:rPr>
      <w:sz w:val="20"/>
    </w:rPr>
  </w:style>
  <w:style w:type="paragraph" w:customStyle="1" w:styleId="SubHeading1">
    <w:name w:val="SubHeading1"/>
    <w:basedOn w:val="HeadingBase"/>
    <w:rsid w:val="006F7F7F"/>
    <w:pPr>
      <w:spacing w:before="240" w:after="60"/>
    </w:pPr>
    <w:rPr>
      <w:color w:val="918585"/>
      <w:sz w:val="22"/>
    </w:rPr>
  </w:style>
  <w:style w:type="paragraph" w:customStyle="1" w:styleId="SideHeading">
    <w:name w:val="Side Heading"/>
    <w:basedOn w:val="HeadingBase"/>
    <w:rsid w:val="006F7F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7F7F"/>
    <w:pPr>
      <w:tabs>
        <w:tab w:val="num" w:pos="360"/>
      </w:tabs>
    </w:pPr>
  </w:style>
  <w:style w:type="paragraph" w:styleId="PlainText">
    <w:name w:val="Plain Text"/>
    <w:basedOn w:val="Normal"/>
    <w:link w:val="PlainTextChar"/>
    <w:rsid w:val="006F7F7F"/>
    <w:rPr>
      <w:sz w:val="20"/>
    </w:rPr>
  </w:style>
  <w:style w:type="character" w:customStyle="1" w:styleId="PlainTextChar">
    <w:name w:val="Plain Text Char"/>
    <w:basedOn w:val="DefaultParagraphFont"/>
    <w:link w:val="PlainText"/>
    <w:rsid w:val="006F7F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7F7F"/>
    <w:rPr>
      <w:b/>
      <w:smallCaps/>
    </w:rPr>
  </w:style>
  <w:style w:type="paragraph" w:customStyle="1" w:styleId="TableListNumber">
    <w:name w:val="Table List Number"/>
    <w:basedOn w:val="ListNumber"/>
    <w:rsid w:val="006F7F7F"/>
    <w:pPr>
      <w:numPr>
        <w:numId w:val="0"/>
      </w:numPr>
    </w:pPr>
  </w:style>
  <w:style w:type="paragraph" w:styleId="TOC4">
    <w:name w:val="toc 4"/>
    <w:basedOn w:val="TOCBase"/>
    <w:next w:val="Normal"/>
    <w:semiHidden/>
    <w:rsid w:val="006F7F7F"/>
    <w:pPr>
      <w:tabs>
        <w:tab w:val="right" w:leader="dot" w:pos="9071"/>
      </w:tabs>
      <w:ind w:left="1701"/>
    </w:pPr>
  </w:style>
  <w:style w:type="paragraph" w:customStyle="1" w:styleId="ListAlpha">
    <w:name w:val="List Alpha"/>
    <w:basedOn w:val="List"/>
    <w:rsid w:val="006F7F7F"/>
    <w:pPr>
      <w:numPr>
        <w:numId w:val="8"/>
      </w:numPr>
    </w:pPr>
  </w:style>
  <w:style w:type="paragraph" w:customStyle="1" w:styleId="ListAlpha2">
    <w:name w:val="List Alpha 2"/>
    <w:basedOn w:val="List2"/>
    <w:rsid w:val="006F7F7F"/>
    <w:pPr>
      <w:numPr>
        <w:numId w:val="7"/>
      </w:numPr>
    </w:pPr>
  </w:style>
  <w:style w:type="paragraph" w:styleId="List2">
    <w:name w:val="List 2"/>
    <w:basedOn w:val="BodyText"/>
    <w:rsid w:val="006F7F7F"/>
    <w:pPr>
      <w:tabs>
        <w:tab w:val="left" w:pos="680"/>
      </w:tabs>
      <w:spacing w:before="60" w:after="60"/>
      <w:ind w:left="680" w:hanging="340"/>
    </w:pPr>
  </w:style>
  <w:style w:type="paragraph" w:styleId="List3">
    <w:name w:val="List 3"/>
    <w:basedOn w:val="BodyText"/>
    <w:rsid w:val="006F7F7F"/>
    <w:pPr>
      <w:tabs>
        <w:tab w:val="left" w:pos="1021"/>
      </w:tabs>
      <w:spacing w:before="60" w:after="60"/>
      <w:ind w:left="1020" w:hanging="340"/>
    </w:pPr>
  </w:style>
  <w:style w:type="paragraph" w:styleId="List4">
    <w:name w:val="List 4"/>
    <w:basedOn w:val="BodyText"/>
    <w:rsid w:val="006F7F7F"/>
    <w:pPr>
      <w:tabs>
        <w:tab w:val="left" w:pos="1361"/>
      </w:tabs>
      <w:spacing w:before="60" w:after="60"/>
      <w:ind w:left="1361" w:hanging="340"/>
    </w:pPr>
  </w:style>
  <w:style w:type="paragraph" w:styleId="List5">
    <w:name w:val="List 5"/>
    <w:basedOn w:val="BodyText"/>
    <w:rsid w:val="006F7F7F"/>
    <w:pPr>
      <w:tabs>
        <w:tab w:val="left" w:pos="1701"/>
      </w:tabs>
      <w:spacing w:before="60" w:after="60"/>
      <w:ind w:left="1701" w:hanging="340"/>
    </w:pPr>
  </w:style>
  <w:style w:type="paragraph" w:styleId="ListBullet3">
    <w:name w:val="List Bullet 3"/>
    <w:basedOn w:val="List3"/>
    <w:rsid w:val="006F7F7F"/>
    <w:pPr>
      <w:numPr>
        <w:numId w:val="14"/>
      </w:numPr>
      <w:tabs>
        <w:tab w:val="clear" w:pos="1021"/>
      </w:tabs>
      <w:ind w:left="1037" w:hanging="357"/>
    </w:pPr>
  </w:style>
  <w:style w:type="paragraph" w:styleId="ListBullet4">
    <w:name w:val="List Bullet 4"/>
    <w:basedOn w:val="List4"/>
    <w:rsid w:val="006F7F7F"/>
    <w:pPr>
      <w:numPr>
        <w:numId w:val="2"/>
      </w:numPr>
    </w:pPr>
  </w:style>
  <w:style w:type="paragraph" w:styleId="ListBullet5">
    <w:name w:val="List Bullet 5"/>
    <w:basedOn w:val="List5"/>
    <w:rsid w:val="006F7F7F"/>
    <w:pPr>
      <w:numPr>
        <w:numId w:val="3"/>
      </w:numPr>
    </w:pPr>
  </w:style>
  <w:style w:type="paragraph" w:styleId="ListContinue2">
    <w:name w:val="List Continue 2"/>
    <w:basedOn w:val="List2"/>
    <w:rsid w:val="006F7F7F"/>
    <w:pPr>
      <w:ind w:firstLine="0"/>
    </w:pPr>
  </w:style>
  <w:style w:type="paragraph" w:styleId="ListContinue3">
    <w:name w:val="List Continue 3"/>
    <w:basedOn w:val="List3"/>
    <w:rsid w:val="006F7F7F"/>
    <w:pPr>
      <w:ind w:left="1021" w:firstLine="0"/>
    </w:pPr>
  </w:style>
  <w:style w:type="paragraph" w:styleId="ListContinue4">
    <w:name w:val="List Continue 4"/>
    <w:basedOn w:val="List4"/>
    <w:rsid w:val="006F7F7F"/>
    <w:pPr>
      <w:ind w:firstLine="0"/>
    </w:pPr>
  </w:style>
  <w:style w:type="paragraph" w:styleId="ListContinue5">
    <w:name w:val="List Continue 5"/>
    <w:basedOn w:val="List5"/>
    <w:rsid w:val="006F7F7F"/>
    <w:pPr>
      <w:ind w:firstLine="0"/>
    </w:pPr>
  </w:style>
  <w:style w:type="paragraph" w:styleId="ListNumber3">
    <w:name w:val="List Number 3"/>
    <w:basedOn w:val="List3"/>
    <w:rsid w:val="006F7F7F"/>
    <w:pPr>
      <w:numPr>
        <w:numId w:val="4"/>
      </w:numPr>
    </w:pPr>
  </w:style>
  <w:style w:type="paragraph" w:styleId="ListNumber4">
    <w:name w:val="List Number 4"/>
    <w:basedOn w:val="List4"/>
    <w:rsid w:val="006F7F7F"/>
    <w:pPr>
      <w:numPr>
        <w:numId w:val="5"/>
      </w:numPr>
    </w:pPr>
  </w:style>
  <w:style w:type="paragraph" w:styleId="ListNumber5">
    <w:name w:val="List Number 5"/>
    <w:basedOn w:val="List5"/>
    <w:rsid w:val="006F7F7F"/>
    <w:pPr>
      <w:numPr>
        <w:numId w:val="6"/>
      </w:numPr>
    </w:pPr>
  </w:style>
  <w:style w:type="paragraph" w:styleId="BlockText">
    <w:name w:val="Block Text"/>
    <w:basedOn w:val="Normal"/>
    <w:rsid w:val="006F7F7F"/>
    <w:pPr>
      <w:spacing w:after="120"/>
      <w:ind w:left="1440" w:right="1440"/>
    </w:pPr>
  </w:style>
  <w:style w:type="character" w:customStyle="1" w:styleId="Subscript">
    <w:name w:val="Subscript"/>
    <w:basedOn w:val="DefaultParagraphFont"/>
    <w:rsid w:val="006F7F7F"/>
    <w:rPr>
      <w:sz w:val="16"/>
      <w:vertAlign w:val="subscript"/>
    </w:rPr>
  </w:style>
  <w:style w:type="character" w:customStyle="1" w:styleId="Superscript">
    <w:name w:val="Superscript"/>
    <w:basedOn w:val="DefaultParagraphFont"/>
    <w:rsid w:val="006F7F7F"/>
    <w:rPr>
      <w:sz w:val="16"/>
      <w:vertAlign w:val="superscript"/>
    </w:rPr>
  </w:style>
  <w:style w:type="character" w:customStyle="1" w:styleId="Symbols">
    <w:name w:val="Symbols"/>
    <w:basedOn w:val="DefaultParagraphFont"/>
    <w:rsid w:val="006F7F7F"/>
    <w:rPr>
      <w:rFonts w:ascii="Symbol" w:hAnsi="Symbol"/>
    </w:rPr>
  </w:style>
  <w:style w:type="character" w:customStyle="1" w:styleId="MenuOptions">
    <w:name w:val="Menu Options"/>
    <w:basedOn w:val="DefaultParagraphFont"/>
    <w:rsid w:val="006F7F7F"/>
    <w:rPr>
      <w:rFonts w:ascii="Arial Narrow" w:hAnsi="Arial Narrow"/>
      <w:smallCaps/>
    </w:rPr>
  </w:style>
  <w:style w:type="character" w:customStyle="1" w:styleId="Buttons">
    <w:name w:val="Buttons"/>
    <w:basedOn w:val="DefaultParagraphFont"/>
    <w:rsid w:val="006F7F7F"/>
    <w:rPr>
      <w:b/>
    </w:rPr>
  </w:style>
  <w:style w:type="character" w:customStyle="1" w:styleId="Underlined">
    <w:name w:val="Underlined"/>
    <w:basedOn w:val="DefaultParagraphFont"/>
    <w:rsid w:val="006F7F7F"/>
    <w:rPr>
      <w:u w:val="single"/>
    </w:rPr>
  </w:style>
  <w:style w:type="paragraph" w:customStyle="1" w:styleId="TableBodyTextRight">
    <w:name w:val="Table Body Text Right"/>
    <w:basedOn w:val="TableBodyText"/>
    <w:rsid w:val="006F7F7F"/>
    <w:pPr>
      <w:widowControl w:val="0"/>
      <w:autoSpaceDE w:val="0"/>
      <w:autoSpaceDN w:val="0"/>
      <w:adjustRightInd w:val="0"/>
      <w:jc w:val="right"/>
    </w:pPr>
    <w:rPr>
      <w:rFonts w:cs="Arial"/>
      <w:szCs w:val="18"/>
    </w:rPr>
  </w:style>
  <w:style w:type="paragraph" w:customStyle="1" w:styleId="CopyrightText">
    <w:name w:val="Copyright Text"/>
    <w:basedOn w:val="BodyText"/>
    <w:rsid w:val="006F7F7F"/>
    <w:rPr>
      <w:sz w:val="18"/>
    </w:rPr>
  </w:style>
  <w:style w:type="paragraph" w:customStyle="1" w:styleId="BodySmallRight">
    <w:name w:val="Body Small Right"/>
    <w:basedOn w:val="BodyTextRight"/>
    <w:rsid w:val="006F7F7F"/>
    <w:rPr>
      <w:sz w:val="18"/>
      <w:szCs w:val="18"/>
    </w:rPr>
  </w:style>
  <w:style w:type="paragraph" w:customStyle="1" w:styleId="MarginEdition">
    <w:name w:val="Margin Edition"/>
    <w:basedOn w:val="MarginNote"/>
    <w:rsid w:val="006F7F7F"/>
    <w:pPr>
      <w:spacing w:before="0" w:after="0"/>
    </w:pPr>
    <w:rPr>
      <w:rFonts w:ascii="Times New Roman" w:hAnsi="Times New Roman"/>
      <w:color w:val="999999"/>
    </w:rPr>
  </w:style>
  <w:style w:type="paragraph" w:customStyle="1" w:styleId="Spacer">
    <w:name w:val="Spacer"/>
    <w:basedOn w:val="Normal"/>
    <w:rsid w:val="006F7F7F"/>
    <w:rPr>
      <w:sz w:val="2"/>
      <w:szCs w:val="2"/>
    </w:rPr>
  </w:style>
  <w:style w:type="character" w:customStyle="1" w:styleId="Small">
    <w:name w:val="Small"/>
    <w:basedOn w:val="DefaultParagraphFont"/>
    <w:rsid w:val="006F7F7F"/>
    <w:rPr>
      <w:sz w:val="16"/>
    </w:rPr>
  </w:style>
  <w:style w:type="paragraph" w:customStyle="1" w:styleId="WideTable">
    <w:name w:val="Wide Table"/>
    <w:basedOn w:val="Normal"/>
    <w:rsid w:val="006F7F7F"/>
    <w:pPr>
      <w:ind w:left="-1418"/>
    </w:pPr>
    <w:rPr>
      <w:sz w:val="2"/>
      <w:szCs w:val="2"/>
    </w:rPr>
  </w:style>
  <w:style w:type="character" w:styleId="PageNumber">
    <w:name w:val="page number"/>
    <w:basedOn w:val="DefaultParagraphFont"/>
    <w:rsid w:val="006F7F7F"/>
  </w:style>
  <w:style w:type="paragraph" w:styleId="Quote">
    <w:name w:val="Quote"/>
    <w:basedOn w:val="Heading1"/>
    <w:link w:val="QuoteChar"/>
    <w:qFormat/>
    <w:rsid w:val="006F7F7F"/>
    <w:rPr>
      <w:b w:val="0"/>
      <w:sz w:val="72"/>
      <w:szCs w:val="72"/>
      <w:lang w:val="en-NZ"/>
    </w:rPr>
  </w:style>
  <w:style w:type="character" w:customStyle="1" w:styleId="QuoteChar">
    <w:name w:val="Quote Char"/>
    <w:basedOn w:val="DefaultParagraphFont"/>
    <w:link w:val="Quote"/>
    <w:rsid w:val="006F7F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7F7F"/>
    <w:pPr>
      <w:pageBreakBefore/>
    </w:pPr>
  </w:style>
  <w:style w:type="paragraph" w:customStyle="1" w:styleId="Border">
    <w:name w:val="Border"/>
    <w:basedOn w:val="Normal"/>
    <w:qFormat/>
    <w:rsid w:val="006F7F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7F7F"/>
    <w:rPr>
      <w:b/>
      <w:bCs/>
      <w:i/>
      <w:iCs/>
      <w:color w:val="auto"/>
    </w:rPr>
  </w:style>
  <w:style w:type="paragraph" w:styleId="IntenseQuote">
    <w:name w:val="Intense Quote"/>
    <w:basedOn w:val="Normal"/>
    <w:next w:val="Normal"/>
    <w:link w:val="IntenseQuoteChar"/>
    <w:uiPriority w:val="30"/>
    <w:qFormat/>
    <w:rsid w:val="006F7F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7F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7F7F"/>
    <w:rPr>
      <w:smallCaps/>
      <w:color w:val="auto"/>
      <w:u w:val="single"/>
    </w:rPr>
  </w:style>
  <w:style w:type="character" w:styleId="IntenseReference">
    <w:name w:val="Intense Reference"/>
    <w:basedOn w:val="DefaultParagraphFont"/>
    <w:uiPriority w:val="32"/>
    <w:qFormat/>
    <w:rsid w:val="006F7F7F"/>
    <w:rPr>
      <w:b/>
      <w:bCs/>
      <w:smallCaps/>
      <w:color w:val="auto"/>
      <w:spacing w:val="5"/>
      <w:u w:val="single"/>
    </w:rPr>
  </w:style>
  <w:style w:type="paragraph" w:customStyle="1" w:styleId="2ColumnHeading">
    <w:name w:val="2Column Heading"/>
    <w:basedOn w:val="BodyText"/>
    <w:qFormat/>
    <w:rsid w:val="006F7F7F"/>
    <w:pPr>
      <w:spacing w:after="60"/>
      <w:ind w:left="-2268"/>
    </w:pPr>
    <w:rPr>
      <w:b/>
    </w:rPr>
  </w:style>
  <w:style w:type="paragraph" w:customStyle="1" w:styleId="Heading1TOC">
    <w:name w:val="Heading1 TOC"/>
    <w:basedOn w:val="Normal"/>
    <w:qFormat/>
    <w:rsid w:val="006F7F7F"/>
    <w:pPr>
      <w:spacing w:before="240" w:after="120"/>
    </w:pPr>
    <w:rPr>
      <w:rFonts w:ascii="Times New Roman" w:hAnsi="Times New Roman"/>
      <w:b/>
      <w:sz w:val="32"/>
    </w:rPr>
  </w:style>
  <w:style w:type="paragraph" w:customStyle="1" w:styleId="Heading2TOC">
    <w:name w:val="Heading2 TOC"/>
    <w:basedOn w:val="Normal"/>
    <w:qFormat/>
    <w:rsid w:val="006F7F7F"/>
    <w:pPr>
      <w:spacing w:before="240" w:after="60"/>
    </w:pPr>
    <w:rPr>
      <w:rFonts w:ascii="Times New Roman" w:hAnsi="Times New Roman"/>
      <w:b/>
      <w:sz w:val="28"/>
    </w:rPr>
  </w:style>
  <w:style w:type="character" w:customStyle="1" w:styleId="Underline">
    <w:name w:val="Underline"/>
    <w:basedOn w:val="DefaultParagraphFont"/>
    <w:qFormat/>
    <w:rsid w:val="006F7F7F"/>
    <w:rPr>
      <w:u w:val="single"/>
    </w:rPr>
  </w:style>
  <w:style w:type="character" w:customStyle="1" w:styleId="BoldandItalics">
    <w:name w:val="Bold and Italics"/>
    <w:qFormat/>
    <w:rsid w:val="006F7F7F"/>
    <w:rPr>
      <w:b/>
      <w:i/>
      <w:u w:val="none"/>
    </w:rPr>
  </w:style>
  <w:style w:type="paragraph" w:styleId="BalloonText">
    <w:name w:val="Balloon Text"/>
    <w:basedOn w:val="Normal"/>
    <w:link w:val="BalloonTextChar"/>
    <w:rsid w:val="006F7F7F"/>
    <w:rPr>
      <w:rFonts w:ascii="Tahoma" w:hAnsi="Tahoma" w:cs="Tahoma"/>
      <w:sz w:val="16"/>
      <w:szCs w:val="16"/>
    </w:rPr>
  </w:style>
  <w:style w:type="character" w:customStyle="1" w:styleId="BalloonTextChar">
    <w:name w:val="Balloon Text Char"/>
    <w:basedOn w:val="DefaultParagraphFont"/>
    <w:link w:val="BalloonText"/>
    <w:rsid w:val="006F7F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7F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7F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1442</Words>
  <Characters>9002</Characters>
  <Application>Microsoft Office Word</Application>
  <DocSecurity>0</DocSecurity>
  <Lines>314</Lines>
  <Paragraphs>139</Paragraphs>
  <ScaleCrop>false</ScaleCrop>
  <Company>Author-it Software Corporation Ltd.</Company>
  <LinksUpToDate>false</LinksUpToDate>
  <CharactersWithSpaces>10355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SRXRIK001A Undertake risk analysis of activities</dc:title>
  <dc:subject>Approved</dc:subject>
  <dc:creator>Service Skills Australia</dc:creator>
  <cp:keywords>Release: 1</cp:keywords>
  <dc:description>Copyright © 1996-2007 Author-it Software Corporation Ltd., all rights reserved.</dc:description>
  <cp:lastModifiedBy>Peter Giorgilli</cp:lastModifiedBy>
  <cp:revision>3</cp:revision>
  <dcterms:created xsi:type="dcterms:W3CDTF">2012-05-26T21:41:00Z</dcterms:created>
  <dcterms:modified xsi:type="dcterms:W3CDTF">2012-05-26T21:41:00Z</dcterms:modified>
</cp:coreProperties>
</file>