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826" w:rsidP="008B6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SRCAQU001B Monitor pool water quality</w:t>
      </w:r>
      <w:r>
        <w:fldChar w:fldCharType="end"/>
      </w:r>
    </w:p>
    <w:p w:rsidR="008B6826" w:rsidP="008B6826">
      <w:pPr>
        <w:pStyle w:val="Version"/>
        <w:sectPr w:rsidSect="00D33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D1C" w:rsidP="00D33D1C">
      <w:pPr>
        <w:pStyle w:val="SuperHeading"/>
      </w:pPr>
      <w:r w:rsidRPr="00D33D1C">
        <w:t>SRCAQU001B Monitor pool water quality</w:t>
      </w:r>
    </w:p>
    <w:p w:rsidR="00000000" w:rsidRPr="00D33D1C" w:rsidP="00D33D1C">
      <w:pPr>
        <w:pStyle w:val="Heading1"/>
      </w:pPr>
      <w:bookmarkStart w:id="1" w:name="O_321676"/>
      <w:bookmarkEnd w:id="1"/>
      <w:r w:rsidRPr="00D33D1C">
        <w:t>Modification History</w:t>
      </w:r>
    </w:p>
    <w:p w:rsidR="00000000" w:rsidRPr="00D33D1C" w:rsidP="00D33D1C">
      <w:pPr>
        <w:pStyle w:val="BodyText"/>
      </w:pPr>
      <w:r w:rsidRPr="00D33D1C">
        <w:t>Not applicable.</w:t>
      </w: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2" w:name="O_321675"/>
      <w:bookmarkEnd w:id="2"/>
      <w:r w:rsidRPr="00D33D1C">
        <w:t>Unit Descriptor</w:t>
      </w:r>
    </w:p>
    <w:p w:rsidR="00000000" w:rsidRPr="00D33D1C" w:rsidP="00D33D1C">
      <w:pPr>
        <w:pStyle w:val="BodyText"/>
      </w:pPr>
      <w:r w:rsidRPr="00D33D1C">
        <w:rPr>
          <w:rStyle w:val="SpecialBold"/>
        </w:rPr>
        <w:t>This unit has been developed for the Community Recreation Industry Training Package and covers the skills and know</w:t>
      </w:r>
      <w:r w:rsidRPr="00D33D1C">
        <w:rPr>
          <w:rStyle w:val="SpecialBold"/>
        </w:rPr>
        <w:t xml:space="preserve">ledge required to monitor the water quality of swimming pools/aquatic facilities according to health standards. </w:t>
      </w: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3" w:name="O_321674"/>
      <w:bookmarkEnd w:id="3"/>
      <w:r w:rsidRPr="00D33D1C">
        <w:t>Application of the Unit</w:t>
      </w:r>
    </w:p>
    <w:p w:rsidR="00000000" w:rsidRPr="00D33D1C" w:rsidP="00D33D1C">
      <w:pPr>
        <w:pStyle w:val="BodyText"/>
      </w:pPr>
      <w:r w:rsidRPr="00D33D1C">
        <w:t>Not applicable.</w:t>
      </w: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4" w:name="O_321673"/>
      <w:bookmarkEnd w:id="4"/>
      <w:r w:rsidRPr="00D33D1C">
        <w:t>Licensing/Regulatory Information</w:t>
      </w:r>
    </w:p>
    <w:p w:rsidR="00000000" w:rsidRPr="00D33D1C" w:rsidP="00D33D1C">
      <w:pPr>
        <w:pStyle w:val="BodyText"/>
      </w:pPr>
      <w:r w:rsidRPr="00D33D1C">
        <w:t>Not applicable.</w:t>
      </w: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5" w:name="O_321672"/>
      <w:bookmarkEnd w:id="5"/>
      <w:r w:rsidRPr="00D33D1C">
        <w:t>Pre-Requisites</w:t>
      </w:r>
    </w:p>
    <w:p w:rsidR="00000000" w:rsidRPr="00D33D1C" w:rsidP="00D33D1C">
      <w:pPr>
        <w:pStyle w:val="BodyText"/>
      </w:pPr>
      <w:r w:rsidRPr="00D33D1C">
        <w:t>Not applicable.</w:t>
      </w: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6" w:name="O_321666"/>
      <w:bookmarkEnd w:id="6"/>
      <w:r w:rsidRPr="00D33D1C">
        <w:t>Employability Skills Information</w:t>
      </w:r>
    </w:p>
    <w:p w:rsidR="00000000" w:rsidRPr="00D33D1C" w:rsidP="00D33D1C">
      <w:pPr>
        <w:pStyle w:val="BodyText"/>
      </w:pPr>
      <w:r w:rsidRPr="00D33D1C">
        <w:t>Not applicable.</w:t>
      </w: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7" w:name="O_321671"/>
      <w:bookmarkEnd w:id="7"/>
      <w:r w:rsidRPr="00D33D1C">
        <w:t>Elements and Performance Criteria Pre-Content</w:t>
      </w:r>
    </w:p>
    <w:p w:rsidR="00000000" w:rsidRPr="00D33D1C" w:rsidP="00D33D1C">
      <w:pPr>
        <w:pStyle w:val="BodyText"/>
      </w:pPr>
      <w:r w:rsidRPr="00D33D1C">
        <w:t>Not applicable.</w:t>
      </w: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8" w:name="O_321677"/>
      <w:bookmarkEnd w:id="8"/>
      <w:r w:rsidRPr="00D33D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Elements and Performance Crit</w:t>
            </w:r>
            <w:r w:rsidRPr="00D33D1C">
              <w:rPr>
                <w:rStyle w:val="SpecialBold"/>
              </w:rPr>
              <w:t>eria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Performance Criteria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 xml:space="preserve"> Conduct routine pool water tests according to regulations and respond to test irregularities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Complete </w:t>
            </w:r>
            <w:r w:rsidRPr="00D33D1C">
              <w:rPr>
                <w:rStyle w:val="SpecialBold"/>
              </w:rPr>
              <w:t xml:space="preserve">routine pool water tests </w:t>
            </w:r>
            <w:r w:rsidRPr="00D33D1C">
              <w:t xml:space="preserve">in compliance with </w:t>
            </w:r>
            <w:r w:rsidRPr="00D33D1C">
              <w:rPr>
                <w:rStyle w:val="SpecialBold"/>
              </w:rPr>
              <w:t xml:space="preserve">public health regulatory requirements </w:t>
            </w:r>
            <w:r w:rsidRPr="00D33D1C">
              <w:t>and facility procedures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Compare pool water test results to </w:t>
            </w:r>
            <w:r w:rsidRPr="00D33D1C">
              <w:rPr>
                <w:rStyle w:val="SpecialBold"/>
              </w:rPr>
              <w:t xml:space="preserve">public health </w:t>
            </w:r>
            <w:r w:rsidRPr="00D33D1C">
              <w:rPr>
                <w:rStyle w:val="SpecialBold"/>
              </w:rPr>
              <w:t>regulatory requirements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>Report pool water test irregularities to the appropriate person for corrective action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 xml:space="preserve"> Respond to contamination incidents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Continually implement visual checks for </w:t>
            </w:r>
            <w:r w:rsidRPr="00D33D1C">
              <w:rPr>
                <w:rStyle w:val="SpecialBold"/>
              </w:rPr>
              <w:t xml:space="preserve">pool water quality </w:t>
            </w:r>
            <w:r w:rsidRPr="00D33D1C">
              <w:t xml:space="preserve">and initiate corrective actions 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 xml:space="preserve"> Record routine pool water tests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 xml:space="preserve">Record pool water test results to aquatic facility specifications and meet the </w:t>
            </w:r>
            <w:r w:rsidRPr="00D33D1C">
              <w:rPr>
                <w:rStyle w:val="SpecialBold"/>
              </w:rPr>
              <w:t>public health regulatory requirements</w:t>
            </w:r>
          </w:p>
        </w:tc>
      </w:tr>
    </w:tbl>
    <w:p w:rsidR="00000000" w:rsidRPr="00D33D1C" w:rsidP="00D33D1C">
      <w:pPr>
        <w:pStyle w:val="BodyText"/>
      </w:pP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9" w:name="O_321670"/>
      <w:bookmarkEnd w:id="9"/>
      <w:r w:rsidRPr="00D33D1C">
        <w:t>Required Skills and Knowledge</w:t>
      </w:r>
    </w:p>
    <w:p w:rsidR="00000000" w:rsidRPr="00D33D1C" w:rsidP="00D33D1C">
      <w:pPr>
        <w:pStyle w:val="BodyText"/>
      </w:pPr>
      <w:r w:rsidRPr="00D33D1C">
        <w:t>Not applicable.</w:t>
      </w: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10" w:name="O_321669"/>
      <w:bookmarkEnd w:id="10"/>
      <w:r w:rsidRPr="00D33D1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The Evidence Guide identifies the critical aspects, knowledge and skills to be demonstrated to confirm competence for this unit. This is an integral part of the assessment of com</w:t>
            </w:r>
            <w:r w:rsidRPr="00D33D1C">
              <w:t>petence and should be read in conjunction with the Range Statements</w:t>
            </w:r>
          </w:p>
        </w:tc>
      </w:tr>
    </w:tbl>
    <w:p w:rsidR="00000000" w:rsidRPr="00D33D1C" w:rsidP="00D33D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Critical aspects of evidence to be considered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Assessment must confirm the ability integrated demonstration of all elements of competency and their performance criteria, in particular the</w:t>
            </w:r>
            <w:r w:rsidRPr="00D33D1C">
              <w:t xml:space="preserve"> ability to</w:t>
            </w:r>
          </w:p>
          <w:p w:rsidR="00000000" w:rsidRPr="00D33D1C" w:rsidP="00D33D1C">
            <w:pPr>
              <w:pStyle w:val="BodyText"/>
            </w:pPr>
            <w:r w:rsidRPr="00D33D1C">
              <w:t>conduct regular pool water tests in compliance with public health regulatory requirements and correctly identify irregularities</w:t>
            </w:r>
          </w:p>
          <w:p w:rsidR="00000000" w:rsidRPr="00D33D1C" w:rsidP="00D33D1C">
            <w:pPr>
              <w:pStyle w:val="BodyText"/>
            </w:pPr>
            <w:r w:rsidRPr="00D33D1C">
              <w:t>work within organisation policy and procedures and</w:t>
            </w:r>
          </w:p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>follow water treatment testing procedures governed by public heal</w:t>
            </w:r>
            <w:r w:rsidRPr="00D33D1C">
              <w:t>th regulations for the treatment of public swimming pool wate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Interdependent assessment of units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This unit must be assessed after attainment of competency in the following unit(s)</w:t>
            </w:r>
          </w:p>
          <w:p w:rsidR="00000000" w:rsidRPr="00D33D1C" w:rsidP="00D33D1C">
            <w:pPr>
              <w:pStyle w:val="BodyText"/>
            </w:pPr>
            <w:r w:rsidRPr="00D33D1C">
              <w:t>Nil</w:t>
            </w:r>
          </w:p>
          <w:p w:rsidR="00000000" w:rsidRPr="00D33D1C" w:rsidP="00D33D1C">
            <w:pPr>
              <w:pStyle w:val="BodyText"/>
            </w:pPr>
            <w:r w:rsidRPr="00D33D1C">
              <w:t>This unit must be assessed in conjunction with the following unit(s)</w:t>
            </w:r>
          </w:p>
          <w:p w:rsidR="00000000" w:rsidRPr="00D33D1C" w:rsidP="00D33D1C">
            <w:pPr>
              <w:pStyle w:val="BodyText"/>
            </w:pPr>
            <w:r w:rsidRPr="00D33D1C">
              <w:t>Nil</w:t>
            </w:r>
          </w:p>
          <w:p w:rsidR="00000000" w:rsidRPr="00D33D1C" w:rsidP="00D33D1C">
            <w:pPr>
              <w:pStyle w:val="BodyText"/>
            </w:pPr>
            <w:r w:rsidRPr="00D33D1C">
              <w:t>For the purpose of integrated assessment, this unit may be assessed in conjunction with the following unit(s)</w:t>
            </w:r>
          </w:p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Nil 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Required knowledge and skills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Required knowledge</w:t>
            </w:r>
          </w:p>
          <w:p w:rsidR="00000000" w:rsidRPr="00D33D1C" w:rsidP="00D33D1C">
            <w:pPr>
              <w:pStyle w:val="BodyText"/>
            </w:pPr>
            <w:r w:rsidRPr="00D33D1C">
              <w:t>Organisation's objectives, policies and procedures</w:t>
            </w:r>
          </w:p>
          <w:p w:rsidR="00000000" w:rsidRPr="00D33D1C" w:rsidP="00D33D1C">
            <w:pPr>
              <w:pStyle w:val="BodyText"/>
            </w:pPr>
            <w:r w:rsidRPr="00D33D1C">
              <w:t>Procedures and processes for pool wa</w:t>
            </w:r>
            <w:r w:rsidRPr="00D33D1C">
              <w:t>ter testing</w:t>
            </w:r>
          </w:p>
          <w:p w:rsidR="00000000" w:rsidRPr="00D33D1C" w:rsidP="00D33D1C">
            <w:pPr>
              <w:pStyle w:val="BodyText"/>
            </w:pPr>
            <w:r w:rsidRPr="00D33D1C">
              <w:t>Basic pool water chemistry</w:t>
            </w:r>
          </w:p>
          <w:p w:rsidR="00000000" w:rsidRPr="00D33D1C" w:rsidP="00D33D1C">
            <w:pPr>
              <w:pStyle w:val="BodyText"/>
            </w:pPr>
            <w:r w:rsidRPr="00D33D1C">
              <w:t>Relevant occupational health and safety, government and industry regulations and legislative requirements</w:t>
            </w:r>
          </w:p>
          <w:p w:rsidR="00000000" w:rsidRPr="00D33D1C" w:rsidP="00D33D1C">
            <w:pPr>
              <w:pStyle w:val="BodyText"/>
            </w:pPr>
            <w:r w:rsidRPr="00D33D1C">
              <w:t>Required skills</w:t>
            </w:r>
          </w:p>
          <w:p w:rsidR="00000000" w:rsidRPr="00D33D1C" w:rsidP="00D33D1C">
            <w:pPr>
              <w:pStyle w:val="BodyText"/>
            </w:pPr>
            <w:r w:rsidRPr="00D33D1C">
              <w:t>Communication skills to record pool water test results and report irregularities</w:t>
            </w:r>
          </w:p>
          <w:p w:rsidR="00000000" w:rsidRPr="00D33D1C" w:rsidP="00D33D1C">
            <w:pPr>
              <w:pStyle w:val="BodyText"/>
            </w:pPr>
            <w:r w:rsidRPr="00D33D1C">
              <w:t>Use of pool wa</w:t>
            </w:r>
            <w:r w:rsidRPr="00D33D1C">
              <w:t>ter testing apparatus</w:t>
            </w:r>
          </w:p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Visual identification of pool water quality 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Resource implications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Physical resources - assessment of this competency requires access to</w:t>
            </w:r>
          </w:p>
          <w:p w:rsidR="00000000" w:rsidRPr="00D33D1C" w:rsidP="00D33D1C">
            <w:pPr>
              <w:pStyle w:val="BodyText"/>
            </w:pPr>
            <w:r w:rsidRPr="00D33D1C">
              <w:t>an aquatic facility</w:t>
            </w:r>
          </w:p>
          <w:p w:rsidR="00000000" w:rsidRPr="00D33D1C" w:rsidP="00D33D1C">
            <w:pPr>
              <w:pStyle w:val="BodyText"/>
            </w:pPr>
            <w:r w:rsidRPr="00D33D1C">
              <w:t>an effectively simulated work environment or industry approved training cent</w:t>
            </w:r>
            <w:r w:rsidRPr="00D33D1C">
              <w:t>re</w:t>
            </w:r>
          </w:p>
          <w:p w:rsidR="00000000" w:rsidRPr="00D33D1C" w:rsidP="00D33D1C">
            <w:pPr>
              <w:pStyle w:val="BodyText"/>
            </w:pPr>
            <w:r w:rsidRPr="00D33D1C">
              <w:t xml:space="preserve">Human resources - assessment of this unit of competency will require human resources consistent with those outlined in the Assessment Guidelines.  That is, assessors (or persons within the assessment team) must </w:t>
            </w:r>
          </w:p>
          <w:p w:rsidR="00000000" w:rsidRPr="00D33D1C" w:rsidP="00D33D1C">
            <w:pPr>
              <w:pStyle w:val="BodyText"/>
            </w:pPr>
            <w:r w:rsidRPr="00D33D1C">
              <w:t>be competent in this</w:t>
            </w:r>
            <w:r w:rsidRPr="00D33D1C">
              <w:t xml:space="preserve"> unit but preferably be competent in the unit at the level above </w:t>
            </w:r>
          </w:p>
          <w:p w:rsidR="00000000" w:rsidRPr="00D33D1C" w:rsidP="00D33D1C">
            <w:pPr>
              <w:pStyle w:val="BodyText"/>
            </w:pPr>
            <w:r w:rsidRPr="00D33D1C">
              <w:t>be current in their knowledge and understanding of the industry through provision of evidence of professional activity in the relevant area</w:t>
            </w:r>
          </w:p>
          <w:p w:rsidR="00000000" w:rsidRPr="00D33D1C" w:rsidP="00D33D1C">
            <w:pPr>
              <w:pStyle w:val="BodyText"/>
            </w:pPr>
            <w:r w:rsidRPr="00D33D1C">
              <w:t>have attained the mandatory competency requirement</w:t>
            </w:r>
            <w:r w:rsidRPr="00D33D1C">
              <w:t xml:space="preserve">s for assessors under the Australian Quality Training Framework (AQTF) as specified in Standard 7.3 of the </w:t>
            </w:r>
            <w:r w:rsidRPr="00D33D1C">
              <w:rPr>
                <w:rStyle w:val="SpecialBold"/>
              </w:rPr>
              <w:t>Standards for Registered Training Organisations</w:t>
            </w:r>
          </w:p>
        </w:tc>
      </w:tr>
    </w:tbl>
    <w:p w:rsidR="00000000" w:rsidRPr="00D33D1C" w:rsidP="00D33D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Consistency in performance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Competence in this unit must be assessed over a period of time in order </w:t>
            </w:r>
            <w:r w:rsidRPr="00D33D1C">
              <w:t>to ensure consistency of performance over the Range Statements and contexts applicable to the work environment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Context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This unit of competency must be assessed in the context of community recreation in Australia. For valid and reliable asse</w:t>
            </w:r>
            <w:r w:rsidRPr="00D33D1C">
              <w:t>ssment the community recreation activity should closely replicate the work environment. The environment should be safe, with the hazards, circumstances and equipment likely to be encountered in a real workplace</w:t>
            </w:r>
          </w:p>
          <w:p w:rsidR="00000000" w:rsidRPr="00D33D1C" w:rsidP="00D33D1C">
            <w:pPr>
              <w:pStyle w:val="BodyText"/>
            </w:pPr>
            <w:r w:rsidRPr="00D33D1C">
              <w:t>This unit of competence should be assessed th</w:t>
            </w:r>
            <w:r w:rsidRPr="00D33D1C">
              <w:t>rough the observation of processes and procedures, oral and/or written questioning on required knowledge and skills and consideration of required attitudes</w:t>
            </w:r>
          </w:p>
          <w:p w:rsidR="00000000" w:rsidRPr="00D33D1C" w:rsidP="00D33D1C">
            <w:pPr>
              <w:pStyle w:val="BodyText"/>
            </w:pPr>
            <w:r w:rsidRPr="00D33D1C">
              <w:t>Where performance is not directly observed and/or is required to be demonstrated over a "period of t</w:t>
            </w:r>
            <w:r w:rsidRPr="00D33D1C">
              <w:t xml:space="preserve">ime" and/or in a "number of locations", any evidence should be authenticated by colleagues, supervisors, clients or other appropriate persons </w:t>
            </w:r>
          </w:p>
        </w:tc>
      </w:tr>
    </w:tbl>
    <w:p w:rsidR="00000000" w:rsidRPr="00D33D1C" w:rsidP="00D33D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KEY COMPETENCIES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Collect, Analyse&amp;Organise 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Communicate Ideas&amp;Information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Plan&amp;Organise Activities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Work with Others&amp;in Teams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Use Mathematical Ideas&amp;Techniques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Solve Problems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Use Technology 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2 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 xml:space="preserve">These levels do not relate to the Australian Qualifications Framework. They relate to the seven areas of generic </w:t>
            </w:r>
            <w:r w:rsidRPr="00D33D1C">
              <w:t>competency that underpin effective workplace practices.</w:t>
            </w:r>
          </w:p>
          <w:p w:rsidR="00000000" w:rsidRPr="00D33D1C" w:rsidP="00D33D1C">
            <w:pPr>
              <w:pStyle w:val="BodyText"/>
            </w:pPr>
            <w:r w:rsidRPr="00D33D1C">
              <w:t>The three levels of performance (1, 2 and 3) denote the level of competency required to perform the task:</w:t>
            </w:r>
          </w:p>
          <w:p w:rsidR="00000000" w:rsidRPr="00D33D1C" w:rsidP="00D33D1C">
            <w:pPr>
              <w:pStyle w:val="BodyText"/>
            </w:pPr>
            <w:r w:rsidRPr="00D33D1C">
              <w:t>Use routine approaches</w:t>
            </w:r>
          </w:p>
          <w:p w:rsidR="00000000" w:rsidRPr="00D33D1C" w:rsidP="00D33D1C">
            <w:pPr>
              <w:pStyle w:val="BodyText"/>
            </w:pPr>
            <w:r w:rsidRPr="00D33D1C">
              <w:t>Select from routine approaches</w:t>
            </w:r>
          </w:p>
          <w:p w:rsidR="00000000" w:rsidRPr="00D33D1C" w:rsidP="00D33D1C">
            <w:pPr>
              <w:pStyle w:val="BodyText"/>
            </w:pPr>
            <w:r w:rsidRPr="00D33D1C">
              <w:t>Establish new approaches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Collecting</w:t>
            </w:r>
            <w:r w:rsidRPr="00D33D1C">
              <w:t xml:space="preserve">, </w:t>
            </w:r>
            <w:r w:rsidRPr="00D33D1C">
              <w:rPr>
                <w:rStyle w:val="SpecialBold"/>
              </w:rPr>
              <w:t>analysing and organising information</w:t>
            </w:r>
            <w:r w:rsidRPr="00D33D1C">
              <w:t xml:space="preserve"> -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Communicating ideas and information</w:t>
            </w:r>
            <w:r w:rsidRPr="00D33D1C">
              <w:t xml:space="preserve"> -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Planning and organising activities</w:t>
            </w:r>
            <w:r w:rsidRPr="00D33D1C">
              <w:t xml:space="preserve"> -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Working with teams and others</w:t>
            </w:r>
            <w:r w:rsidRPr="00D33D1C">
              <w:t xml:space="preserve"> -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Using mathematical ideas and techniques</w:t>
            </w:r>
            <w:r w:rsidRPr="00D33D1C">
              <w:t xml:space="preserve"> -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Solving problems</w:t>
            </w:r>
            <w:r w:rsidRPr="00D33D1C">
              <w:t xml:space="preserve"> -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Using technology</w:t>
            </w:r>
            <w:r w:rsidRPr="00D33D1C">
              <w:t xml:space="preserve"> - </w:t>
            </w:r>
          </w:p>
          <w:p w:rsidR="00000000" w:rsidRPr="00D33D1C" w:rsidP="00D33D1C">
            <w:pPr>
              <w:pStyle w:val="BodyText"/>
            </w:pPr>
            <w:r w:rsidRPr="00D33D1C">
              <w:t>Please refe</w:t>
            </w:r>
            <w:r w:rsidRPr="00D33D1C">
              <w:t xml:space="preserve">r to the Assessment Guidelines for advice on how to use the Key Competencies. </w:t>
            </w:r>
          </w:p>
        </w:tc>
      </w:tr>
    </w:tbl>
    <w:p w:rsidR="00000000" w:rsidRPr="00D33D1C" w:rsidP="00D33D1C">
      <w:pPr>
        <w:pStyle w:val="BodyText"/>
      </w:pP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11" w:name="O_321668"/>
      <w:bookmarkEnd w:id="11"/>
      <w:r w:rsidRPr="00D33D1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Range Statements</w:t>
            </w:r>
          </w:p>
          <w:p w:rsidR="00000000" w:rsidRPr="00D33D1C" w:rsidP="00D33D1C">
            <w:pPr>
              <w:pStyle w:val="BodyText"/>
            </w:pPr>
            <w:r w:rsidRPr="00D33D1C">
              <w:t>The Range Statements provide advice to interpret the scope and context of this unit of competence, allowing for differences b</w:t>
            </w:r>
            <w:r w:rsidRPr="00D33D1C">
              <w:t>etween enterprises and workplaces. The Range Statements relate to the unit as a whole and helps facilitate holistic assessment. In addition, the following variables may be present for this particular unit of competency</w:t>
            </w:r>
          </w:p>
        </w:tc>
      </w:tr>
    </w:tbl>
    <w:p w:rsidR="00000000" w:rsidRPr="00D33D1C" w:rsidP="00D33D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RANGE STATEMENT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CATEGORIES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Pool water quality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refers to</w:t>
            </w:r>
          </w:p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pool water that is maintained within the limits set by public health regulations for microbiological, disinfectant, pH and clarity levels 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Public health regulatory requirements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>may vary according to state/territory regulations</w:t>
            </w:r>
            <w:r w:rsidRPr="00D33D1C">
              <w:t xml:space="preserve"> but includes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Health Act</w:t>
            </w:r>
          </w:p>
          <w:p w:rsidR="00000000" w:rsidRPr="00D33D1C" w:rsidP="00D33D1C">
            <w:pPr>
              <w:pStyle w:val="BodyText"/>
            </w:pPr>
            <w:r w:rsidRPr="00D33D1C">
              <w:t>infectious diseases regulations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Dangerous goods Act</w:t>
            </w:r>
            <w:r w:rsidRPr="00D33D1C">
              <w:t xml:space="preserve"> and Regulations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Poisons Act</w:t>
            </w:r>
          </w:p>
          <w:p w:rsidR="00000000" w:rsidRPr="00D33D1C" w:rsidP="00D33D1C">
            <w:pPr>
              <w:pStyle w:val="BodyText"/>
            </w:pPr>
            <w:r w:rsidRPr="00D33D1C">
              <w:t>metropolitan water supply, sewerage and drainage by-laws</w:t>
            </w:r>
          </w:p>
          <w:p w:rsidR="00000000" w:rsidRPr="00D33D1C" w:rsidP="00D33D1C">
            <w:pPr>
              <w:pStyle w:val="BodyText"/>
            </w:pPr>
            <w:r w:rsidRPr="00D33D1C">
              <w:rPr>
                <w:rStyle w:val="SpecialBold"/>
              </w:rPr>
              <w:t>Occupational health and safety Act</w:t>
            </w:r>
            <w:r w:rsidRPr="00D33D1C">
              <w:t xml:space="preserve"> and Regulations</w:t>
            </w:r>
          </w:p>
          <w:p w:rsidR="00000000" w:rsidRPr="00D33D1C" w:rsidP="00D33D1C">
            <w:pPr>
              <w:pStyle w:val="BodyText"/>
            </w:pPr>
            <w:r w:rsidRPr="00D33D1C">
              <w:t>environment legislation</w:t>
            </w:r>
          </w:p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t xml:space="preserve">local government regulations </w:t>
            </w:r>
          </w:p>
        </w:tc>
      </w:tr>
      <w:tr w:rsidTr="008B6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1C">
            <w:pPr>
              <w:pStyle w:val="BodyText"/>
              <w:rPr>
                <w:lang w:val="en-NZ"/>
              </w:rPr>
            </w:pPr>
            <w:r w:rsidRPr="00D33D1C">
              <w:rPr>
                <w:rStyle w:val="SpecialBold"/>
              </w:rPr>
              <w:t>Routine poolwater tests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1C" w:rsidP="00D33D1C">
            <w:pPr>
              <w:pStyle w:val="BodyText"/>
            </w:pPr>
            <w:r w:rsidRPr="00D33D1C">
              <w:t xml:space="preserve">may include tests for </w:t>
            </w:r>
          </w:p>
          <w:p w:rsidR="00000000" w:rsidRPr="00D33D1C" w:rsidP="00D33D1C">
            <w:pPr>
              <w:pStyle w:val="BodyText"/>
            </w:pPr>
            <w:r w:rsidRPr="00D33D1C">
              <w:t>free chlorine</w:t>
            </w:r>
          </w:p>
          <w:p w:rsidR="00000000" w:rsidRPr="00D33D1C" w:rsidP="00D33D1C">
            <w:pPr>
              <w:pStyle w:val="BodyText"/>
            </w:pPr>
            <w:r w:rsidRPr="00D33D1C">
              <w:t>total bromine</w:t>
            </w:r>
          </w:p>
          <w:p w:rsidR="00000000" w:rsidRPr="00D33D1C" w:rsidP="00D33D1C">
            <w:pPr>
              <w:pStyle w:val="BodyText"/>
            </w:pPr>
            <w:r w:rsidRPr="00D33D1C">
              <w:t>total chlorine</w:t>
            </w:r>
          </w:p>
          <w:p w:rsidR="00000000" w:rsidRPr="00D33D1C" w:rsidP="00D33D1C">
            <w:pPr>
              <w:pStyle w:val="BodyText"/>
            </w:pPr>
            <w:r w:rsidRPr="00D33D1C">
              <w:t>combined chlorine</w:t>
            </w:r>
          </w:p>
          <w:p w:rsidR="00000000" w:rsidRPr="00D33D1C" w:rsidP="00D33D1C">
            <w:pPr>
              <w:pStyle w:val="BodyText"/>
            </w:pPr>
            <w:r w:rsidRPr="00D33D1C">
              <w:t>pH</w:t>
            </w:r>
          </w:p>
          <w:p w:rsidR="00000000" w:rsidRPr="00D33D1C" w:rsidP="00D33D1C">
            <w:pPr>
              <w:pStyle w:val="BodyText"/>
            </w:pPr>
            <w:r w:rsidRPr="00D33D1C">
              <w:t>alkalinity</w:t>
            </w:r>
          </w:p>
          <w:p w:rsidR="00000000" w:rsidRPr="00D33D1C" w:rsidP="00D33D1C">
            <w:pPr>
              <w:pStyle w:val="BodyText"/>
            </w:pPr>
            <w:r w:rsidRPr="00D33D1C">
              <w:t>cyanuric acid</w:t>
            </w:r>
          </w:p>
          <w:p w:rsidR="00000000" w:rsidRPr="00D33D1C" w:rsidP="00D33D1C">
            <w:pPr>
              <w:pStyle w:val="BodyText"/>
            </w:pPr>
            <w:r w:rsidRPr="00D33D1C">
              <w:t>calcium hardness</w:t>
            </w:r>
          </w:p>
          <w:p w:rsidR="00000000" w:rsidRPr="00D33D1C" w:rsidP="00D33D1C">
            <w:pPr>
              <w:pStyle w:val="BodyText"/>
            </w:pPr>
            <w:r w:rsidRPr="00D33D1C">
              <w:t>total hardness</w:t>
            </w:r>
          </w:p>
          <w:p w:rsidR="00000000" w:rsidRPr="00D33D1C" w:rsidP="00D33D1C">
            <w:pPr>
              <w:pStyle w:val="BodyText"/>
            </w:pPr>
            <w:r w:rsidRPr="00D33D1C">
              <w:t xml:space="preserve">temperature </w:t>
            </w:r>
          </w:p>
        </w:tc>
      </w:tr>
    </w:tbl>
    <w:p w:rsidR="00000000" w:rsidRPr="00D33D1C" w:rsidP="00D33D1C">
      <w:pPr>
        <w:pStyle w:val="BodyText"/>
      </w:pPr>
    </w:p>
    <w:p w:rsidR="00000000" w:rsidRPr="00D33D1C" w:rsidP="00D33D1C">
      <w:pPr>
        <w:pStyle w:val="AllowPageBreak"/>
      </w:pPr>
    </w:p>
    <w:p w:rsidR="00000000" w:rsidRPr="00D33D1C" w:rsidP="00D33D1C">
      <w:pPr>
        <w:pStyle w:val="Heading1"/>
      </w:pPr>
      <w:bookmarkStart w:id="12" w:name="O_321667"/>
      <w:bookmarkEnd w:id="12"/>
      <w:r w:rsidRPr="00D33D1C">
        <w:t>Unit Sector(s)</w:t>
      </w:r>
    </w:p>
    <w:p w:rsidR="00000000" w:rsidRPr="00D33D1C" w:rsidP="00D33D1C">
      <w:pPr>
        <w:pStyle w:val="BodyText"/>
      </w:pPr>
      <w:r w:rsidRPr="00D33D1C">
        <w:t>Not applic</w:t>
      </w:r>
      <w:r w:rsidRPr="00D33D1C">
        <w:t>able.</w:t>
      </w:r>
    </w:p>
    <w:p w:rsidR="00000000" w:rsidRPr="00D33D1C" w:rsidP="00D33D1C"/>
    <w:sectPr w:rsidSect="00D33D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6826" w:rsidP="008B6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826" w:rsidP="00D33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B6826" w:rsidP="00D33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B6826" w:rsidP="00D33D1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6826" w:rsidP="008B682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826" w:rsidP="00D33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SRCAQU001B Monitor pool water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B6826" w:rsidP="00D33D1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33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D1C"/>
  </w:style>
  <w:style w:type="character" w:customStyle="1" w:styleId="Heading1Char">
    <w:name w:val="Heading 1 Char"/>
    <w:basedOn w:val="DefaultParagraphFont"/>
    <w:link w:val="Heading1"/>
    <w:rsid w:val="00D33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D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D1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33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D1C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D33D1C"/>
    <w:rPr>
      <w:b/>
      <w:spacing w:val="0"/>
    </w:rPr>
  </w:style>
  <w:style w:type="paragraph" w:styleId="Header">
    <w:name w:val="header"/>
    <w:basedOn w:val="Normal"/>
    <w:link w:val="HeaderChar"/>
    <w:rsid w:val="00D33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33D1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33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D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33D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33D1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33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33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D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3D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3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D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D1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33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D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D1C"/>
    <w:rPr>
      <w:i/>
    </w:rPr>
  </w:style>
  <w:style w:type="paragraph" w:styleId="Caption">
    <w:name w:val="caption"/>
    <w:basedOn w:val="BodyText"/>
    <w:next w:val="Normal"/>
    <w:qFormat/>
    <w:rsid w:val="00D33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D1C"/>
  </w:style>
  <w:style w:type="paragraph" w:styleId="TableofFigures">
    <w:name w:val="table of figures"/>
    <w:basedOn w:val="Normal"/>
    <w:next w:val="Normal"/>
    <w:semiHidden/>
    <w:rsid w:val="00D33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D1C"/>
    <w:pPr>
      <w:numPr>
        <w:numId w:val="9"/>
      </w:numPr>
    </w:pPr>
  </w:style>
  <w:style w:type="character" w:customStyle="1" w:styleId="WingdingSymbols">
    <w:name w:val="Wingding Symbols"/>
    <w:rsid w:val="00D33D1C"/>
    <w:rPr>
      <w:rFonts w:ascii="Wingdings" w:hAnsi="Wingdings"/>
    </w:rPr>
  </w:style>
  <w:style w:type="paragraph" w:customStyle="1" w:styleId="TableHeading">
    <w:name w:val="Table Heading"/>
    <w:basedOn w:val="HeadingBase"/>
    <w:rsid w:val="00D33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D1C"/>
    <w:rPr>
      <w:color w:val="0033CC"/>
      <w:u w:val="none"/>
    </w:rPr>
  </w:style>
  <w:style w:type="paragraph" w:customStyle="1" w:styleId="BodyTextRight">
    <w:name w:val="Body Text Right"/>
    <w:basedOn w:val="BodyText"/>
    <w:rsid w:val="00D33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D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D1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33D1C"/>
    <w:rPr>
      <w:sz w:val="32"/>
    </w:rPr>
  </w:style>
  <w:style w:type="paragraph" w:customStyle="1" w:styleId="HeadingProcedure">
    <w:name w:val="Heading Procedure"/>
    <w:basedOn w:val="HeadingBase"/>
    <w:next w:val="Normal"/>
    <w:rsid w:val="00D33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D1C"/>
    <w:pPr>
      <w:spacing w:before="60" w:after="60"/>
    </w:pPr>
  </w:style>
  <w:style w:type="paragraph" w:styleId="ListContinue">
    <w:name w:val="List Continue"/>
    <w:basedOn w:val="List"/>
    <w:rsid w:val="00D33D1C"/>
    <w:pPr>
      <w:ind w:firstLine="0"/>
    </w:pPr>
  </w:style>
  <w:style w:type="paragraph" w:customStyle="1" w:styleId="ListNote">
    <w:name w:val="List Note"/>
    <w:basedOn w:val="List"/>
    <w:rsid w:val="00D33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D1C"/>
    <w:rPr>
      <w:rFonts w:ascii="Courier New" w:hAnsi="Courier New"/>
    </w:rPr>
  </w:style>
  <w:style w:type="paragraph" w:customStyle="1" w:styleId="NoteBullet">
    <w:name w:val="Note Bullet"/>
    <w:basedOn w:val="Note"/>
    <w:rsid w:val="00D33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D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3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D1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33D1C"/>
    <w:rPr>
      <w:b/>
      <w:smallCaps/>
    </w:rPr>
  </w:style>
  <w:style w:type="paragraph" w:customStyle="1" w:styleId="TableListNumber">
    <w:name w:val="Table List Number"/>
    <w:basedOn w:val="ListNumber"/>
    <w:rsid w:val="00D33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D1C"/>
    <w:pPr>
      <w:numPr>
        <w:numId w:val="7"/>
      </w:numPr>
    </w:pPr>
  </w:style>
  <w:style w:type="paragraph" w:customStyle="1" w:styleId="ListAlpha2">
    <w:name w:val="List Alpha 2"/>
    <w:basedOn w:val="List2"/>
    <w:rsid w:val="00D33D1C"/>
    <w:pPr>
      <w:numPr>
        <w:numId w:val="6"/>
      </w:numPr>
    </w:pPr>
  </w:style>
  <w:style w:type="paragraph" w:styleId="List2">
    <w:name w:val="List 2"/>
    <w:basedOn w:val="BodyText"/>
    <w:rsid w:val="00D33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D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D1C"/>
    <w:pPr>
      <w:numPr>
        <w:numId w:val="1"/>
      </w:numPr>
    </w:pPr>
  </w:style>
  <w:style w:type="paragraph" w:styleId="ListBullet5">
    <w:name w:val="List Bullet 5"/>
    <w:basedOn w:val="List5"/>
    <w:rsid w:val="00D33D1C"/>
    <w:pPr>
      <w:numPr>
        <w:numId w:val="2"/>
      </w:numPr>
    </w:pPr>
  </w:style>
  <w:style w:type="paragraph" w:styleId="ListContinue2">
    <w:name w:val="List Continue 2"/>
    <w:basedOn w:val="List2"/>
    <w:rsid w:val="00D33D1C"/>
    <w:pPr>
      <w:ind w:firstLine="0"/>
    </w:pPr>
  </w:style>
  <w:style w:type="paragraph" w:styleId="ListContinue3">
    <w:name w:val="List Continue 3"/>
    <w:basedOn w:val="List3"/>
    <w:rsid w:val="00D33D1C"/>
    <w:pPr>
      <w:ind w:left="1021" w:firstLine="0"/>
    </w:pPr>
  </w:style>
  <w:style w:type="paragraph" w:styleId="ListContinue4">
    <w:name w:val="List Continue 4"/>
    <w:basedOn w:val="List4"/>
    <w:rsid w:val="00D33D1C"/>
    <w:pPr>
      <w:ind w:firstLine="0"/>
    </w:pPr>
  </w:style>
  <w:style w:type="paragraph" w:styleId="ListContinue5">
    <w:name w:val="List Continue 5"/>
    <w:basedOn w:val="List5"/>
    <w:rsid w:val="00D33D1C"/>
    <w:pPr>
      <w:ind w:firstLine="0"/>
    </w:pPr>
  </w:style>
  <w:style w:type="paragraph" w:styleId="ListNumber3">
    <w:name w:val="List Number 3"/>
    <w:basedOn w:val="List3"/>
    <w:rsid w:val="00D33D1C"/>
    <w:pPr>
      <w:numPr>
        <w:numId w:val="3"/>
      </w:numPr>
    </w:pPr>
  </w:style>
  <w:style w:type="paragraph" w:styleId="ListNumber4">
    <w:name w:val="List Number 4"/>
    <w:basedOn w:val="List4"/>
    <w:rsid w:val="00D33D1C"/>
    <w:pPr>
      <w:numPr>
        <w:numId w:val="4"/>
      </w:numPr>
    </w:pPr>
  </w:style>
  <w:style w:type="paragraph" w:styleId="ListNumber5">
    <w:name w:val="List Number 5"/>
    <w:basedOn w:val="List5"/>
    <w:rsid w:val="00D33D1C"/>
    <w:pPr>
      <w:numPr>
        <w:numId w:val="5"/>
      </w:numPr>
    </w:pPr>
  </w:style>
  <w:style w:type="paragraph" w:styleId="BlockText">
    <w:name w:val="Block Text"/>
    <w:basedOn w:val="Normal"/>
    <w:rsid w:val="00D33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D1C"/>
    <w:rPr>
      <w:sz w:val="16"/>
      <w:vertAlign w:val="superscript"/>
    </w:rPr>
  </w:style>
  <w:style w:type="character" w:customStyle="1" w:styleId="Symbols">
    <w:name w:val="Symbols"/>
    <w:basedOn w:val="DefaultParagraphFont"/>
    <w:rsid w:val="00D33D1C"/>
    <w:rPr>
      <w:rFonts w:ascii="Symbol" w:hAnsi="Symbol"/>
    </w:rPr>
  </w:style>
  <w:style w:type="character" w:customStyle="1" w:styleId="MenuOptions">
    <w:name w:val="Menu Options"/>
    <w:basedOn w:val="DefaultParagraphFont"/>
    <w:rsid w:val="00D33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D1C"/>
    <w:rPr>
      <w:b/>
    </w:rPr>
  </w:style>
  <w:style w:type="character" w:customStyle="1" w:styleId="Underlined">
    <w:name w:val="Underlined"/>
    <w:basedOn w:val="DefaultParagraphFont"/>
    <w:rsid w:val="00D33D1C"/>
    <w:rPr>
      <w:u w:val="single"/>
    </w:rPr>
  </w:style>
  <w:style w:type="paragraph" w:customStyle="1" w:styleId="TableBodyTextRight">
    <w:name w:val="Table Body Text Right"/>
    <w:basedOn w:val="TableBodyText"/>
    <w:rsid w:val="00D33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D1C"/>
    <w:rPr>
      <w:sz w:val="18"/>
    </w:rPr>
  </w:style>
  <w:style w:type="paragraph" w:customStyle="1" w:styleId="BodySmallRight">
    <w:name w:val="Body Small Right"/>
    <w:basedOn w:val="BodyTextRight"/>
    <w:rsid w:val="00D33D1C"/>
    <w:rPr>
      <w:sz w:val="18"/>
      <w:szCs w:val="18"/>
    </w:rPr>
  </w:style>
  <w:style w:type="paragraph" w:customStyle="1" w:styleId="MarginEdition">
    <w:name w:val="Margin Edition"/>
    <w:basedOn w:val="MarginNote"/>
    <w:rsid w:val="00D33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D1C"/>
    <w:rPr>
      <w:sz w:val="2"/>
      <w:szCs w:val="2"/>
    </w:rPr>
  </w:style>
  <w:style w:type="character" w:customStyle="1" w:styleId="Small">
    <w:name w:val="Small"/>
    <w:basedOn w:val="DefaultParagraphFont"/>
    <w:rsid w:val="00D33D1C"/>
    <w:rPr>
      <w:sz w:val="16"/>
    </w:rPr>
  </w:style>
  <w:style w:type="paragraph" w:customStyle="1" w:styleId="WideTable">
    <w:name w:val="Wide Table"/>
    <w:basedOn w:val="Normal"/>
    <w:rsid w:val="00D33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D1C"/>
  </w:style>
  <w:style w:type="paragraph" w:styleId="Quote">
    <w:name w:val="Quote"/>
    <w:basedOn w:val="Heading1"/>
    <w:link w:val="QuoteChar"/>
    <w:qFormat/>
    <w:rsid w:val="00D33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D1C"/>
    <w:pPr>
      <w:pageBreakBefore/>
    </w:pPr>
  </w:style>
  <w:style w:type="paragraph" w:customStyle="1" w:styleId="Border">
    <w:name w:val="Border"/>
    <w:basedOn w:val="Normal"/>
    <w:qFormat/>
    <w:rsid w:val="00D33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D1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33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D1C"/>
    <w:rPr>
      <w:u w:val="single"/>
    </w:rPr>
  </w:style>
  <w:style w:type="character" w:customStyle="1" w:styleId="BoldandItalics">
    <w:name w:val="Bold and Italics"/>
    <w:qFormat/>
    <w:rsid w:val="00D33D1C"/>
    <w:rPr>
      <w:b/>
      <w:i/>
      <w:u w:val="none"/>
    </w:rPr>
  </w:style>
  <w:style w:type="paragraph" w:styleId="BalloonText">
    <w:name w:val="Balloon Text"/>
    <w:basedOn w:val="Normal"/>
    <w:link w:val="BalloonTextChar"/>
    <w:rsid w:val="00D33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D1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33D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D1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957</Words>
  <Characters>5851</Characters>
  <Application>Microsoft Office Word</Application>
  <DocSecurity>0</DocSecurity>
  <Lines>319</Lines>
  <Paragraphs>137</Paragraphs>
  <ScaleCrop>false</ScaleCrop>
  <Company>Author-it Software Corporation Ltd.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SRCAQU001B Monitor pool water quality</dc:title>
  <dc:subject>Approved</dc:subject>
  <dc:creator>Service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2012-05-26T21:36:00Z</dcterms:created>
  <dcterms:modified xsi:type="dcterms:W3CDTF">2012-05-26T21:36:00Z</dcterms:modified>
</cp:coreProperties>
</file>