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94688" w:rsidP="00D94688">
      <w:pPr>
        <w:pStyle w:val="Title"/>
      </w:pPr>
      <w:r>
        <w:fldChar w:fldCharType="begin"/>
      </w:r>
      <w:r>
        <w:instrText xml:space="preserve"> TITLE   \* MERGEFORMAT </w:instrText>
      </w:r>
      <w:r>
        <w:fldChar w:fldCharType="separate"/>
      </w:r>
      <w:r>
        <w:t>SITXGLC501 Research and comply with regulatory requirements</w:t>
      </w:r>
      <w:r>
        <w:fldChar w:fldCharType="end"/>
      </w:r>
    </w:p>
    <w:p w:rsidR="00D94688" w:rsidP="00D94688">
      <w:pPr>
        <w:pStyle w:val="Version"/>
        <w:sectPr w:rsidSect="0006157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06157C" w:rsidP="0006157C">
      <w:pPr>
        <w:pStyle w:val="SuperHeading"/>
      </w:pPr>
      <w:r w:rsidRPr="0006157C">
        <w:t>SITXGLC501 Research and comply with regulatory requirements</w:t>
      </w:r>
    </w:p>
    <w:p w:rsidR="00000000" w:rsidRPr="0006157C" w:rsidP="0006157C">
      <w:pPr>
        <w:pStyle w:val="Heading1"/>
      </w:pPr>
      <w:bookmarkStart w:id="1" w:name="O_613744"/>
      <w:bookmarkEnd w:id="1"/>
      <w:r w:rsidRPr="0006157C">
        <w:t>Modification History</w:t>
      </w:r>
    </w:p>
    <w:p w:rsidR="00000000" w:rsidRPr="0006157C" w:rsidP="0006157C">
      <w:pPr>
        <w:pStyle w:val="BodyText"/>
      </w:pPr>
      <w:r w:rsidRPr="0006157C">
        <w:t>The version details of this endorsed unit of competency set are in the table below. The latest information is at the top.</w:t>
      </w:r>
    </w:p>
    <w:tbl>
      <w:tblPr>
        <w:tblW w:w="0" w:type="auto"/>
        <w:tblCellMar>
          <w:left w:w="62" w:type="dxa"/>
          <w:right w:w="62" w:type="dxa"/>
        </w:tblCellMar>
        <w:tblLook w:val="0000"/>
      </w:tblPr>
      <w:tblGrid>
        <w:gridCol w:w="924"/>
        <w:gridCol w:w="8272"/>
      </w:tblGrid>
      <w:tr w:rsidTr="00D94688">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6157C" w:rsidP="0006157C">
            <w:pPr>
              <w:pStyle w:val="BodyText"/>
            </w:pPr>
            <w:r w:rsidRPr="0006157C">
              <w:rPr>
                <w:rStyle w:val="SpecialBold"/>
              </w:rPr>
              <w:t>Version</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6157C">
            <w:pPr>
              <w:pStyle w:val="BodyText"/>
              <w:rPr>
                <w:lang w:val="en-NZ"/>
              </w:rPr>
            </w:pPr>
            <w:r w:rsidRPr="0006157C">
              <w:rPr>
                <w:rStyle w:val="SpecialBold"/>
              </w:rPr>
              <w:t>Comments</w:t>
            </w:r>
          </w:p>
        </w:tc>
      </w:tr>
      <w:tr w:rsidTr="00D94688">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6157C">
            <w:pPr>
              <w:pStyle w:val="BodyText"/>
              <w:rPr>
                <w:lang w:val="en-NZ"/>
              </w:rPr>
            </w:pPr>
            <w:r w:rsidRPr="0006157C">
              <w:t>2.0</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6157C">
            <w:pPr>
              <w:pStyle w:val="BodyText"/>
              <w:rPr>
                <w:lang w:val="en-NZ"/>
              </w:rPr>
            </w:pPr>
            <w:r w:rsidRPr="0006157C">
              <w:t>Editorial corrections.</w:t>
            </w:r>
          </w:p>
        </w:tc>
      </w:tr>
      <w:tr w:rsidTr="00D94688">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6157C">
            <w:pPr>
              <w:pStyle w:val="BodyText"/>
              <w:rPr>
                <w:lang w:val="en-NZ"/>
              </w:rPr>
            </w:pPr>
            <w:r w:rsidRPr="0006157C">
              <w:t>1.0</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6157C" w:rsidP="0006157C">
            <w:pPr>
              <w:pStyle w:val="BodyText"/>
            </w:pPr>
            <w:r w:rsidRPr="0006157C">
              <w:t>E</w:t>
            </w:r>
          </w:p>
          <w:p w:rsidR="00000000" w:rsidRPr="0006157C" w:rsidP="0006157C">
            <w:pPr>
              <w:pStyle w:val="BodyText"/>
            </w:pPr>
            <w:r w:rsidRPr="0006157C">
              <w:t>Replaces and is equivalent to SITXGLC001A Dev</w:t>
            </w:r>
            <w:r w:rsidRPr="0006157C">
              <w:t>elop and update legal knowledge required for business compliance.</w:t>
            </w:r>
          </w:p>
          <w:p w:rsidR="00000000" w:rsidRPr="0006157C" w:rsidP="0006157C">
            <w:pPr>
              <w:pStyle w:val="BodyText"/>
            </w:pPr>
            <w:r w:rsidRPr="0006157C">
              <w:t>Title changed to better reflect the intent and content of the unit. Re-worked Elements, Performance Criteria, Required Skills and Knowledge to more fully articulate content.</w:t>
            </w:r>
          </w:p>
        </w:tc>
      </w:tr>
    </w:tbl>
    <w:p w:rsidR="00000000" w:rsidRPr="0006157C" w:rsidP="0006157C">
      <w:pPr>
        <w:pStyle w:val="BodyText"/>
      </w:pPr>
    </w:p>
    <w:p w:rsidR="00000000" w:rsidRPr="0006157C" w:rsidP="0006157C">
      <w:pPr>
        <w:pStyle w:val="AllowPageBreak"/>
      </w:pPr>
    </w:p>
    <w:p w:rsidR="00000000" w:rsidRPr="0006157C" w:rsidP="0006157C">
      <w:pPr>
        <w:pStyle w:val="Heading1"/>
      </w:pPr>
      <w:bookmarkStart w:id="2" w:name="O_613743"/>
      <w:bookmarkEnd w:id="2"/>
      <w:r w:rsidRPr="0006157C">
        <w:t>Unit Descriptor</w:t>
      </w:r>
    </w:p>
    <w:p w:rsidR="00000000" w:rsidRPr="0006157C" w:rsidP="0006157C">
      <w:pPr>
        <w:pStyle w:val="BodyText"/>
      </w:pPr>
      <w:r w:rsidRPr="0006157C">
        <w:t>This unit describes the performance outcomes, skills and knowledge required to comply with laws and licensing requirements for specific business operations. It requires the ability to access and interpret regulatory information, determin</w:t>
      </w:r>
      <w:r w:rsidRPr="0006157C">
        <w:t xml:space="preserve">e scope of compliance, develop, implement and continuously review and update policies and practices for business compliance. </w:t>
      </w:r>
    </w:p>
    <w:p w:rsidR="00000000" w:rsidRPr="0006157C" w:rsidP="0006157C">
      <w:pPr>
        <w:pStyle w:val="AllowPageBreak"/>
      </w:pPr>
    </w:p>
    <w:p w:rsidR="00000000" w:rsidRPr="0006157C" w:rsidP="0006157C">
      <w:pPr>
        <w:pStyle w:val="Heading1"/>
      </w:pPr>
      <w:bookmarkStart w:id="3" w:name="O_613742"/>
      <w:bookmarkEnd w:id="3"/>
      <w:r w:rsidRPr="0006157C">
        <w:t>Application of the Unit</w:t>
      </w:r>
    </w:p>
    <w:p w:rsidR="00000000" w:rsidRPr="0006157C" w:rsidP="0006157C">
      <w:pPr>
        <w:pStyle w:val="BodyText"/>
      </w:pPr>
      <w:r w:rsidRPr="0006157C">
        <w:t>This unit applies to regulatory requirements for day-to-day business operations in the to</w:t>
      </w:r>
      <w:r w:rsidRPr="0006157C">
        <w:t>urism, travel, hospitality and event industries and to special requirements for one-off events.</w:t>
      </w:r>
    </w:p>
    <w:p w:rsidR="00000000" w:rsidRPr="0006157C" w:rsidP="0006157C">
      <w:pPr>
        <w:pStyle w:val="BodyText"/>
      </w:pPr>
      <w:r w:rsidRPr="0006157C">
        <w:t xml:space="preserve">It applies to senior </w:t>
      </w:r>
      <w:r w:rsidRPr="0006157C">
        <w:t>personnel who operate independently or with limited guidance from others and who are responsible for making a range of operational business and regulatory compliance decisions.</w:t>
      </w:r>
    </w:p>
    <w:p w:rsidR="00000000" w:rsidRPr="0006157C" w:rsidP="0006157C">
      <w:pPr>
        <w:pStyle w:val="AllowPageBreak"/>
      </w:pPr>
    </w:p>
    <w:p w:rsidR="00000000" w:rsidRPr="0006157C" w:rsidP="0006157C">
      <w:pPr>
        <w:pStyle w:val="Heading1"/>
      </w:pPr>
      <w:bookmarkStart w:id="4" w:name="O_613741"/>
      <w:bookmarkEnd w:id="4"/>
      <w:r w:rsidRPr="0006157C">
        <w:t>Licensing/Regulatory Information</w:t>
      </w:r>
    </w:p>
    <w:p w:rsidR="00000000" w:rsidRPr="0006157C" w:rsidP="0006157C">
      <w:pPr>
        <w:pStyle w:val="BodyText"/>
      </w:pPr>
      <w:r w:rsidRPr="0006157C">
        <w:t>No licensing, legislative, re</w:t>
      </w:r>
      <w:r w:rsidRPr="0006157C">
        <w:t>gulatory or certification requirements apply to this unit at the time of endorsement.</w:t>
      </w:r>
    </w:p>
    <w:p w:rsidR="00000000" w:rsidRPr="0006157C" w:rsidP="0006157C">
      <w:pPr>
        <w:pStyle w:val="AllowPageBreak"/>
      </w:pPr>
    </w:p>
    <w:p w:rsidR="00000000" w:rsidRPr="0006157C" w:rsidP="0006157C">
      <w:pPr>
        <w:pStyle w:val="Heading1"/>
      </w:pPr>
      <w:bookmarkStart w:id="5" w:name="O_613740"/>
      <w:bookmarkEnd w:id="5"/>
      <w:r w:rsidRPr="0006157C">
        <w:t>Pre-Requisites</w:t>
      </w:r>
    </w:p>
    <w:p w:rsidR="00000000" w:rsidRPr="0006157C" w:rsidP="0006157C">
      <w:pPr>
        <w:pStyle w:val="BodyText"/>
      </w:pPr>
      <w:r w:rsidRPr="0006157C">
        <w:t>Not applicable.</w:t>
      </w:r>
    </w:p>
    <w:p w:rsidR="00000000" w:rsidRPr="0006157C" w:rsidP="0006157C">
      <w:pPr>
        <w:pStyle w:val="AllowPageBreak"/>
      </w:pPr>
    </w:p>
    <w:p w:rsidR="00000000" w:rsidRPr="0006157C" w:rsidP="0006157C">
      <w:pPr>
        <w:pStyle w:val="Heading1"/>
      </w:pPr>
      <w:bookmarkStart w:id="6" w:name="O_613739"/>
      <w:bookmarkEnd w:id="6"/>
      <w:r w:rsidRPr="0006157C">
        <w:t>Employability Skills Information</w:t>
      </w:r>
    </w:p>
    <w:p w:rsidR="00000000" w:rsidRPr="0006157C" w:rsidP="0006157C">
      <w:pPr>
        <w:pStyle w:val="BodyText"/>
      </w:pPr>
      <w:r w:rsidRPr="0006157C">
        <w:t>This unit contains employability skills.</w:t>
      </w:r>
    </w:p>
    <w:p w:rsidR="00000000" w:rsidRPr="0006157C" w:rsidP="0006157C">
      <w:pPr>
        <w:pStyle w:val="AllowPageBreak"/>
      </w:pPr>
    </w:p>
    <w:p w:rsidR="00000000" w:rsidRPr="0006157C" w:rsidP="0006157C">
      <w:pPr>
        <w:pStyle w:val="Heading1"/>
      </w:pPr>
      <w:bookmarkStart w:id="7" w:name="O_613738"/>
      <w:bookmarkEnd w:id="7"/>
      <w:r w:rsidRPr="0006157C">
        <w:t>Elements and P</w:t>
      </w:r>
      <w:r w:rsidRPr="0006157C">
        <w:t>erformance Criteria Pre-Content</w:t>
      </w:r>
    </w:p>
    <w:p w:rsidR="00000000" w:rsidRPr="0006157C" w:rsidP="0006157C">
      <w:pPr>
        <w:pStyle w:val="BodyText"/>
      </w:pPr>
      <w:r w:rsidRPr="0006157C">
        <w:t>Not applicable.</w:t>
      </w:r>
    </w:p>
    <w:p w:rsidR="00000000" w:rsidRPr="0006157C" w:rsidP="0006157C">
      <w:pPr>
        <w:pStyle w:val="AllowPageBreak"/>
      </w:pPr>
    </w:p>
    <w:p w:rsidR="00000000" w:rsidRPr="0006157C" w:rsidP="0006157C">
      <w:pPr>
        <w:pStyle w:val="Heading1"/>
      </w:pPr>
      <w:bookmarkStart w:id="8" w:name="O_613737"/>
      <w:bookmarkEnd w:id="8"/>
      <w:r w:rsidRPr="0006157C">
        <w:t>Elements and Performance Criteria</w:t>
      </w:r>
    </w:p>
    <w:tbl>
      <w:tblPr>
        <w:tblW w:w="0" w:type="auto"/>
        <w:tblCellMar>
          <w:left w:w="62" w:type="dxa"/>
          <w:right w:w="62" w:type="dxa"/>
        </w:tblCellMar>
        <w:tblLook w:val="0000"/>
      </w:tblPr>
      <w:tblGrid>
        <w:gridCol w:w="2527"/>
        <w:gridCol w:w="6669"/>
      </w:tblGrid>
      <w:tr w:rsidTr="00D9468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6157C">
            <w:pPr>
              <w:pStyle w:val="BodyText"/>
              <w:rPr>
                <w:lang w:val="en-NZ"/>
              </w:rPr>
            </w:pPr>
            <w:r w:rsidRPr="0006157C">
              <w:t>Elements describe the essential outcomes of a unit of competency.</w:t>
            </w:r>
          </w:p>
        </w:tc>
        <w:tc>
          <w:tcPr>
            <w:tcW w:w="0" w:type="auto"/>
            <w:tcBorders>
              <w:top w:val="nil"/>
              <w:left w:val="nil"/>
              <w:bottom w:val="nil"/>
              <w:right w:val="nil"/>
            </w:tcBorders>
            <w:tcMar>
              <w:top w:w="0" w:type="dxa"/>
              <w:left w:w="62" w:type="dxa"/>
              <w:bottom w:w="0" w:type="dxa"/>
              <w:right w:w="62" w:type="dxa"/>
            </w:tcMar>
          </w:tcPr>
          <w:p w:rsidR="00000000" w:rsidP="0006157C">
            <w:pPr>
              <w:pStyle w:val="BodyText"/>
              <w:rPr>
                <w:lang w:val="en-NZ"/>
              </w:rPr>
            </w:pPr>
            <w:r w:rsidRPr="0006157C">
              <w:t>Performance criteria describe the performance needed to demonstrate achievement of the elem</w:t>
            </w:r>
            <w:r w:rsidRPr="0006157C">
              <w:t>ent. Where bold italicised text is used, further information is detailed in the required skills and knowledge section and the range statement. Assessment of performance is to be consistent with the evidence guide.</w:t>
            </w:r>
          </w:p>
        </w:tc>
      </w:tr>
      <w:tr w:rsidTr="00D9468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6157C">
            <w:pPr>
              <w:pStyle w:val="List"/>
              <w:rPr>
                <w:lang w:val="en-NZ"/>
              </w:rPr>
            </w:pPr>
            <w:r w:rsidRPr="0006157C">
              <w:t>1.</w:t>
            </w:r>
            <w:r w:rsidRPr="0006157C">
              <w:tab/>
              <w:t>Research information required for lega</w:t>
            </w:r>
            <w:r w:rsidRPr="0006157C">
              <w:t>l compliance.</w:t>
            </w:r>
          </w:p>
        </w:tc>
        <w:tc>
          <w:tcPr>
            <w:tcW w:w="0" w:type="auto"/>
            <w:tcBorders>
              <w:top w:val="nil"/>
              <w:left w:val="nil"/>
              <w:bottom w:val="nil"/>
              <w:right w:val="nil"/>
            </w:tcBorders>
            <w:tcMar>
              <w:top w:w="0" w:type="dxa"/>
              <w:left w:w="62" w:type="dxa"/>
              <w:bottom w:w="0" w:type="dxa"/>
              <w:right w:w="62" w:type="dxa"/>
            </w:tcMar>
          </w:tcPr>
          <w:p w:rsidR="00000000" w:rsidRPr="0006157C" w:rsidP="0006157C">
            <w:pPr>
              <w:pStyle w:val="List2"/>
            </w:pPr>
            <w:r w:rsidRPr="0006157C">
              <w:t>1.1</w:t>
            </w:r>
            <w:r w:rsidRPr="0006157C">
              <w:tab/>
              <w:t xml:space="preserve">Identify </w:t>
            </w:r>
            <w:r w:rsidRPr="0006157C">
              <w:rPr>
                <w:rStyle w:val="BoldandItalics"/>
              </w:rPr>
              <w:t>sources of information</w:t>
            </w:r>
            <w:r w:rsidRPr="0006157C">
              <w:t xml:space="preserve"> for compliance with </w:t>
            </w:r>
            <w:r w:rsidRPr="0006157C">
              <w:rPr>
                <w:rStyle w:val="BoldandItalics"/>
              </w:rPr>
              <w:t>laws and licensing</w:t>
            </w:r>
            <w:r w:rsidRPr="0006157C">
              <w:t xml:space="preserve"> for business operations.</w:t>
            </w:r>
          </w:p>
          <w:p w:rsidR="00000000" w:rsidRPr="0006157C" w:rsidP="0006157C">
            <w:pPr>
              <w:pStyle w:val="List2"/>
            </w:pPr>
            <w:r w:rsidRPr="0006157C">
              <w:t>1.2</w:t>
            </w:r>
            <w:r w:rsidRPr="0006157C">
              <w:tab/>
              <w:t>Evaluate areas of business operation and determine scope of compliance requirements.</w:t>
            </w:r>
          </w:p>
          <w:p w:rsidR="00000000" w:rsidRPr="0006157C" w:rsidP="0006157C">
            <w:pPr>
              <w:pStyle w:val="List2"/>
            </w:pPr>
            <w:r w:rsidRPr="0006157C">
              <w:t>1.3</w:t>
            </w:r>
            <w:r w:rsidRPr="0006157C">
              <w:tab/>
            </w:r>
            <w:r w:rsidRPr="0006157C">
              <w:t xml:space="preserve">Access regulatory information relevant to specific </w:t>
            </w:r>
            <w:r w:rsidRPr="0006157C">
              <w:rPr>
                <w:rStyle w:val="BoldandItalics"/>
              </w:rPr>
              <w:t>business operation</w:t>
            </w:r>
            <w:r w:rsidRPr="0006157C">
              <w:t>.</w:t>
            </w:r>
          </w:p>
          <w:p w:rsidR="00000000" w:rsidRPr="0006157C" w:rsidP="0006157C">
            <w:pPr>
              <w:pStyle w:val="List2"/>
            </w:pPr>
            <w:r w:rsidRPr="0006157C">
              <w:t>1.4</w:t>
            </w:r>
            <w:r w:rsidRPr="0006157C">
              <w:tab/>
              <w:t>Identify risks, penalties and consequences of non compliance.</w:t>
            </w:r>
          </w:p>
          <w:p w:rsidR="00000000" w:rsidP="0006157C">
            <w:pPr>
              <w:pStyle w:val="List2"/>
              <w:rPr>
                <w:lang w:val="en-NZ"/>
              </w:rPr>
            </w:pPr>
            <w:r w:rsidRPr="0006157C">
              <w:t>1.5</w:t>
            </w:r>
            <w:r w:rsidRPr="0006157C">
              <w:tab/>
              <w:t xml:space="preserve">Assess and act on need for </w:t>
            </w:r>
            <w:r w:rsidRPr="0006157C">
              <w:rPr>
                <w:rStyle w:val="BoldandItalics"/>
              </w:rPr>
              <w:t>specialist legal advice</w:t>
            </w:r>
            <w:r w:rsidRPr="0006157C">
              <w:t>.</w:t>
            </w:r>
          </w:p>
        </w:tc>
      </w:tr>
      <w:tr w:rsidTr="00D94688">
        <w:tblPrEx>
          <w:tblW w:w="0" w:type="auto"/>
          <w:tblCellMar>
            <w:left w:w="62" w:type="dxa"/>
            <w:right w:w="62" w:type="dxa"/>
          </w:tblCellMar>
          <w:tblLook w:val="0000"/>
        </w:tblPrEx>
        <w:trPr>
          <w:trHeight w:val="2107"/>
        </w:trPr>
        <w:tc>
          <w:tcPr>
            <w:tcW w:w="0" w:type="auto"/>
            <w:tcBorders>
              <w:top w:val="nil"/>
              <w:left w:val="nil"/>
              <w:bottom w:val="nil"/>
              <w:right w:val="nil"/>
            </w:tcBorders>
            <w:tcMar>
              <w:top w:w="0" w:type="dxa"/>
              <w:left w:w="62" w:type="dxa"/>
              <w:bottom w:w="0" w:type="dxa"/>
              <w:right w:w="62" w:type="dxa"/>
            </w:tcMar>
          </w:tcPr>
          <w:p w:rsidR="00000000" w:rsidP="0006157C">
            <w:pPr>
              <w:pStyle w:val="List"/>
              <w:rPr>
                <w:lang w:val="en-NZ"/>
              </w:rPr>
            </w:pPr>
            <w:r w:rsidRPr="0006157C">
              <w:t>2.</w:t>
            </w:r>
            <w:r w:rsidRPr="0006157C">
              <w:tab/>
              <w:t>Develop and communicate policies and procedures for legal c</w:t>
            </w:r>
            <w:r w:rsidRPr="0006157C">
              <w:t>ompliance.</w:t>
            </w:r>
          </w:p>
        </w:tc>
        <w:tc>
          <w:tcPr>
            <w:tcW w:w="0" w:type="auto"/>
            <w:tcBorders>
              <w:top w:val="nil"/>
              <w:left w:val="nil"/>
              <w:bottom w:val="nil"/>
              <w:right w:val="nil"/>
            </w:tcBorders>
            <w:tcMar>
              <w:top w:w="0" w:type="dxa"/>
              <w:left w:w="62" w:type="dxa"/>
              <w:bottom w:w="0" w:type="dxa"/>
              <w:right w:w="62" w:type="dxa"/>
            </w:tcMar>
          </w:tcPr>
          <w:p w:rsidR="00000000" w:rsidRPr="0006157C" w:rsidP="0006157C">
            <w:pPr>
              <w:pStyle w:val="List2"/>
            </w:pPr>
            <w:r w:rsidRPr="0006157C">
              <w:t>2.1</w:t>
            </w:r>
            <w:r w:rsidRPr="0006157C">
              <w:tab/>
              <w:t xml:space="preserve">Develop and clearly articulate </w:t>
            </w:r>
            <w:r w:rsidRPr="0006157C">
              <w:rPr>
                <w:rStyle w:val="BoldandItalics"/>
              </w:rPr>
              <w:t>regulatory policies and procedures</w:t>
            </w:r>
            <w:r w:rsidRPr="0006157C">
              <w:t xml:space="preserve"> in a format readily accessible to all workers.</w:t>
            </w:r>
          </w:p>
          <w:p w:rsidR="00000000" w:rsidRPr="0006157C" w:rsidP="0006157C">
            <w:pPr>
              <w:pStyle w:val="List2"/>
            </w:pPr>
            <w:r w:rsidRPr="0006157C">
              <w:t>2.2</w:t>
            </w:r>
            <w:r w:rsidRPr="0006157C">
              <w:tab/>
              <w:t>Nominate the roles and responsibilities of personnel for regulatory compliance within policies and procedures.</w:t>
            </w:r>
          </w:p>
          <w:p w:rsidR="00000000" w:rsidRPr="0006157C" w:rsidP="0006157C">
            <w:pPr>
              <w:pStyle w:val="List2"/>
            </w:pPr>
            <w:r w:rsidRPr="0006157C">
              <w:t>2.3</w:t>
            </w:r>
            <w:r w:rsidRPr="0006157C">
              <w:tab/>
              <w:t>Distribut</w:t>
            </w:r>
            <w:r w:rsidRPr="0006157C">
              <w:t>e policies, procedures and legal information to personnel at appropriate times.</w:t>
            </w:r>
          </w:p>
          <w:p w:rsidR="00000000" w:rsidP="0006157C">
            <w:pPr>
              <w:pStyle w:val="List2"/>
              <w:rPr>
                <w:lang w:val="en-NZ"/>
              </w:rPr>
            </w:pPr>
            <w:r w:rsidRPr="0006157C">
              <w:t>2.4</w:t>
            </w:r>
            <w:r w:rsidRPr="0006157C">
              <w:tab/>
              <w:t>Organise</w:t>
            </w:r>
            <w:r w:rsidRPr="0006157C">
              <w:rPr>
                <w:rStyle w:val="BoldandItalics"/>
              </w:rPr>
              <w:t xml:space="preserve"> information updates</w:t>
            </w:r>
            <w:r w:rsidRPr="0006157C">
              <w:t xml:space="preserve"> for personnel and ensure knowledge of roles and responsibilities for legal compliance.</w:t>
            </w:r>
          </w:p>
        </w:tc>
      </w:tr>
      <w:tr w:rsidTr="00D9468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6157C">
            <w:pPr>
              <w:pStyle w:val="List"/>
              <w:rPr>
                <w:lang w:val="en-NZ"/>
              </w:rPr>
            </w:pPr>
            <w:r w:rsidRPr="0006157C">
              <w:t>3.</w:t>
            </w:r>
            <w:r w:rsidRPr="0006157C">
              <w:tab/>
              <w:t>Ensure compliance with legal requirements.</w:t>
            </w:r>
          </w:p>
        </w:tc>
        <w:tc>
          <w:tcPr>
            <w:tcW w:w="0" w:type="auto"/>
            <w:tcBorders>
              <w:top w:val="nil"/>
              <w:left w:val="nil"/>
              <w:bottom w:val="nil"/>
              <w:right w:val="nil"/>
            </w:tcBorders>
            <w:tcMar>
              <w:top w:w="0" w:type="dxa"/>
              <w:left w:w="62" w:type="dxa"/>
              <w:bottom w:w="0" w:type="dxa"/>
              <w:right w:w="62" w:type="dxa"/>
            </w:tcMar>
          </w:tcPr>
          <w:p w:rsidR="00000000" w:rsidRPr="0006157C" w:rsidP="0006157C">
            <w:pPr>
              <w:pStyle w:val="List2"/>
            </w:pPr>
            <w:r w:rsidRPr="0006157C">
              <w:t>3.1</w:t>
            </w:r>
            <w:r w:rsidRPr="0006157C">
              <w:tab/>
              <w:t>Commu</w:t>
            </w:r>
            <w:r w:rsidRPr="0006157C">
              <w:t>nicate with regulatory authorities when planning business operations and submit required documentation.</w:t>
            </w:r>
          </w:p>
          <w:p w:rsidR="00000000" w:rsidRPr="0006157C" w:rsidP="0006157C">
            <w:pPr>
              <w:pStyle w:val="List2"/>
            </w:pPr>
            <w:r w:rsidRPr="0006157C">
              <w:t>3.2</w:t>
            </w:r>
            <w:r w:rsidRPr="0006157C">
              <w:tab/>
              <w:t>Maintain business and occupational licences and check contractor compliance to avoid risk to business.</w:t>
            </w:r>
          </w:p>
          <w:p w:rsidR="00000000" w:rsidP="0006157C">
            <w:pPr>
              <w:pStyle w:val="List2"/>
              <w:rPr>
                <w:lang w:val="en-NZ"/>
              </w:rPr>
            </w:pPr>
            <w:r w:rsidRPr="0006157C">
              <w:t>3.3</w:t>
            </w:r>
            <w:r w:rsidRPr="0006157C">
              <w:tab/>
            </w:r>
            <w:r w:rsidRPr="0006157C">
              <w:t>Continuously evaluate business operations for non-compliance and implement modifications.</w:t>
            </w:r>
          </w:p>
        </w:tc>
      </w:tr>
      <w:tr w:rsidTr="00D94688">
        <w:tblPrEx>
          <w:tblW w:w="0" w:type="auto"/>
          <w:tblCellMar>
            <w:left w:w="62" w:type="dxa"/>
            <w:right w:w="62" w:type="dxa"/>
          </w:tblCellMar>
          <w:tblLook w:val="0000"/>
        </w:tblPrEx>
        <w:trPr>
          <w:trHeight w:val="301"/>
        </w:trPr>
        <w:tc>
          <w:tcPr>
            <w:tcW w:w="0" w:type="auto"/>
            <w:tcBorders>
              <w:top w:val="nil"/>
              <w:left w:val="nil"/>
              <w:bottom w:val="nil"/>
              <w:right w:val="nil"/>
            </w:tcBorders>
            <w:tcMar>
              <w:top w:w="0" w:type="dxa"/>
              <w:left w:w="62" w:type="dxa"/>
              <w:bottom w:w="0" w:type="dxa"/>
              <w:right w:w="62" w:type="dxa"/>
            </w:tcMar>
          </w:tcPr>
          <w:p w:rsidR="00000000" w:rsidP="0006157C">
            <w:pPr>
              <w:pStyle w:val="List"/>
              <w:rPr>
                <w:lang w:val="en-NZ"/>
              </w:rPr>
            </w:pPr>
            <w:r w:rsidRPr="0006157C">
              <w:t>4.</w:t>
            </w:r>
            <w:r w:rsidRPr="0006157C">
              <w:tab/>
              <w:t>Maintain personal and organisational knowledge of regulatory requirements.</w:t>
            </w:r>
          </w:p>
        </w:tc>
        <w:tc>
          <w:tcPr>
            <w:tcW w:w="0" w:type="auto"/>
            <w:tcBorders>
              <w:top w:val="nil"/>
              <w:left w:val="nil"/>
              <w:bottom w:val="nil"/>
              <w:right w:val="nil"/>
            </w:tcBorders>
            <w:tcMar>
              <w:top w:w="0" w:type="dxa"/>
              <w:left w:w="62" w:type="dxa"/>
              <w:bottom w:w="0" w:type="dxa"/>
              <w:right w:w="62" w:type="dxa"/>
            </w:tcMar>
          </w:tcPr>
          <w:p w:rsidR="00000000" w:rsidRPr="0006157C" w:rsidP="0006157C">
            <w:pPr>
              <w:pStyle w:val="List2"/>
            </w:pPr>
            <w:r w:rsidRPr="0006157C">
              <w:t>4.1</w:t>
            </w:r>
            <w:r w:rsidRPr="0006157C">
              <w:tab/>
              <w:t xml:space="preserve">Identify and use a range of </w:t>
            </w:r>
            <w:r w:rsidRPr="0006157C">
              <w:rPr>
                <w:rStyle w:val="BoldandItalics"/>
              </w:rPr>
              <w:t xml:space="preserve">opportunities </w:t>
            </w:r>
            <w:r w:rsidRPr="0006157C">
              <w:t>to maintain knowledge of current regulato</w:t>
            </w:r>
            <w:r w:rsidRPr="0006157C">
              <w:t xml:space="preserve">ry requirements. </w:t>
            </w:r>
          </w:p>
          <w:p w:rsidR="00000000" w:rsidRPr="0006157C" w:rsidP="0006157C">
            <w:pPr>
              <w:pStyle w:val="List2"/>
            </w:pPr>
            <w:r w:rsidRPr="0006157C">
              <w:t>4.2</w:t>
            </w:r>
            <w:r w:rsidRPr="0006157C">
              <w:tab/>
              <w:t>Use organisational communication methods to share updated regulatory knowledge.</w:t>
            </w:r>
          </w:p>
          <w:p w:rsidR="00000000" w:rsidRPr="0006157C" w:rsidP="0006157C">
            <w:pPr>
              <w:pStyle w:val="List2"/>
            </w:pPr>
            <w:r w:rsidRPr="0006157C">
              <w:t>4.3</w:t>
            </w:r>
            <w:r w:rsidRPr="0006157C">
              <w:tab/>
              <w:t>Continuously review and distribute plans, policies and procedures for compliance with current laws and licensing requirements.</w:t>
            </w:r>
          </w:p>
        </w:tc>
      </w:tr>
    </w:tbl>
    <w:p w:rsidR="00000000" w:rsidRPr="0006157C" w:rsidP="0006157C">
      <w:pPr>
        <w:pStyle w:val="List"/>
      </w:pPr>
    </w:p>
    <w:p w:rsidR="00000000" w:rsidRPr="0006157C" w:rsidP="0006157C">
      <w:pPr>
        <w:pStyle w:val="AllowPageBreak"/>
      </w:pPr>
    </w:p>
    <w:p w:rsidR="00000000" w:rsidRPr="0006157C" w:rsidP="0006157C">
      <w:pPr>
        <w:pStyle w:val="Heading1"/>
      </w:pPr>
      <w:bookmarkStart w:id="9" w:name="O_613736"/>
      <w:bookmarkEnd w:id="9"/>
      <w:r w:rsidRPr="0006157C">
        <w:t>Requ</w:t>
      </w:r>
      <w:r w:rsidRPr="0006157C">
        <w:t>ired Skills and Knowledge</w:t>
      </w:r>
    </w:p>
    <w:tbl>
      <w:tblPr>
        <w:tblW w:w="0" w:type="auto"/>
        <w:tblCellMar>
          <w:left w:w="62" w:type="dxa"/>
          <w:right w:w="62" w:type="dxa"/>
        </w:tblCellMar>
        <w:tblLook w:val="0000"/>
      </w:tblPr>
      <w:tblGrid>
        <w:gridCol w:w="9196"/>
      </w:tblGrid>
      <w:tr w:rsidTr="00D9468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6157C">
            <w:pPr>
              <w:pStyle w:val="BodyText"/>
              <w:rPr>
                <w:lang w:val="en-NZ"/>
              </w:rPr>
            </w:pPr>
            <w:r w:rsidRPr="0006157C">
              <w:t>This section describes the skills and knowledge required for this unit.</w:t>
            </w:r>
          </w:p>
        </w:tc>
      </w:tr>
      <w:tr w:rsidTr="00D9468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6157C">
            <w:pPr>
              <w:pStyle w:val="BodyText"/>
              <w:rPr>
                <w:lang w:val="en-NZ"/>
              </w:rPr>
            </w:pPr>
            <w:r w:rsidRPr="0006157C">
              <w:rPr>
                <w:rStyle w:val="SpecialBold"/>
              </w:rPr>
              <w:t>Required skills</w:t>
            </w:r>
          </w:p>
        </w:tc>
      </w:tr>
      <w:tr w:rsidTr="00D9468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06157C" w:rsidP="0006157C">
            <w:pPr>
              <w:pStyle w:val="ListBullet"/>
            </w:pPr>
            <w:r w:rsidRPr="0006157C">
              <w:t>communication skills to:</w:t>
            </w:r>
          </w:p>
          <w:p w:rsidR="00000000" w:rsidRPr="0006157C" w:rsidP="0006157C">
            <w:pPr>
              <w:pStyle w:val="ListBullet2"/>
            </w:pPr>
            <w:r w:rsidRPr="0006157C">
              <w:t>consult with regulatory authorities to determine the scope of compliance requirements</w:t>
            </w:r>
          </w:p>
          <w:p w:rsidR="00000000" w:rsidRPr="0006157C" w:rsidP="0006157C">
            <w:pPr>
              <w:pStyle w:val="ListBullet2"/>
            </w:pPr>
            <w:r w:rsidRPr="0006157C">
              <w:t>provide clear and accurate information to personnel about roles and responsibilities in regulatory compliance</w:t>
            </w:r>
          </w:p>
          <w:p w:rsidR="00000000" w:rsidRPr="0006157C" w:rsidP="0006157C">
            <w:pPr>
              <w:pStyle w:val="ListBullet"/>
            </w:pPr>
            <w:r w:rsidRPr="0006157C">
              <w:t>critical thinking skills to evaluate areas of business operation and determine scope of compliance</w:t>
            </w:r>
          </w:p>
          <w:p w:rsidR="00000000" w:rsidRPr="0006157C" w:rsidP="0006157C">
            <w:pPr>
              <w:pStyle w:val="ListBullet"/>
            </w:pPr>
            <w:r w:rsidRPr="0006157C">
              <w:t>learning skills to proactively maintain curren</w:t>
            </w:r>
            <w:r w:rsidRPr="0006157C">
              <w:t>t knowledge of regulatory requirements</w:t>
            </w:r>
          </w:p>
          <w:p w:rsidR="00000000" w:rsidRPr="0006157C" w:rsidP="0006157C">
            <w:pPr>
              <w:pStyle w:val="ListBullet"/>
            </w:pPr>
            <w:r w:rsidRPr="0006157C">
              <w:t>literacy skills to:</w:t>
            </w:r>
          </w:p>
          <w:p w:rsidR="00000000" w:rsidRPr="0006157C" w:rsidP="0006157C">
            <w:pPr>
              <w:pStyle w:val="ListBullet2"/>
            </w:pPr>
            <w:r w:rsidRPr="0006157C">
              <w:t>read and interpret unfamiliar and complex materials describing regulatory requirements</w:t>
            </w:r>
          </w:p>
          <w:p w:rsidR="00000000" w:rsidRPr="0006157C" w:rsidP="0006157C">
            <w:pPr>
              <w:pStyle w:val="ListBullet2"/>
            </w:pPr>
            <w:r w:rsidRPr="0006157C">
              <w:t>research regulatory requirements specifically applicable to the business operation</w:t>
            </w:r>
          </w:p>
          <w:p w:rsidR="00000000" w:rsidRPr="0006157C" w:rsidP="0006157C">
            <w:pPr>
              <w:pStyle w:val="ListBullet2"/>
            </w:pPr>
            <w:r w:rsidRPr="0006157C">
              <w:t>write comprehensive yet ea</w:t>
            </w:r>
            <w:r w:rsidRPr="0006157C">
              <w:t>sily accessible regulatory policies and procedures; complete complex documentation required by regulatory authorities</w:t>
            </w:r>
          </w:p>
          <w:p w:rsidR="00000000" w:rsidRPr="0006157C" w:rsidP="0006157C">
            <w:pPr>
              <w:pStyle w:val="ListBullet"/>
            </w:pPr>
            <w:r w:rsidRPr="0006157C">
              <w:t>planning and organising skills to research, establish and regularly monitor all components of a business compliance system</w:t>
            </w:r>
          </w:p>
          <w:p w:rsidR="00000000" w:rsidRPr="0006157C" w:rsidP="0006157C">
            <w:pPr>
              <w:pStyle w:val="ListBullet"/>
            </w:pPr>
            <w:r w:rsidRPr="0006157C">
              <w:t>problem-solvin</w:t>
            </w:r>
            <w:r w:rsidRPr="0006157C">
              <w:t>g skills to evaluate business operations for non-compliance and implement changes to practices</w:t>
            </w:r>
          </w:p>
          <w:p w:rsidR="00000000" w:rsidRPr="0006157C" w:rsidP="0006157C">
            <w:pPr>
              <w:pStyle w:val="ListBullet"/>
            </w:pPr>
            <w:r w:rsidRPr="0006157C">
              <w:t>self-management skills to take responsibility for regulatory compliance</w:t>
            </w:r>
          </w:p>
          <w:p w:rsidR="00000000" w:rsidP="0006157C">
            <w:pPr>
              <w:pStyle w:val="ListBullet"/>
              <w:rPr>
                <w:lang w:val="en-NZ"/>
              </w:rPr>
            </w:pPr>
            <w:r w:rsidRPr="0006157C">
              <w:t>teamwork skills to share updated regulatory knowledge with personnel.</w:t>
            </w:r>
          </w:p>
        </w:tc>
      </w:tr>
      <w:tr w:rsidTr="00D9468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6157C">
            <w:pPr>
              <w:pStyle w:val="BodyText"/>
              <w:rPr>
                <w:lang w:val="en-NZ"/>
              </w:rPr>
            </w:pPr>
            <w:r w:rsidRPr="0006157C">
              <w:rPr>
                <w:rStyle w:val="SpecialBold"/>
              </w:rPr>
              <w:t>Required knowledge</w:t>
            </w:r>
          </w:p>
        </w:tc>
      </w:tr>
      <w:tr w:rsidTr="00D9468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06157C" w:rsidP="0006157C">
            <w:pPr>
              <w:pStyle w:val="ListBullet"/>
            </w:pPr>
            <w:r w:rsidRPr="0006157C">
              <w:t>legal responsibilities and liabilities of managers and directors in varying business structures</w:t>
            </w:r>
          </w:p>
          <w:p w:rsidR="00000000" w:rsidRPr="0006157C" w:rsidP="0006157C">
            <w:pPr>
              <w:pStyle w:val="ListBullet"/>
            </w:pPr>
            <w:r w:rsidRPr="0006157C">
              <w:t>sources of information and advice on regulatory compliance including:</w:t>
            </w:r>
          </w:p>
          <w:p w:rsidR="00000000" w:rsidRPr="0006157C" w:rsidP="0006157C">
            <w:pPr>
              <w:pStyle w:val="ListBullet2"/>
            </w:pPr>
            <w:r w:rsidRPr="0006157C">
              <w:t>local, state, territory or commonwealth government departments or regulatory agencies</w:t>
            </w:r>
          </w:p>
          <w:p w:rsidR="00000000" w:rsidRPr="0006157C" w:rsidP="0006157C">
            <w:pPr>
              <w:pStyle w:val="ListBullet2"/>
            </w:pPr>
            <w:r w:rsidRPr="0006157C">
              <w:t>industry associations</w:t>
            </w:r>
          </w:p>
          <w:p w:rsidR="00000000" w:rsidRPr="0006157C" w:rsidP="0006157C">
            <w:pPr>
              <w:pStyle w:val="ListBullet2"/>
            </w:pPr>
            <w:r w:rsidRPr="0006157C">
              <w:t>plain English documentation that explains the operational requirements of legislation</w:t>
            </w:r>
          </w:p>
          <w:p w:rsidR="00000000" w:rsidRPr="0006157C" w:rsidP="0006157C">
            <w:pPr>
              <w:pStyle w:val="ListBullet"/>
            </w:pPr>
            <w:r w:rsidRPr="0006157C">
              <w:t>functions and general operating procedures of regulatory authorities of particular relevance to the tourism, hospitality and events industries</w:t>
            </w:r>
          </w:p>
          <w:p w:rsidR="00000000" w:rsidRPr="0006157C" w:rsidP="0006157C">
            <w:pPr>
              <w:pStyle w:val="ListBullet"/>
            </w:pPr>
            <w:r w:rsidRPr="0006157C">
              <w:t>methods of receiving updated information on laws and licensing requirements</w:t>
            </w:r>
          </w:p>
          <w:p w:rsidR="00000000" w:rsidRPr="0006157C" w:rsidP="0006157C">
            <w:pPr>
              <w:pStyle w:val="ListBullet"/>
            </w:pPr>
            <w:r w:rsidRPr="0006157C">
              <w:t>use of policies and procedures in managing regulatory compliance</w:t>
            </w:r>
          </w:p>
          <w:p w:rsidR="00000000" w:rsidRPr="0006157C" w:rsidP="0006157C">
            <w:pPr>
              <w:pStyle w:val="ListBullet"/>
            </w:pPr>
            <w:r w:rsidRPr="0006157C">
              <w:t>a range of formats for and inclusions of policies and procedures</w:t>
            </w:r>
          </w:p>
          <w:p w:rsidR="00000000" w:rsidRPr="0006157C" w:rsidP="0006157C">
            <w:pPr>
              <w:pStyle w:val="ListBullet"/>
            </w:pPr>
            <w:r w:rsidRPr="0006157C">
              <w:t>objectives and primary components of a broad range</w:t>
            </w:r>
            <w:r w:rsidRPr="0006157C">
              <w:t xml:space="preserve"> of local, state, territory and commonwealth government laws to which all types of businesses must comply including those that cover:</w:t>
            </w:r>
          </w:p>
          <w:p w:rsidR="00000000" w:rsidRPr="0006157C" w:rsidP="0006157C">
            <w:pPr>
              <w:pStyle w:val="ListBullet2"/>
            </w:pPr>
            <w:r w:rsidRPr="0006157C">
              <w:t>anti-discrimination especially provisions for Equal Employment Opportunity (EEO) and harassment</w:t>
            </w:r>
          </w:p>
          <w:p w:rsidR="00000000" w:rsidRPr="0006157C" w:rsidP="0006157C">
            <w:pPr>
              <w:pStyle w:val="ListBullet2"/>
            </w:pPr>
            <w:r w:rsidRPr="0006157C">
              <w:t>Australian Consumer Law (</w:t>
            </w:r>
            <w:r w:rsidRPr="0006157C">
              <w:t>ACL) especially provisions for refunds, exchanges and cancellations, terms and conditions of quotations and consumer contracts</w:t>
            </w:r>
          </w:p>
          <w:p w:rsidR="00000000" w:rsidRPr="0006157C" w:rsidP="0006157C">
            <w:pPr>
              <w:pStyle w:val="ListBullet2"/>
            </w:pPr>
            <w:r w:rsidRPr="0006157C">
              <w:t>contracts</w:t>
            </w:r>
          </w:p>
          <w:p w:rsidR="00000000" w:rsidRPr="0006157C" w:rsidP="0006157C">
            <w:pPr>
              <w:pStyle w:val="ListBullet2"/>
            </w:pPr>
            <w:r w:rsidRPr="0006157C">
              <w:t>employer superannuation contributions</w:t>
            </w:r>
          </w:p>
          <w:p w:rsidR="00000000" w:rsidRPr="0006157C" w:rsidP="0006157C">
            <w:pPr>
              <w:pStyle w:val="ListBullet2"/>
            </w:pPr>
            <w:r w:rsidRPr="0006157C">
              <w:t>environmental protection especially provisions for environmental hazard identific</w:t>
            </w:r>
            <w:r w:rsidRPr="0006157C">
              <w:t>ation, use of minimal impact practices and reporting of incidents</w:t>
            </w:r>
          </w:p>
          <w:p w:rsidR="00000000" w:rsidRPr="0006157C" w:rsidP="0006157C">
            <w:pPr>
              <w:pStyle w:val="ListBullet2"/>
            </w:pPr>
            <w:r w:rsidRPr="0006157C">
              <w:t>Fair Work Act 2009 especially provisions for National Employment Standards (NES)</w:t>
            </w:r>
          </w:p>
          <w:p w:rsidR="00000000" w:rsidRPr="0006157C" w:rsidP="0006157C">
            <w:pPr>
              <w:pStyle w:val="ListBullet2"/>
            </w:pPr>
            <w:r w:rsidRPr="0006157C">
              <w:t xml:space="preserve">local community protection especially provisions for land management and access and protecting the lifestyle </w:t>
            </w:r>
            <w:r w:rsidRPr="0006157C">
              <w:t>of neighbouring residents</w:t>
            </w:r>
          </w:p>
          <w:p w:rsidR="00000000" w:rsidRPr="0006157C" w:rsidP="0006157C">
            <w:pPr>
              <w:pStyle w:val="ListBullet2"/>
            </w:pPr>
            <w:r w:rsidRPr="0006157C">
              <w:t>taxation</w:t>
            </w:r>
          </w:p>
          <w:p w:rsidR="00000000" w:rsidRPr="0006157C" w:rsidP="0006157C">
            <w:pPr>
              <w:pStyle w:val="ListBullet2"/>
            </w:pPr>
            <w:r w:rsidRPr="0006157C">
              <w:t>workplace relations</w:t>
            </w:r>
          </w:p>
          <w:p w:rsidR="00000000" w:rsidRPr="0006157C" w:rsidP="0006157C">
            <w:pPr>
              <w:pStyle w:val="ListBullet2"/>
            </w:pPr>
            <w:r w:rsidRPr="0006157C">
              <w:t>public liability and duty of care</w:t>
            </w:r>
          </w:p>
          <w:p w:rsidR="00000000" w:rsidRPr="0006157C" w:rsidP="0006157C">
            <w:pPr>
              <w:pStyle w:val="ListBullet2"/>
            </w:pPr>
            <w:r w:rsidRPr="0006157C">
              <w:t xml:space="preserve">work health and safety </w:t>
            </w:r>
          </w:p>
          <w:p w:rsidR="00000000" w:rsidRPr="0006157C" w:rsidP="0006157C">
            <w:pPr>
              <w:pStyle w:val="ListBullet2"/>
            </w:pPr>
            <w:r w:rsidRPr="0006157C">
              <w:t>Workers Compensation especially provisions for injury reporting and occupational rehabilitation</w:t>
            </w:r>
          </w:p>
          <w:p w:rsidR="00000000" w:rsidRPr="0006157C" w:rsidP="0006157C">
            <w:pPr>
              <w:pStyle w:val="ListBullet"/>
            </w:pPr>
            <w:r w:rsidRPr="0006157C">
              <w:t>objectives and primary components of laws, codes, standards and licensing requirements that impact on specific operators within the tourism, hospitality and event industries; chosen to be applicable to the individual’s context these could include:</w:t>
            </w:r>
          </w:p>
          <w:p w:rsidR="00000000" w:rsidRPr="0006157C" w:rsidP="0006157C">
            <w:pPr>
              <w:pStyle w:val="ListBullet2"/>
            </w:pPr>
            <w:r w:rsidRPr="0006157C">
              <w:t>Crimina</w:t>
            </w:r>
            <w:r w:rsidRPr="0006157C">
              <w:t>l Code Act 1995 - child sex offences outside Australia</w:t>
            </w:r>
          </w:p>
          <w:p w:rsidR="00000000" w:rsidRPr="0006157C" w:rsidP="0006157C">
            <w:pPr>
              <w:pStyle w:val="ListBullet2"/>
            </w:pPr>
            <w:r w:rsidRPr="0006157C">
              <w:t>European Economic Directive of Foreign Travel</w:t>
            </w:r>
          </w:p>
          <w:p w:rsidR="00000000" w:rsidRPr="0006157C" w:rsidP="0006157C">
            <w:pPr>
              <w:pStyle w:val="ListBullet2"/>
            </w:pPr>
            <w:r w:rsidRPr="0006157C">
              <w:t>food safety</w:t>
            </w:r>
          </w:p>
          <w:p w:rsidR="00000000" w:rsidRPr="0006157C" w:rsidP="0006157C">
            <w:pPr>
              <w:pStyle w:val="ListBullet2"/>
            </w:pPr>
            <w:r w:rsidRPr="0006157C">
              <w:t>Food Standards Australia New Zealand Act 1991</w:t>
            </w:r>
          </w:p>
          <w:p w:rsidR="00000000" w:rsidRPr="0006157C" w:rsidP="0006157C">
            <w:pPr>
              <w:pStyle w:val="ListBullet2"/>
            </w:pPr>
            <w:r w:rsidRPr="0006157C">
              <w:t>liquor licensing, especially as it relates to the responsible service of alcohol</w:t>
            </w:r>
          </w:p>
          <w:p w:rsidR="00000000" w:rsidRPr="0006157C" w:rsidP="0006157C">
            <w:pPr>
              <w:pStyle w:val="ListBullet2"/>
            </w:pPr>
            <w:r w:rsidRPr="0006157C">
              <w:t>Queensland Touri</w:t>
            </w:r>
            <w:r w:rsidRPr="0006157C">
              <w:t>sm Services Act (2003)</w:t>
            </w:r>
          </w:p>
          <w:p w:rsidR="00000000" w:rsidRPr="0006157C" w:rsidP="0006157C">
            <w:pPr>
              <w:pStyle w:val="ListBullet2"/>
            </w:pPr>
            <w:r w:rsidRPr="0006157C">
              <w:t>Residential Tenancy Act</w:t>
            </w:r>
          </w:p>
          <w:p w:rsidR="00000000" w:rsidRPr="0006157C" w:rsidP="0006157C">
            <w:pPr>
              <w:pStyle w:val="ListBullet2"/>
            </w:pPr>
            <w:r w:rsidRPr="0006157C">
              <w:t>responsible conduct of gaming</w:t>
            </w:r>
          </w:p>
          <w:p w:rsidR="00000000" w:rsidRPr="0006157C" w:rsidP="0006157C">
            <w:pPr>
              <w:pStyle w:val="ListBullet2"/>
            </w:pPr>
            <w:r w:rsidRPr="0006157C">
              <w:t>travel agents licensing</w:t>
            </w:r>
          </w:p>
          <w:p w:rsidR="00000000" w:rsidRPr="0006157C" w:rsidP="0006157C">
            <w:pPr>
              <w:pStyle w:val="ListBullet"/>
            </w:pPr>
            <w:r w:rsidRPr="0006157C">
              <w:t>for each relevant law, code, standard and licensing requirement, the depth of knowledge must cover any:</w:t>
            </w:r>
          </w:p>
          <w:p w:rsidR="00000000" w:rsidRPr="0006157C" w:rsidP="0006157C">
            <w:pPr>
              <w:pStyle w:val="ListBullet2"/>
            </w:pPr>
            <w:r w:rsidRPr="0006157C">
              <w:t>key practices that are prohibited by the law</w:t>
            </w:r>
          </w:p>
          <w:p w:rsidR="00000000" w:rsidRPr="0006157C" w:rsidP="0006157C">
            <w:pPr>
              <w:pStyle w:val="ListBullet2"/>
            </w:pPr>
            <w:r w:rsidRPr="0006157C">
              <w:t>auditing and inspection regimes</w:t>
            </w:r>
          </w:p>
          <w:p w:rsidR="00000000" w:rsidRPr="0006157C" w:rsidP="0006157C">
            <w:pPr>
              <w:pStyle w:val="ListBullet2"/>
            </w:pPr>
            <w:r w:rsidRPr="0006157C">
              <w:t>main consequences of non-compliance</w:t>
            </w:r>
          </w:p>
          <w:p w:rsidR="00000000" w:rsidRPr="0006157C" w:rsidP="0006157C">
            <w:pPr>
              <w:pStyle w:val="ListBullet2"/>
            </w:pPr>
            <w:r w:rsidRPr="0006157C">
              <w:t>need to apply for and maintain business or occupational licensing and associated mandatory training and certification requirements</w:t>
            </w:r>
          </w:p>
          <w:p w:rsidR="00000000" w:rsidRPr="0006157C" w:rsidP="0006157C">
            <w:pPr>
              <w:pStyle w:val="ListBullet2"/>
            </w:pPr>
            <w:r w:rsidRPr="0006157C">
              <w:t>requirements for record keeping and acceptable record kee</w:t>
            </w:r>
            <w:r w:rsidRPr="0006157C">
              <w:t>ping mechanisms</w:t>
            </w:r>
          </w:p>
          <w:p w:rsidR="00000000" w:rsidRPr="0006157C" w:rsidP="0006157C">
            <w:pPr>
              <w:pStyle w:val="ListBullet2"/>
            </w:pPr>
            <w:r w:rsidRPr="0006157C">
              <w:t>statutory reporting requirements for businesses</w:t>
            </w:r>
          </w:p>
          <w:p w:rsidR="00000000" w:rsidRPr="0006157C" w:rsidP="0006157C">
            <w:pPr>
              <w:pStyle w:val="ListBullet2"/>
            </w:pPr>
            <w:r w:rsidRPr="0006157C">
              <w:t>key business insurances required including public liability and workers compensation</w:t>
            </w:r>
          </w:p>
          <w:p w:rsidR="00000000" w:rsidRPr="0006157C" w:rsidP="0006157C">
            <w:pPr>
              <w:pStyle w:val="ListBullet2"/>
            </w:pPr>
            <w:r w:rsidRPr="0006157C">
              <w:t>adherence to mandatory codes of conduct enshrined in legislation</w:t>
            </w:r>
          </w:p>
          <w:p w:rsidR="00000000" w:rsidRPr="0006157C" w:rsidP="0006157C">
            <w:pPr>
              <w:pStyle w:val="ListBullet2"/>
            </w:pPr>
            <w:r w:rsidRPr="0006157C">
              <w:t>requirements to develop and implement plan</w:t>
            </w:r>
            <w:r w:rsidRPr="0006157C">
              <w:t xml:space="preserve">s, policies, codes of conduct or incorporate certain business practices </w:t>
            </w:r>
          </w:p>
          <w:p w:rsidR="00000000" w:rsidRPr="0006157C" w:rsidP="0006157C">
            <w:pPr>
              <w:pStyle w:val="ListBullet2"/>
            </w:pPr>
            <w:r w:rsidRPr="0006157C">
              <w:t>rights and responsibilities of employees and employers</w:t>
            </w:r>
          </w:p>
          <w:p w:rsidR="00000000" w:rsidRPr="0006157C" w:rsidP="0006157C">
            <w:pPr>
              <w:pStyle w:val="ListBullet2"/>
            </w:pPr>
            <w:r w:rsidRPr="0006157C">
              <w:t>other specific action that must be taken for legal compliance.</w:t>
            </w:r>
          </w:p>
        </w:tc>
      </w:tr>
    </w:tbl>
    <w:p w:rsidR="00000000" w:rsidRPr="0006157C" w:rsidP="0006157C">
      <w:pPr>
        <w:pStyle w:val="BodyText"/>
      </w:pPr>
    </w:p>
    <w:p w:rsidR="00000000" w:rsidRPr="0006157C" w:rsidP="0006157C">
      <w:pPr>
        <w:pStyle w:val="AllowPageBreak"/>
      </w:pPr>
    </w:p>
    <w:p w:rsidR="00000000" w:rsidRPr="0006157C" w:rsidP="0006157C">
      <w:pPr>
        <w:pStyle w:val="Heading1"/>
      </w:pPr>
      <w:bookmarkStart w:id="10" w:name="O_613735"/>
      <w:bookmarkEnd w:id="10"/>
      <w:r w:rsidRPr="0006157C">
        <w:t>Evidence Guide</w:t>
      </w:r>
    </w:p>
    <w:tbl>
      <w:tblPr>
        <w:tblW w:w="0" w:type="auto"/>
        <w:tblCellMar>
          <w:left w:w="62" w:type="dxa"/>
          <w:right w:w="62" w:type="dxa"/>
        </w:tblCellMar>
        <w:tblLook w:val="0000"/>
      </w:tblPr>
      <w:tblGrid>
        <w:gridCol w:w="3263"/>
        <w:gridCol w:w="5933"/>
      </w:tblGrid>
      <w:tr w:rsidTr="00D94688">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06157C">
            <w:pPr>
              <w:pStyle w:val="BodyText"/>
              <w:rPr>
                <w:lang w:val="en-NZ"/>
              </w:rPr>
            </w:pPr>
            <w:r w:rsidRPr="0006157C">
              <w:t>The evidence guide provides advice on assessment and must be read in conjunction with the performance criteria, required skills and knowledge, range statement and the Assessment Guidelines for the Training Package.</w:t>
            </w:r>
          </w:p>
        </w:tc>
      </w:tr>
      <w:tr w:rsidTr="00D9468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6157C">
            <w:pPr>
              <w:pStyle w:val="BodyText"/>
              <w:rPr>
                <w:lang w:val="en-NZ"/>
              </w:rPr>
            </w:pPr>
            <w:r w:rsidRPr="0006157C">
              <w:rPr>
                <w:rStyle w:val="SpecialBold"/>
              </w:rPr>
              <w:t>Overview of assessment</w:t>
            </w:r>
          </w:p>
        </w:tc>
        <w:tc>
          <w:tcPr>
            <w:tcW w:w="0" w:type="auto"/>
            <w:tcBorders>
              <w:top w:val="nil"/>
              <w:left w:val="nil"/>
              <w:bottom w:val="nil"/>
              <w:right w:val="nil"/>
            </w:tcBorders>
            <w:tcMar>
              <w:top w:w="0" w:type="dxa"/>
              <w:left w:w="62" w:type="dxa"/>
              <w:bottom w:w="0" w:type="dxa"/>
              <w:right w:w="62" w:type="dxa"/>
            </w:tcMar>
          </w:tcPr>
          <w:p w:rsidR="00000000" w:rsidP="0006157C">
            <w:pPr>
              <w:pStyle w:val="BodyText"/>
              <w:rPr>
                <w:lang w:val="en-NZ"/>
              </w:rPr>
            </w:pPr>
          </w:p>
        </w:tc>
      </w:tr>
      <w:tr w:rsidTr="00D9468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6157C">
            <w:pPr>
              <w:pStyle w:val="BodyText"/>
              <w:rPr>
                <w:lang w:val="en-NZ"/>
              </w:rPr>
            </w:pPr>
            <w:r w:rsidRPr="0006157C">
              <w:rPr>
                <w:rStyle w:val="SpecialBold"/>
              </w:rPr>
              <w:t>Critical aspects for assessment and evidence required to demonstrate competency in this unit</w:t>
            </w:r>
          </w:p>
        </w:tc>
        <w:tc>
          <w:tcPr>
            <w:tcW w:w="0" w:type="auto"/>
            <w:tcBorders>
              <w:top w:val="nil"/>
              <w:left w:val="nil"/>
              <w:bottom w:val="nil"/>
              <w:right w:val="nil"/>
            </w:tcBorders>
            <w:tcMar>
              <w:top w:w="0" w:type="dxa"/>
              <w:left w:w="62" w:type="dxa"/>
              <w:bottom w:w="0" w:type="dxa"/>
              <w:right w:w="62" w:type="dxa"/>
            </w:tcMar>
          </w:tcPr>
          <w:p w:rsidR="00000000" w:rsidRPr="0006157C" w:rsidP="0006157C">
            <w:pPr>
              <w:pStyle w:val="BodyText"/>
            </w:pPr>
            <w:r w:rsidRPr="0006157C">
              <w:t>Evidence of the ability to:</w:t>
            </w:r>
          </w:p>
          <w:p w:rsidR="00000000" w:rsidRPr="0006157C" w:rsidP="0006157C">
            <w:pPr>
              <w:pStyle w:val="ListBullet"/>
            </w:pPr>
            <w:r w:rsidRPr="0006157C">
              <w:t>access and interpret regulatory information and determine the scope of compliance for specific business operations</w:t>
            </w:r>
          </w:p>
          <w:p w:rsidR="00000000" w:rsidRPr="0006157C" w:rsidP="0006157C">
            <w:pPr>
              <w:pStyle w:val="ListBullet"/>
            </w:pPr>
            <w:r w:rsidRPr="0006157C">
              <w:t>develop a diverse r</w:t>
            </w:r>
            <w:r w:rsidRPr="0006157C">
              <w:t>ange of policies and procedures for legal compliance</w:t>
            </w:r>
          </w:p>
          <w:p w:rsidR="00000000" w:rsidRPr="0006157C" w:rsidP="0006157C">
            <w:pPr>
              <w:pStyle w:val="ListBullet"/>
            </w:pPr>
            <w:r w:rsidRPr="0006157C">
              <w:t>integrate, into compliance planning activities, knowledge of:</w:t>
            </w:r>
          </w:p>
          <w:p w:rsidR="00000000" w:rsidRPr="0006157C" w:rsidP="0006157C">
            <w:pPr>
              <w:pStyle w:val="ListBullet2"/>
            </w:pPr>
            <w:r w:rsidRPr="0006157C">
              <w:t>sources of detailed information and advice on regulatory compliance</w:t>
            </w:r>
          </w:p>
          <w:p w:rsidR="00000000" w:rsidRPr="0006157C" w:rsidP="0006157C">
            <w:pPr>
              <w:pStyle w:val="ListBullet2"/>
            </w:pPr>
            <w:r w:rsidRPr="0006157C">
              <w:t>objectives and primary components of a broad range of local, state, territory and commonwealth government laws relevant to specific tourism, hospitality or event business operations</w:t>
            </w:r>
          </w:p>
          <w:p w:rsidR="00000000" w:rsidP="0006157C">
            <w:pPr>
              <w:pStyle w:val="ListBullet2"/>
              <w:rPr>
                <w:lang w:val="en-NZ"/>
              </w:rPr>
            </w:pPr>
            <w:r w:rsidRPr="0006157C">
              <w:t>use of policies and procedures in managing regulatory compliance.</w:t>
            </w:r>
          </w:p>
        </w:tc>
      </w:tr>
      <w:tr w:rsidTr="00D94688">
        <w:tblPrEx>
          <w:tblW w:w="0" w:type="auto"/>
          <w:tblCellMar>
            <w:left w:w="62" w:type="dxa"/>
            <w:right w:w="62" w:type="dxa"/>
          </w:tblCellMar>
          <w:tblLook w:val="0000"/>
        </w:tblPrEx>
        <w:trPr>
          <w:trHeight w:val="361"/>
        </w:trPr>
        <w:tc>
          <w:tcPr>
            <w:tcW w:w="0" w:type="auto"/>
            <w:tcBorders>
              <w:top w:val="nil"/>
              <w:left w:val="nil"/>
              <w:bottom w:val="nil"/>
              <w:right w:val="nil"/>
            </w:tcBorders>
            <w:tcMar>
              <w:top w:w="0" w:type="dxa"/>
              <w:left w:w="62" w:type="dxa"/>
              <w:bottom w:w="0" w:type="dxa"/>
              <w:right w:w="62" w:type="dxa"/>
            </w:tcMar>
          </w:tcPr>
          <w:p w:rsidR="00000000" w:rsidP="0006157C">
            <w:pPr>
              <w:pStyle w:val="BodyText"/>
              <w:rPr>
                <w:lang w:val="en-NZ"/>
              </w:rPr>
            </w:pPr>
            <w:r w:rsidRPr="0006157C">
              <w:rPr>
                <w:rStyle w:val="SpecialBold"/>
              </w:rPr>
              <w:t>Context</w:t>
            </w:r>
            <w:r w:rsidRPr="0006157C">
              <w:rPr>
                <w:rStyle w:val="SpecialBold"/>
              </w:rPr>
              <w:t xml:space="preserve"> of and specific resources for assessment</w:t>
            </w:r>
          </w:p>
        </w:tc>
        <w:tc>
          <w:tcPr>
            <w:tcW w:w="0" w:type="auto"/>
            <w:tcBorders>
              <w:top w:val="nil"/>
              <w:left w:val="nil"/>
              <w:bottom w:val="nil"/>
              <w:right w:val="nil"/>
            </w:tcBorders>
            <w:tcMar>
              <w:top w:w="0" w:type="dxa"/>
              <w:left w:w="62" w:type="dxa"/>
              <w:bottom w:w="0" w:type="dxa"/>
              <w:right w:w="62" w:type="dxa"/>
            </w:tcMar>
          </w:tcPr>
          <w:p w:rsidR="00000000" w:rsidRPr="0006157C" w:rsidP="0006157C">
            <w:pPr>
              <w:pStyle w:val="BodyText"/>
            </w:pPr>
            <w:r w:rsidRPr="0006157C">
              <w:t>Assessment must ensure use of:</w:t>
            </w:r>
          </w:p>
          <w:p w:rsidR="00000000" w:rsidRPr="0006157C" w:rsidP="0006157C">
            <w:pPr>
              <w:pStyle w:val="ListBullet"/>
            </w:pPr>
            <w:r w:rsidRPr="0006157C">
              <w:t>a real or simulated tourism, hospitality or event industry business operation for which a tailored set of regulatory requirements can be researched and compliance management implemen</w:t>
            </w:r>
            <w:r w:rsidRPr="0006157C">
              <w:t>ted</w:t>
            </w:r>
          </w:p>
          <w:p w:rsidR="00000000" w:rsidRPr="0006157C" w:rsidP="0006157C">
            <w:pPr>
              <w:pStyle w:val="ListBullet"/>
            </w:pPr>
            <w:r w:rsidRPr="0006157C">
              <w:t>computers, software programs, printers and communication technology used to administer regulatory requirements</w:t>
            </w:r>
          </w:p>
          <w:p w:rsidR="00000000" w:rsidRPr="0006157C" w:rsidP="0006157C">
            <w:pPr>
              <w:pStyle w:val="ListBullet"/>
            </w:pPr>
            <w:r w:rsidRPr="0006157C">
              <w:t>current legislation</w:t>
            </w:r>
          </w:p>
          <w:p w:rsidR="00000000" w:rsidRPr="0006157C" w:rsidP="0006157C">
            <w:pPr>
              <w:pStyle w:val="ListBullet"/>
            </w:pPr>
            <w:r w:rsidRPr="0006157C">
              <w:t>current plain English regulatory documents distributed by government regulators</w:t>
            </w:r>
          </w:p>
          <w:p w:rsidR="00000000" w:rsidRPr="0006157C" w:rsidP="0006157C">
            <w:pPr>
              <w:pStyle w:val="ListBullet"/>
            </w:pPr>
            <w:r w:rsidRPr="0006157C">
              <w:t>codes of practice and standards issued by regulatory authorities</w:t>
            </w:r>
          </w:p>
          <w:p w:rsidR="00000000" w:rsidRPr="0006157C" w:rsidP="0006157C">
            <w:pPr>
              <w:pStyle w:val="ListBullet"/>
            </w:pPr>
            <w:r w:rsidRPr="0006157C">
              <w:t>regulatory information and business management manuals issued by industry associations or commercial publishers</w:t>
            </w:r>
          </w:p>
          <w:p w:rsidR="00000000" w:rsidP="0006157C">
            <w:pPr>
              <w:pStyle w:val="ListBullet"/>
              <w:rPr>
                <w:lang w:val="en-NZ"/>
              </w:rPr>
            </w:pPr>
            <w:r w:rsidRPr="0006157C">
              <w:t>current commercial policies and procedures used to manage regulatory issues.</w:t>
            </w:r>
          </w:p>
        </w:tc>
      </w:tr>
      <w:tr w:rsidTr="00D9468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6157C">
            <w:pPr>
              <w:pStyle w:val="BodyText"/>
              <w:rPr>
                <w:lang w:val="en-NZ"/>
              </w:rPr>
            </w:pPr>
            <w:r w:rsidRPr="0006157C">
              <w:rPr>
                <w:rStyle w:val="SpecialBold"/>
              </w:rPr>
              <w:t>M</w:t>
            </w:r>
            <w:r w:rsidRPr="0006157C">
              <w:rPr>
                <w:rStyle w:val="SpecialBold"/>
              </w:rPr>
              <w:t>ethod of assessment</w:t>
            </w:r>
          </w:p>
        </w:tc>
        <w:tc>
          <w:tcPr>
            <w:tcW w:w="0" w:type="auto"/>
            <w:tcBorders>
              <w:top w:val="nil"/>
              <w:left w:val="nil"/>
              <w:bottom w:val="nil"/>
              <w:right w:val="nil"/>
            </w:tcBorders>
            <w:tcMar>
              <w:top w:w="0" w:type="dxa"/>
              <w:left w:w="62" w:type="dxa"/>
              <w:bottom w:w="0" w:type="dxa"/>
              <w:right w:w="62" w:type="dxa"/>
            </w:tcMar>
          </w:tcPr>
          <w:p w:rsidR="00000000" w:rsidRPr="0006157C" w:rsidP="0006157C">
            <w:pPr>
              <w:pStyle w:val="BodyText"/>
            </w:pPr>
            <w:r w:rsidRPr="0006157C">
              <w:t xml:space="preserve">A range of assessment methods should be used to assess practical skills and knowledge. The following examples are appropriate for this unit: </w:t>
            </w:r>
          </w:p>
          <w:p w:rsidR="00000000" w:rsidRPr="0006157C" w:rsidP="0006157C">
            <w:pPr>
              <w:pStyle w:val="ListBullet"/>
            </w:pPr>
            <w:r w:rsidRPr="0006157C">
              <w:t xml:space="preserve">evaluation of a portfolio, prepared by the individual, on managing regulatory compliance for </w:t>
            </w:r>
            <w:r w:rsidRPr="0006157C">
              <w:t>a specific business operation including:</w:t>
            </w:r>
          </w:p>
          <w:p w:rsidR="00000000" w:rsidRPr="0006157C" w:rsidP="0006157C">
            <w:pPr>
              <w:pStyle w:val="ListBullet2"/>
            </w:pPr>
            <w:r w:rsidRPr="0006157C">
              <w:t>notes and reports on regulatory information sourced</w:t>
            </w:r>
          </w:p>
          <w:p w:rsidR="00000000" w:rsidRPr="0006157C" w:rsidP="0006157C">
            <w:pPr>
              <w:pStyle w:val="ListBullet2"/>
            </w:pPr>
            <w:r w:rsidRPr="0006157C">
              <w:t>written report evaluating the scope of compliance requirements</w:t>
            </w:r>
          </w:p>
          <w:p w:rsidR="00000000" w:rsidRPr="0006157C" w:rsidP="0006157C">
            <w:pPr>
              <w:pStyle w:val="ListBullet2"/>
            </w:pPr>
            <w:r w:rsidRPr="0006157C">
              <w:t>list of policies and procedures required to manage regulatory compliance</w:t>
            </w:r>
          </w:p>
          <w:p w:rsidR="00000000" w:rsidRPr="0006157C" w:rsidP="0006157C">
            <w:pPr>
              <w:pStyle w:val="ListBullet2"/>
            </w:pPr>
            <w:r w:rsidRPr="0006157C">
              <w:t>sample policies and procedures</w:t>
            </w:r>
          </w:p>
          <w:p w:rsidR="00000000" w:rsidRPr="0006157C" w:rsidP="0006157C">
            <w:pPr>
              <w:pStyle w:val="ListBullet2"/>
            </w:pPr>
            <w:r w:rsidRPr="0006157C">
              <w:t>documents completed for submission to regulatory authorities</w:t>
            </w:r>
          </w:p>
          <w:p w:rsidR="00000000" w:rsidRPr="0006157C" w:rsidP="0006157C">
            <w:pPr>
              <w:pStyle w:val="ListBullet2"/>
            </w:pPr>
            <w:r w:rsidRPr="0006157C">
              <w:t>briefings and internal memos provided to personnel on current compliance requirements</w:t>
            </w:r>
          </w:p>
          <w:p w:rsidR="00000000" w:rsidRPr="0006157C" w:rsidP="0006157C">
            <w:pPr>
              <w:pStyle w:val="ListBullet"/>
            </w:pPr>
            <w:r w:rsidRPr="0006157C">
              <w:t>use of case studies so the individual can suggest appropriate scope of regula</w:t>
            </w:r>
            <w:r w:rsidRPr="0006157C">
              <w:t>tory compliance requirements for different business operations</w:t>
            </w:r>
          </w:p>
          <w:p w:rsidR="00000000" w:rsidRPr="0006157C" w:rsidP="0006157C">
            <w:pPr>
              <w:pStyle w:val="ListBullet"/>
            </w:pPr>
            <w:r w:rsidRPr="0006157C">
              <w:t>written or oral questioning to assess knowledge of:</w:t>
            </w:r>
          </w:p>
          <w:p w:rsidR="00000000" w:rsidRPr="0006157C" w:rsidP="0006157C">
            <w:pPr>
              <w:pStyle w:val="ListBullet2"/>
            </w:pPr>
            <w:r w:rsidRPr="0006157C">
              <w:t>sources of information on regulatory compliance</w:t>
            </w:r>
          </w:p>
          <w:p w:rsidR="00000000" w:rsidRPr="0006157C" w:rsidP="0006157C">
            <w:pPr>
              <w:pStyle w:val="ListBullet2"/>
            </w:pPr>
            <w:r w:rsidRPr="0006157C">
              <w:t>objectives and primary components of laws relevant to specific tourism, hospitality or event</w:t>
            </w:r>
            <w:r w:rsidRPr="0006157C">
              <w:t>s business operations</w:t>
            </w:r>
          </w:p>
          <w:p w:rsidR="00000000" w:rsidRPr="0006157C" w:rsidP="0006157C">
            <w:pPr>
              <w:pStyle w:val="ListBullet2"/>
            </w:pPr>
            <w:r w:rsidRPr="0006157C">
              <w:t>use of policies and procedures in managing regulatory compliance</w:t>
            </w:r>
          </w:p>
          <w:p w:rsidR="00000000" w:rsidP="0006157C">
            <w:pPr>
              <w:pStyle w:val="ListBullet"/>
              <w:rPr>
                <w:lang w:val="en-NZ"/>
              </w:rPr>
            </w:pPr>
            <w:r w:rsidRPr="0006157C">
              <w:t>review of portfolios of evidence and third</w:t>
            </w:r>
            <w:r w:rsidRPr="0006157C">
              <w:noBreakHyphen/>
              <w:t>party workplace reports of on</w:t>
            </w:r>
            <w:r w:rsidRPr="0006157C">
              <w:noBreakHyphen/>
              <w:t>the</w:t>
            </w:r>
            <w:r w:rsidRPr="0006157C">
              <w:noBreakHyphen/>
              <w:t xml:space="preserve">job performance by the individual. </w:t>
            </w:r>
          </w:p>
        </w:tc>
      </w:tr>
      <w:tr w:rsidTr="00D9468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6157C">
            <w:pPr>
              <w:pStyle w:val="BodyText"/>
              <w:rPr>
                <w:lang w:val="en-NZ"/>
              </w:rPr>
            </w:pPr>
            <w:r w:rsidRPr="0006157C">
              <w:rPr>
                <w:rStyle w:val="SpecialBold"/>
              </w:rPr>
              <w:t>Guidance information for assessment</w:t>
            </w:r>
          </w:p>
        </w:tc>
        <w:tc>
          <w:tcPr>
            <w:tcW w:w="0" w:type="auto"/>
            <w:tcBorders>
              <w:top w:val="nil"/>
              <w:left w:val="nil"/>
              <w:bottom w:val="nil"/>
              <w:right w:val="nil"/>
            </w:tcBorders>
            <w:tcMar>
              <w:top w:w="0" w:type="dxa"/>
              <w:left w:w="62" w:type="dxa"/>
              <w:bottom w:w="0" w:type="dxa"/>
              <w:right w:w="62" w:type="dxa"/>
            </w:tcMar>
          </w:tcPr>
          <w:p w:rsidR="00000000" w:rsidRPr="0006157C" w:rsidP="0006157C">
            <w:pPr>
              <w:pStyle w:val="BodyText"/>
            </w:pPr>
            <w:r w:rsidRPr="0006157C">
              <w:t xml:space="preserve">The assessor should design integrated assessment activities to holistically assess this unit with other units relevant to the industry sector, workplace and job role, for example: </w:t>
            </w:r>
          </w:p>
          <w:p w:rsidR="00000000" w:rsidRPr="0006157C" w:rsidP="0006157C">
            <w:pPr>
              <w:pStyle w:val="ListBullet"/>
            </w:pPr>
            <w:r w:rsidRPr="0006157C">
              <w:t>BSBMGT617A Develop and implement a business plan</w:t>
            </w:r>
          </w:p>
          <w:p w:rsidR="00000000" w:rsidRPr="0006157C" w:rsidP="0006157C">
            <w:pPr>
              <w:pStyle w:val="ListBullet"/>
            </w:pPr>
            <w:r w:rsidRPr="0006157C">
              <w:t>BSBPMG501A Manage project</w:t>
            </w:r>
            <w:r w:rsidRPr="0006157C">
              <w:t>s</w:t>
            </w:r>
          </w:p>
          <w:p w:rsidR="00000000" w:rsidRPr="0006157C" w:rsidP="0006157C">
            <w:pPr>
              <w:pStyle w:val="ListBullet"/>
            </w:pPr>
            <w:r w:rsidRPr="0006157C">
              <w:t>BSBRSK501A Manage risk</w:t>
            </w:r>
          </w:p>
          <w:p w:rsidR="00000000" w:rsidRPr="0006157C" w:rsidP="0006157C">
            <w:pPr>
              <w:pStyle w:val="ListBullet"/>
            </w:pPr>
            <w:r w:rsidRPr="0006157C">
              <w:t>BSBWRT401A Write complex documents.</w:t>
            </w:r>
          </w:p>
        </w:tc>
      </w:tr>
    </w:tbl>
    <w:p w:rsidR="00000000" w:rsidRPr="0006157C" w:rsidP="0006157C">
      <w:pPr>
        <w:pStyle w:val="BodyText"/>
      </w:pPr>
    </w:p>
    <w:p w:rsidR="00000000" w:rsidRPr="0006157C" w:rsidP="0006157C">
      <w:pPr>
        <w:pStyle w:val="AllowPageBreak"/>
      </w:pPr>
    </w:p>
    <w:p w:rsidR="00000000" w:rsidRPr="0006157C" w:rsidP="0006157C">
      <w:pPr>
        <w:pStyle w:val="Heading1"/>
      </w:pPr>
      <w:bookmarkStart w:id="11" w:name="O_613734"/>
      <w:bookmarkEnd w:id="11"/>
      <w:r w:rsidRPr="0006157C">
        <w:t>Range Statement</w:t>
      </w:r>
    </w:p>
    <w:tbl>
      <w:tblPr>
        <w:tblW w:w="0" w:type="auto"/>
        <w:tblCellMar>
          <w:left w:w="62" w:type="dxa"/>
          <w:right w:w="62" w:type="dxa"/>
        </w:tblCellMar>
        <w:tblLook w:val="0000"/>
      </w:tblPr>
      <w:tblGrid>
        <w:gridCol w:w="3007"/>
        <w:gridCol w:w="6189"/>
      </w:tblGrid>
      <w:tr w:rsidTr="00D94688">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06157C">
            <w:pPr>
              <w:pStyle w:val="BodyText"/>
              <w:rPr>
                <w:lang w:val="en-NZ"/>
              </w:rPr>
            </w:pPr>
            <w:r w:rsidRPr="0006157C">
              <w:t>The range statement relates to the unit of competency as a whole. It allows for different work environments and situations that may affect performance. Bold ita</w:t>
            </w:r>
            <w:r w:rsidRPr="0006157C">
              <w:t>licised wording, if used in the performance criteria, is detailed below. Essential operating conditions that may be present with training and assessment (depending on the work situation, needs of the candidate, accessibility of the item, and local industry</w:t>
            </w:r>
            <w:r w:rsidRPr="0006157C">
              <w:t xml:space="preserve"> and regional contexts) may also be included.</w:t>
            </w:r>
          </w:p>
        </w:tc>
      </w:tr>
      <w:tr w:rsidTr="00D9468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6157C">
            <w:pPr>
              <w:pStyle w:val="BodyText"/>
              <w:rPr>
                <w:lang w:val="en-NZ"/>
              </w:rPr>
            </w:pPr>
            <w:r w:rsidRPr="0006157C">
              <w:rPr>
                <w:rStyle w:val="BoldandItalics"/>
              </w:rPr>
              <w:t>Sources of information</w:t>
            </w:r>
            <w:r w:rsidRPr="0006157C">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06157C" w:rsidP="0006157C">
            <w:pPr>
              <w:pStyle w:val="ListBullet"/>
            </w:pPr>
            <w:r w:rsidRPr="0006157C">
              <w:t>computer data, including the Internet</w:t>
            </w:r>
          </w:p>
          <w:p w:rsidR="00000000" w:rsidRPr="0006157C" w:rsidP="0006157C">
            <w:pPr>
              <w:pStyle w:val="ListBullet"/>
            </w:pPr>
            <w:r w:rsidRPr="0006157C">
              <w:t>discussions with experienced industry personnel</w:t>
            </w:r>
          </w:p>
          <w:p w:rsidR="00000000" w:rsidRPr="0006157C" w:rsidP="0006157C">
            <w:pPr>
              <w:pStyle w:val="ListBullet"/>
            </w:pPr>
            <w:r w:rsidRPr="0006157C">
              <w:t>industry:</w:t>
            </w:r>
          </w:p>
          <w:p w:rsidR="00000000" w:rsidRPr="0006157C" w:rsidP="0006157C">
            <w:pPr>
              <w:pStyle w:val="ListBullet2"/>
            </w:pPr>
            <w:r w:rsidRPr="0006157C">
              <w:t>accreditation operators</w:t>
            </w:r>
          </w:p>
          <w:p w:rsidR="00000000" w:rsidRPr="0006157C" w:rsidP="0006157C">
            <w:pPr>
              <w:pStyle w:val="ListBullet2"/>
            </w:pPr>
            <w:r w:rsidRPr="0006157C">
              <w:t>associations and organisations</w:t>
            </w:r>
          </w:p>
          <w:p w:rsidR="00000000" w:rsidRPr="0006157C" w:rsidP="0006157C">
            <w:pPr>
              <w:pStyle w:val="ListBullet2"/>
            </w:pPr>
            <w:r w:rsidRPr="0006157C">
              <w:t>developers of codes of conduct or ethics</w:t>
            </w:r>
          </w:p>
          <w:p w:rsidR="00000000" w:rsidRPr="0006157C" w:rsidP="0006157C">
            <w:pPr>
              <w:pStyle w:val="ListBullet2"/>
            </w:pPr>
            <w:r w:rsidRPr="0006157C">
              <w:t>journals</w:t>
            </w:r>
          </w:p>
          <w:p w:rsidR="00000000" w:rsidRPr="0006157C" w:rsidP="0006157C">
            <w:pPr>
              <w:pStyle w:val="ListBullet2"/>
            </w:pPr>
            <w:r w:rsidRPr="0006157C">
              <w:t>seminars</w:t>
            </w:r>
          </w:p>
          <w:p w:rsidR="00000000" w:rsidRPr="0006157C" w:rsidP="0006157C">
            <w:pPr>
              <w:pStyle w:val="ListBullet"/>
            </w:pPr>
            <w:r w:rsidRPr="0006157C">
              <w:t>lawyers</w:t>
            </w:r>
          </w:p>
          <w:p w:rsidR="00000000" w:rsidRPr="0006157C" w:rsidP="0006157C">
            <w:pPr>
              <w:pStyle w:val="ListBullet"/>
            </w:pPr>
            <w:r w:rsidRPr="0006157C">
              <w:t>networking with:</w:t>
            </w:r>
          </w:p>
          <w:p w:rsidR="00000000" w:rsidRPr="0006157C" w:rsidP="0006157C">
            <w:pPr>
              <w:pStyle w:val="ListBullet2"/>
            </w:pPr>
            <w:r w:rsidRPr="0006157C">
              <w:t>colleagues</w:t>
            </w:r>
          </w:p>
          <w:p w:rsidR="00000000" w:rsidRPr="0006157C" w:rsidP="0006157C">
            <w:pPr>
              <w:pStyle w:val="ListBullet2"/>
            </w:pPr>
            <w:r w:rsidRPr="0006157C">
              <w:t>suppliers</w:t>
            </w:r>
          </w:p>
          <w:p w:rsidR="00000000" w:rsidRPr="0006157C" w:rsidP="0006157C">
            <w:pPr>
              <w:pStyle w:val="ListBullet"/>
            </w:pPr>
            <w:r w:rsidRPr="0006157C">
              <w:t>plain English documents, issued by government regulators, that describe laws relevant to business operations</w:t>
            </w:r>
          </w:p>
          <w:p w:rsidR="00000000" w:rsidRPr="0006157C" w:rsidP="0006157C">
            <w:pPr>
              <w:pStyle w:val="ListBullet"/>
            </w:pPr>
            <w:r w:rsidRPr="0006157C">
              <w:t>libraries</w:t>
            </w:r>
          </w:p>
          <w:p w:rsidR="00000000" w:rsidRPr="0006157C" w:rsidP="0006157C">
            <w:pPr>
              <w:pStyle w:val="ListBullet"/>
            </w:pPr>
            <w:r w:rsidRPr="0006157C">
              <w:t>media</w:t>
            </w:r>
          </w:p>
          <w:p w:rsidR="00000000" w:rsidRPr="0006157C" w:rsidP="0006157C">
            <w:pPr>
              <w:pStyle w:val="ListBullet"/>
            </w:pPr>
            <w:r w:rsidRPr="0006157C">
              <w:t>personal observations a</w:t>
            </w:r>
            <w:r w:rsidRPr="0006157C">
              <w:t>nd experience</w:t>
            </w:r>
          </w:p>
          <w:p w:rsidR="00000000" w:rsidRPr="0006157C" w:rsidP="0006157C">
            <w:pPr>
              <w:pStyle w:val="ListBullet"/>
            </w:pPr>
            <w:r w:rsidRPr="0006157C">
              <w:t>reference books</w:t>
            </w:r>
          </w:p>
          <w:p w:rsidR="00000000" w:rsidRPr="0006157C" w:rsidP="0006157C">
            <w:pPr>
              <w:pStyle w:val="ListBullet"/>
            </w:pPr>
            <w:r w:rsidRPr="0006157C">
              <w:t>local, state, territory or commonwealth government departments or regulatory agencies</w:t>
            </w:r>
          </w:p>
          <w:p w:rsidR="00000000" w:rsidRPr="0006157C" w:rsidP="0006157C">
            <w:pPr>
              <w:pStyle w:val="ListBullet"/>
            </w:pPr>
            <w:r w:rsidRPr="0006157C">
              <w:t>training courses</w:t>
            </w:r>
          </w:p>
          <w:p w:rsidR="00000000" w:rsidP="0006157C">
            <w:pPr>
              <w:pStyle w:val="ListBullet"/>
              <w:rPr>
                <w:lang w:val="en-NZ"/>
              </w:rPr>
            </w:pPr>
            <w:r w:rsidRPr="0006157C">
              <w:t>unions.</w:t>
            </w:r>
          </w:p>
        </w:tc>
      </w:tr>
      <w:tr w:rsidTr="00D94688">
        <w:tblPrEx>
          <w:tblW w:w="0" w:type="auto"/>
          <w:tblCellMar>
            <w:left w:w="62" w:type="dxa"/>
            <w:right w:w="62" w:type="dxa"/>
          </w:tblCellMar>
          <w:tblLook w:val="0000"/>
        </w:tblPrEx>
        <w:trPr>
          <w:trHeight w:val="361"/>
        </w:trPr>
        <w:tc>
          <w:tcPr>
            <w:tcW w:w="0" w:type="auto"/>
            <w:tcBorders>
              <w:top w:val="nil"/>
              <w:left w:val="nil"/>
              <w:bottom w:val="nil"/>
              <w:right w:val="nil"/>
            </w:tcBorders>
            <w:tcMar>
              <w:top w:w="0" w:type="dxa"/>
              <w:left w:w="62" w:type="dxa"/>
              <w:bottom w:w="0" w:type="dxa"/>
              <w:right w:w="62" w:type="dxa"/>
            </w:tcMar>
          </w:tcPr>
          <w:p w:rsidR="00000000" w:rsidP="0006157C">
            <w:pPr>
              <w:pStyle w:val="BodyText"/>
              <w:rPr>
                <w:lang w:val="en-NZ"/>
              </w:rPr>
            </w:pPr>
            <w:r w:rsidRPr="0006157C">
              <w:rPr>
                <w:rStyle w:val="BoldandItalics"/>
              </w:rPr>
              <w:t>Laws and licensing</w:t>
            </w:r>
            <w:r w:rsidRPr="0006157C">
              <w:t xml:space="preserve"> may involve:</w:t>
            </w:r>
          </w:p>
        </w:tc>
        <w:tc>
          <w:tcPr>
            <w:tcW w:w="0" w:type="auto"/>
            <w:tcBorders>
              <w:top w:val="nil"/>
              <w:left w:val="nil"/>
              <w:bottom w:val="nil"/>
              <w:right w:val="nil"/>
            </w:tcBorders>
            <w:tcMar>
              <w:top w:w="0" w:type="dxa"/>
              <w:left w:w="62" w:type="dxa"/>
              <w:bottom w:w="0" w:type="dxa"/>
              <w:right w:w="62" w:type="dxa"/>
            </w:tcMar>
          </w:tcPr>
          <w:p w:rsidR="00000000" w:rsidRPr="0006157C" w:rsidP="0006157C">
            <w:pPr>
              <w:pStyle w:val="ListBullet"/>
            </w:pPr>
            <w:r w:rsidRPr="0006157C">
              <w:t>anti</w:t>
            </w:r>
            <w:r w:rsidRPr="0006157C">
              <w:noBreakHyphen/>
              <w:t>discrimination</w:t>
            </w:r>
          </w:p>
          <w:p w:rsidR="00000000" w:rsidRPr="0006157C" w:rsidP="0006157C">
            <w:pPr>
              <w:pStyle w:val="ListBullet"/>
            </w:pPr>
            <w:r w:rsidRPr="0006157C">
              <w:t>Criminal Code Act 1995 - child sex offences outside Australia</w:t>
            </w:r>
          </w:p>
          <w:p w:rsidR="00000000" w:rsidRPr="0006157C" w:rsidP="0006157C">
            <w:pPr>
              <w:pStyle w:val="ListBullet"/>
            </w:pPr>
            <w:r w:rsidRPr="0006157C">
              <w:t>consumer protection</w:t>
            </w:r>
          </w:p>
          <w:p w:rsidR="00000000" w:rsidRPr="0006157C" w:rsidP="0006157C">
            <w:pPr>
              <w:pStyle w:val="ListBullet"/>
            </w:pPr>
            <w:r w:rsidRPr="0006157C">
              <w:t>contracts</w:t>
            </w:r>
          </w:p>
          <w:p w:rsidR="00000000" w:rsidRPr="0006157C" w:rsidP="0006157C">
            <w:pPr>
              <w:pStyle w:val="ListBullet"/>
            </w:pPr>
            <w:r w:rsidRPr="0006157C">
              <w:t>EEO</w:t>
            </w:r>
          </w:p>
          <w:p w:rsidR="00000000" w:rsidRPr="0006157C" w:rsidP="0006157C">
            <w:pPr>
              <w:pStyle w:val="ListBullet"/>
            </w:pPr>
            <w:r w:rsidRPr="0006157C">
              <w:t>environmental protection</w:t>
            </w:r>
          </w:p>
          <w:p w:rsidR="00000000" w:rsidRPr="0006157C" w:rsidP="0006157C">
            <w:pPr>
              <w:pStyle w:val="ListBullet"/>
            </w:pPr>
            <w:r w:rsidRPr="0006157C">
              <w:t>Fair Work Act 2009</w:t>
            </w:r>
          </w:p>
          <w:p w:rsidR="00000000" w:rsidRPr="0006157C" w:rsidP="0006157C">
            <w:pPr>
              <w:pStyle w:val="ListBullet"/>
            </w:pPr>
            <w:r w:rsidRPr="0006157C">
              <w:t>financial operations</w:t>
            </w:r>
          </w:p>
          <w:p w:rsidR="00000000" w:rsidRPr="0006157C" w:rsidP="0006157C">
            <w:pPr>
              <w:pStyle w:val="ListBullet"/>
            </w:pPr>
            <w:r w:rsidRPr="0006157C">
              <w:t>food safety</w:t>
            </w:r>
          </w:p>
          <w:p w:rsidR="00000000" w:rsidRPr="0006157C" w:rsidP="0006157C">
            <w:pPr>
              <w:pStyle w:val="ListBullet"/>
            </w:pPr>
            <w:r w:rsidRPr="0006157C">
              <w:t>land management</w:t>
            </w:r>
          </w:p>
          <w:p w:rsidR="00000000" w:rsidRPr="0006157C" w:rsidP="0006157C">
            <w:pPr>
              <w:pStyle w:val="ListBullet"/>
            </w:pPr>
            <w:r w:rsidRPr="0006157C">
              <w:t>local community protection</w:t>
            </w:r>
          </w:p>
          <w:p w:rsidR="00000000" w:rsidRPr="0006157C" w:rsidP="0006157C">
            <w:pPr>
              <w:pStyle w:val="ListBullet"/>
            </w:pPr>
            <w:r w:rsidRPr="0006157C">
              <w:t>liquor</w:t>
            </w:r>
          </w:p>
          <w:p w:rsidR="00000000" w:rsidRPr="0006157C" w:rsidP="0006157C">
            <w:pPr>
              <w:pStyle w:val="ListBullet"/>
            </w:pPr>
            <w:r w:rsidRPr="0006157C">
              <w:t>mandatory codes of conduct, enshrined in legislation</w:t>
            </w:r>
          </w:p>
          <w:p w:rsidR="00000000" w:rsidRPr="0006157C" w:rsidP="0006157C">
            <w:pPr>
              <w:pStyle w:val="ListBullet"/>
            </w:pPr>
            <w:r w:rsidRPr="0006157C">
              <w:t>NES</w:t>
            </w:r>
          </w:p>
          <w:p w:rsidR="00000000" w:rsidRPr="0006157C" w:rsidP="0006157C">
            <w:pPr>
              <w:pStyle w:val="ListBullet"/>
            </w:pPr>
            <w:r w:rsidRPr="0006157C">
              <w:t>occupat</w:t>
            </w:r>
            <w:r w:rsidRPr="0006157C">
              <w:t>ional licences and certification for:</w:t>
            </w:r>
          </w:p>
          <w:p w:rsidR="00000000" w:rsidRPr="0006157C" w:rsidP="0006157C">
            <w:pPr>
              <w:pStyle w:val="ListBullet2"/>
            </w:pPr>
            <w:r w:rsidRPr="0006157C">
              <w:t>food handlers and food safety supervisors</w:t>
            </w:r>
          </w:p>
          <w:p w:rsidR="00000000" w:rsidRPr="0006157C" w:rsidP="0006157C">
            <w:pPr>
              <w:pStyle w:val="ListBullet2"/>
            </w:pPr>
            <w:r w:rsidRPr="0006157C">
              <w:t>operators of table games (dealers) within licensed casinos</w:t>
            </w:r>
          </w:p>
          <w:p w:rsidR="00000000" w:rsidRPr="0006157C" w:rsidP="0006157C">
            <w:pPr>
              <w:pStyle w:val="ListBullet2"/>
            </w:pPr>
            <w:r w:rsidRPr="0006157C">
              <w:t>tour guides operating in certain destinations</w:t>
            </w:r>
          </w:p>
          <w:p w:rsidR="00000000" w:rsidRPr="0006157C" w:rsidP="0006157C">
            <w:pPr>
              <w:pStyle w:val="ListBullet"/>
            </w:pPr>
            <w:r w:rsidRPr="0006157C">
              <w:t>public liability and duty of care</w:t>
            </w:r>
          </w:p>
          <w:p w:rsidR="00000000" w:rsidRPr="0006157C" w:rsidP="0006157C">
            <w:pPr>
              <w:pStyle w:val="ListBullet"/>
            </w:pPr>
            <w:r w:rsidRPr="0006157C">
              <w:t>Queensland Tourism Services Act (20</w:t>
            </w:r>
            <w:r w:rsidRPr="0006157C">
              <w:t>03)</w:t>
            </w:r>
          </w:p>
          <w:p w:rsidR="00000000" w:rsidRPr="0006157C" w:rsidP="0006157C">
            <w:pPr>
              <w:pStyle w:val="ListBullet"/>
            </w:pPr>
            <w:r w:rsidRPr="0006157C">
              <w:t>responsible service of alcohol</w:t>
            </w:r>
          </w:p>
          <w:p w:rsidR="00000000" w:rsidRPr="0006157C" w:rsidP="0006157C">
            <w:pPr>
              <w:pStyle w:val="ListBullet"/>
            </w:pPr>
            <w:r w:rsidRPr="0006157C">
              <w:t>responsible conduct of gaming</w:t>
            </w:r>
          </w:p>
          <w:p w:rsidR="00000000" w:rsidRPr="0006157C" w:rsidP="0006157C">
            <w:pPr>
              <w:pStyle w:val="ListBullet"/>
            </w:pPr>
            <w:r w:rsidRPr="0006157C">
              <w:t>taxation</w:t>
            </w:r>
          </w:p>
          <w:p w:rsidR="00000000" w:rsidRPr="0006157C" w:rsidP="0006157C">
            <w:pPr>
              <w:pStyle w:val="ListBullet"/>
            </w:pPr>
            <w:r w:rsidRPr="0006157C">
              <w:t>travel agents licensing</w:t>
            </w:r>
          </w:p>
          <w:p w:rsidR="00000000" w:rsidRPr="0006157C" w:rsidP="0006157C">
            <w:pPr>
              <w:pStyle w:val="ListBullet"/>
            </w:pPr>
            <w:r w:rsidRPr="0006157C">
              <w:t>work health and safety</w:t>
            </w:r>
          </w:p>
          <w:p w:rsidR="00000000" w:rsidRPr="0006157C" w:rsidP="0006157C">
            <w:pPr>
              <w:pStyle w:val="ListBullet"/>
            </w:pPr>
            <w:r w:rsidRPr="0006157C">
              <w:t>Workers Compensation</w:t>
            </w:r>
          </w:p>
          <w:p w:rsidR="00000000" w:rsidP="0006157C">
            <w:pPr>
              <w:pStyle w:val="ListBullet"/>
              <w:rPr>
                <w:lang w:val="en-NZ"/>
              </w:rPr>
            </w:pPr>
            <w:r w:rsidRPr="0006157C">
              <w:t>workplace relations.</w:t>
            </w:r>
          </w:p>
        </w:tc>
      </w:tr>
      <w:tr w:rsidTr="00D9468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6157C">
            <w:pPr>
              <w:pStyle w:val="BodyText"/>
              <w:rPr>
                <w:lang w:val="en-NZ"/>
              </w:rPr>
            </w:pPr>
            <w:r w:rsidRPr="0006157C">
              <w:rPr>
                <w:rStyle w:val="BoldandItalics"/>
              </w:rPr>
              <w:t>Business operation</w:t>
            </w:r>
            <w:r w:rsidRPr="0006157C">
              <w:t xml:space="preserve"> may be for:</w:t>
            </w:r>
          </w:p>
        </w:tc>
        <w:tc>
          <w:tcPr>
            <w:tcW w:w="0" w:type="auto"/>
            <w:tcBorders>
              <w:top w:val="nil"/>
              <w:left w:val="nil"/>
              <w:bottom w:val="nil"/>
              <w:right w:val="nil"/>
            </w:tcBorders>
            <w:tcMar>
              <w:top w:w="0" w:type="dxa"/>
              <w:left w:w="62" w:type="dxa"/>
              <w:bottom w:w="0" w:type="dxa"/>
              <w:right w:w="62" w:type="dxa"/>
            </w:tcMar>
          </w:tcPr>
          <w:p w:rsidR="00000000" w:rsidRPr="0006157C" w:rsidP="0006157C">
            <w:pPr>
              <w:pStyle w:val="ListBullet"/>
            </w:pPr>
            <w:r w:rsidRPr="0006157C">
              <w:t>day-to-day business operations in:</w:t>
            </w:r>
          </w:p>
          <w:p w:rsidR="00000000" w:rsidRPr="0006157C" w:rsidP="0006157C">
            <w:pPr>
              <w:pStyle w:val="ListBullet2"/>
            </w:pPr>
            <w:r w:rsidRPr="0006157C">
              <w:t>events</w:t>
            </w:r>
          </w:p>
          <w:p w:rsidR="00000000" w:rsidRPr="0006157C" w:rsidP="0006157C">
            <w:pPr>
              <w:pStyle w:val="ListBullet2"/>
            </w:pPr>
            <w:r w:rsidRPr="0006157C">
              <w:t>hospitality</w:t>
            </w:r>
          </w:p>
          <w:p w:rsidR="00000000" w:rsidRPr="0006157C" w:rsidP="0006157C">
            <w:pPr>
              <w:pStyle w:val="ListBullet2"/>
            </w:pPr>
            <w:r w:rsidRPr="0006157C">
              <w:t>tourism</w:t>
            </w:r>
          </w:p>
          <w:p w:rsidR="00000000" w:rsidRPr="0006157C" w:rsidP="0006157C">
            <w:pPr>
              <w:pStyle w:val="ListBullet2"/>
            </w:pPr>
            <w:r w:rsidRPr="0006157C">
              <w:t>travel</w:t>
            </w:r>
          </w:p>
          <w:p w:rsidR="00000000" w:rsidRPr="0006157C" w:rsidP="0006157C">
            <w:pPr>
              <w:pStyle w:val="ListBullet"/>
            </w:pPr>
            <w:r w:rsidRPr="0006157C">
              <w:t>one off:</w:t>
            </w:r>
          </w:p>
          <w:p w:rsidR="00000000" w:rsidRPr="0006157C" w:rsidP="0006157C">
            <w:pPr>
              <w:pStyle w:val="ListBullet2"/>
            </w:pPr>
            <w:r w:rsidRPr="0006157C">
              <w:t>event</w:t>
            </w:r>
          </w:p>
          <w:p w:rsidR="00000000" w:rsidRPr="0006157C" w:rsidP="0006157C">
            <w:pPr>
              <w:pStyle w:val="ListBullet2"/>
            </w:pPr>
            <w:r w:rsidRPr="0006157C">
              <w:t>tour</w:t>
            </w:r>
          </w:p>
          <w:p w:rsidR="00000000" w:rsidRPr="0006157C" w:rsidP="0006157C">
            <w:pPr>
              <w:pStyle w:val="ListBullet2"/>
            </w:pPr>
            <w:r w:rsidRPr="0006157C">
              <w:t>contract</w:t>
            </w:r>
          </w:p>
          <w:p w:rsidR="00000000" w:rsidRPr="0006157C" w:rsidP="0006157C">
            <w:pPr>
              <w:pStyle w:val="ListBullet"/>
            </w:pPr>
            <w:r w:rsidRPr="0006157C">
              <w:t>series of:</w:t>
            </w:r>
          </w:p>
          <w:p w:rsidR="00000000" w:rsidRPr="0006157C" w:rsidP="0006157C">
            <w:pPr>
              <w:pStyle w:val="ListBullet2"/>
            </w:pPr>
            <w:r w:rsidRPr="0006157C">
              <w:t>events</w:t>
            </w:r>
          </w:p>
          <w:p w:rsidR="00000000" w:rsidRPr="0006157C" w:rsidP="0006157C">
            <w:pPr>
              <w:pStyle w:val="ListBullet2"/>
            </w:pPr>
            <w:r w:rsidRPr="0006157C">
              <w:t>tours</w:t>
            </w:r>
          </w:p>
          <w:p w:rsidR="00000000" w:rsidP="0006157C">
            <w:pPr>
              <w:pStyle w:val="ListBullet2"/>
              <w:rPr>
                <w:lang w:val="en-NZ"/>
              </w:rPr>
            </w:pPr>
            <w:r w:rsidRPr="0006157C">
              <w:t>contracts.</w:t>
            </w:r>
          </w:p>
        </w:tc>
      </w:tr>
      <w:tr w:rsidTr="00D94688">
        <w:tblPrEx>
          <w:tblW w:w="0" w:type="auto"/>
          <w:tblCellMar>
            <w:left w:w="62" w:type="dxa"/>
            <w:right w:w="62" w:type="dxa"/>
          </w:tblCellMar>
          <w:tblLook w:val="0000"/>
        </w:tblPrEx>
        <w:trPr>
          <w:trHeight w:val="361"/>
        </w:trPr>
        <w:tc>
          <w:tcPr>
            <w:tcW w:w="0" w:type="auto"/>
            <w:tcBorders>
              <w:top w:val="nil"/>
              <w:left w:val="nil"/>
              <w:bottom w:val="nil"/>
              <w:right w:val="nil"/>
            </w:tcBorders>
            <w:tcMar>
              <w:top w:w="0" w:type="dxa"/>
              <w:left w:w="62" w:type="dxa"/>
              <w:bottom w:w="0" w:type="dxa"/>
              <w:right w:w="62" w:type="dxa"/>
            </w:tcMar>
          </w:tcPr>
          <w:p w:rsidR="00000000" w:rsidP="0006157C">
            <w:pPr>
              <w:pStyle w:val="BodyText"/>
              <w:rPr>
                <w:lang w:val="en-NZ"/>
              </w:rPr>
            </w:pPr>
            <w:r w:rsidRPr="0006157C">
              <w:rPr>
                <w:rStyle w:val="BoldandItalics"/>
              </w:rPr>
              <w:t>Specialist legal advice</w:t>
            </w:r>
            <w:r w:rsidRPr="0006157C">
              <w:t xml:space="preserve"> may involve:</w:t>
            </w:r>
          </w:p>
        </w:tc>
        <w:tc>
          <w:tcPr>
            <w:tcW w:w="0" w:type="auto"/>
            <w:tcBorders>
              <w:top w:val="nil"/>
              <w:left w:val="nil"/>
              <w:bottom w:val="nil"/>
              <w:right w:val="nil"/>
            </w:tcBorders>
            <w:tcMar>
              <w:top w:w="0" w:type="dxa"/>
              <w:left w:w="62" w:type="dxa"/>
              <w:bottom w:w="0" w:type="dxa"/>
              <w:right w:w="62" w:type="dxa"/>
            </w:tcMar>
          </w:tcPr>
          <w:p w:rsidR="00000000" w:rsidRPr="0006157C" w:rsidP="0006157C">
            <w:pPr>
              <w:pStyle w:val="ListBullet"/>
            </w:pPr>
            <w:r w:rsidRPr="0006157C">
              <w:t>compliance consultants</w:t>
            </w:r>
          </w:p>
          <w:p w:rsidR="00000000" w:rsidRPr="0006157C" w:rsidP="0006157C">
            <w:pPr>
              <w:pStyle w:val="ListBullet"/>
            </w:pPr>
            <w:r w:rsidRPr="0006157C">
              <w:t>industry associations</w:t>
            </w:r>
          </w:p>
          <w:p w:rsidR="00000000" w:rsidRPr="0006157C" w:rsidP="0006157C">
            <w:pPr>
              <w:pStyle w:val="ListBullet"/>
            </w:pPr>
            <w:r w:rsidRPr="0006157C">
              <w:t>lawyers</w:t>
            </w:r>
          </w:p>
          <w:p w:rsidR="00000000" w:rsidP="0006157C">
            <w:pPr>
              <w:pStyle w:val="ListBullet"/>
              <w:rPr>
                <w:lang w:val="en-NZ"/>
              </w:rPr>
            </w:pPr>
            <w:r w:rsidRPr="0006157C">
              <w:t>local, state, territory or commonwealth government departments or regulatory agencies.</w:t>
            </w:r>
          </w:p>
        </w:tc>
      </w:tr>
      <w:tr w:rsidTr="00D94688">
        <w:tblPrEx>
          <w:tblW w:w="0" w:type="auto"/>
          <w:tblCellMar>
            <w:left w:w="62" w:type="dxa"/>
            <w:right w:w="62" w:type="dxa"/>
          </w:tblCellMar>
          <w:tblLook w:val="0000"/>
        </w:tblPrEx>
        <w:trPr>
          <w:trHeight w:val="5979"/>
        </w:trPr>
        <w:tc>
          <w:tcPr>
            <w:tcW w:w="0" w:type="auto"/>
            <w:tcBorders>
              <w:top w:val="nil"/>
              <w:left w:val="nil"/>
              <w:bottom w:val="nil"/>
              <w:right w:val="nil"/>
            </w:tcBorders>
            <w:tcMar>
              <w:top w:w="0" w:type="dxa"/>
              <w:left w:w="62" w:type="dxa"/>
              <w:bottom w:w="0" w:type="dxa"/>
              <w:right w:w="62" w:type="dxa"/>
            </w:tcMar>
          </w:tcPr>
          <w:p w:rsidR="00000000" w:rsidP="0006157C">
            <w:pPr>
              <w:pStyle w:val="BodyText"/>
              <w:rPr>
                <w:lang w:val="en-NZ"/>
              </w:rPr>
            </w:pPr>
            <w:r w:rsidRPr="0006157C">
              <w:rPr>
                <w:rStyle w:val="BoldandItalics"/>
              </w:rPr>
              <w:t>Regulatory policies and procedures</w:t>
            </w:r>
            <w:r w:rsidRPr="0006157C">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06157C" w:rsidP="0006157C">
            <w:pPr>
              <w:pStyle w:val="ListBullet"/>
            </w:pPr>
            <w:r w:rsidRPr="0006157C">
              <w:t>accident and incident reporting</w:t>
            </w:r>
          </w:p>
          <w:p w:rsidR="00000000" w:rsidRPr="0006157C" w:rsidP="0006157C">
            <w:pPr>
              <w:pStyle w:val="ListBullet"/>
            </w:pPr>
            <w:r w:rsidRPr="0006157C">
              <w:t>counselling and discipline</w:t>
            </w:r>
          </w:p>
          <w:p w:rsidR="00000000" w:rsidRPr="0006157C" w:rsidP="0006157C">
            <w:pPr>
              <w:pStyle w:val="ListBullet"/>
            </w:pPr>
            <w:r w:rsidRPr="0006157C">
              <w:t>customer service</w:t>
            </w:r>
          </w:p>
          <w:p w:rsidR="00000000" w:rsidRPr="0006157C" w:rsidP="0006157C">
            <w:pPr>
              <w:pStyle w:val="ListBullet"/>
            </w:pPr>
            <w:r w:rsidRPr="0006157C">
              <w:t>cancellations, refunds and exchanges</w:t>
            </w:r>
          </w:p>
          <w:p w:rsidR="00000000" w:rsidRPr="0006157C" w:rsidP="0006157C">
            <w:pPr>
              <w:pStyle w:val="ListBullet"/>
            </w:pPr>
            <w:r w:rsidRPr="0006157C">
              <w:t>EEO</w:t>
            </w:r>
          </w:p>
          <w:p w:rsidR="00000000" w:rsidRPr="0006157C" w:rsidP="0006157C">
            <w:pPr>
              <w:pStyle w:val="ListBullet"/>
            </w:pPr>
            <w:r w:rsidRPr="0006157C">
              <w:t>food handling and hygiene</w:t>
            </w:r>
          </w:p>
          <w:p w:rsidR="00000000" w:rsidRPr="0006157C" w:rsidP="0006157C">
            <w:pPr>
              <w:pStyle w:val="ListBullet"/>
            </w:pPr>
            <w:r w:rsidRPr="0006157C">
              <w:t>harassment</w:t>
            </w:r>
          </w:p>
          <w:p w:rsidR="00000000" w:rsidRPr="0006157C" w:rsidP="0006157C">
            <w:pPr>
              <w:pStyle w:val="ListBullet"/>
            </w:pPr>
            <w:r w:rsidRPr="0006157C">
              <w:t>local community protection</w:t>
            </w:r>
          </w:p>
          <w:p w:rsidR="00000000" w:rsidRPr="0006157C" w:rsidP="0006157C">
            <w:pPr>
              <w:pStyle w:val="ListBullet"/>
            </w:pPr>
            <w:r w:rsidRPr="0006157C">
              <w:t>minimal impact practices to reduce negative environmental impacts of water, energy and site use</w:t>
            </w:r>
          </w:p>
          <w:p w:rsidR="00000000" w:rsidRPr="0006157C" w:rsidP="0006157C">
            <w:pPr>
              <w:pStyle w:val="ListBullet"/>
            </w:pPr>
            <w:r w:rsidRPr="0006157C">
              <w:t>responsible service of alcohol</w:t>
            </w:r>
          </w:p>
          <w:p w:rsidR="00000000" w:rsidRPr="0006157C" w:rsidP="0006157C">
            <w:pPr>
              <w:pStyle w:val="ListBullet"/>
            </w:pPr>
            <w:r w:rsidRPr="0006157C">
              <w:t>responsible conduct of gaming</w:t>
            </w:r>
          </w:p>
          <w:p w:rsidR="00000000" w:rsidRPr="0006157C" w:rsidP="0006157C">
            <w:pPr>
              <w:pStyle w:val="ListBullet"/>
            </w:pPr>
            <w:r w:rsidRPr="0006157C">
              <w:t xml:space="preserve">transport, handling and storage of </w:t>
            </w:r>
            <w:r w:rsidRPr="0006157C">
              <w:t>food</w:t>
            </w:r>
          </w:p>
          <w:p w:rsidR="00000000" w:rsidRPr="0006157C" w:rsidP="0006157C">
            <w:pPr>
              <w:pStyle w:val="ListBullet"/>
            </w:pPr>
            <w:r w:rsidRPr="0006157C">
              <w:t>waste management</w:t>
            </w:r>
          </w:p>
          <w:p w:rsidR="00000000" w:rsidRPr="0006157C" w:rsidP="0006157C">
            <w:pPr>
              <w:pStyle w:val="ListBullet"/>
            </w:pPr>
            <w:r w:rsidRPr="0006157C">
              <w:t>work health and safety:</w:t>
            </w:r>
          </w:p>
          <w:p w:rsidR="00000000" w:rsidRPr="0006157C" w:rsidP="0006157C">
            <w:pPr>
              <w:pStyle w:val="ListBullet2"/>
            </w:pPr>
            <w:r w:rsidRPr="0006157C">
              <w:t>consultation</w:t>
            </w:r>
          </w:p>
          <w:p w:rsidR="00000000" w:rsidRPr="0006157C" w:rsidP="0006157C">
            <w:pPr>
              <w:pStyle w:val="ListBullet2"/>
            </w:pPr>
            <w:r w:rsidRPr="0006157C">
              <w:t>emergency evacuation</w:t>
            </w:r>
          </w:p>
          <w:p w:rsidR="00000000" w:rsidRPr="0006157C" w:rsidP="0006157C">
            <w:pPr>
              <w:pStyle w:val="ListBullet2"/>
            </w:pPr>
            <w:r w:rsidRPr="0006157C">
              <w:t>hazard identification and risk assessment</w:t>
            </w:r>
          </w:p>
          <w:p w:rsidR="00000000" w:rsidP="0006157C">
            <w:pPr>
              <w:pStyle w:val="ListBullet2"/>
              <w:rPr>
                <w:lang w:val="en-NZ"/>
              </w:rPr>
            </w:pPr>
            <w:r w:rsidRPr="0006157C">
              <w:t>occupational rehabilitation.</w:t>
            </w:r>
          </w:p>
        </w:tc>
      </w:tr>
      <w:tr w:rsidTr="00D9468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6157C">
            <w:pPr>
              <w:pStyle w:val="BodyText"/>
              <w:rPr>
                <w:lang w:val="en-NZ"/>
              </w:rPr>
            </w:pPr>
            <w:r w:rsidRPr="0006157C">
              <w:rPr>
                <w:rStyle w:val="BoldandItalics"/>
              </w:rPr>
              <w:t>Information updates</w:t>
            </w:r>
            <w:r w:rsidRPr="0006157C">
              <w:t xml:space="preserve"> may involve:</w:t>
            </w:r>
          </w:p>
        </w:tc>
        <w:tc>
          <w:tcPr>
            <w:tcW w:w="0" w:type="auto"/>
            <w:tcBorders>
              <w:top w:val="nil"/>
              <w:left w:val="nil"/>
              <w:bottom w:val="nil"/>
              <w:right w:val="nil"/>
            </w:tcBorders>
            <w:tcMar>
              <w:top w:w="0" w:type="dxa"/>
              <w:left w:w="62" w:type="dxa"/>
              <w:bottom w:w="0" w:type="dxa"/>
              <w:right w:w="62" w:type="dxa"/>
            </w:tcMar>
          </w:tcPr>
          <w:p w:rsidR="00000000" w:rsidRPr="0006157C" w:rsidP="0006157C">
            <w:pPr>
              <w:pStyle w:val="ListBullet"/>
            </w:pPr>
            <w:r w:rsidRPr="0006157C">
              <w:t>briefings prior to:</w:t>
            </w:r>
          </w:p>
          <w:p w:rsidR="00000000" w:rsidRPr="0006157C" w:rsidP="0006157C">
            <w:pPr>
              <w:pStyle w:val="ListBullet2"/>
            </w:pPr>
            <w:r w:rsidRPr="0006157C">
              <w:t>commencement of service period</w:t>
            </w:r>
          </w:p>
          <w:p w:rsidR="00000000" w:rsidRPr="0006157C" w:rsidP="0006157C">
            <w:pPr>
              <w:pStyle w:val="ListBullet2"/>
            </w:pPr>
            <w:r w:rsidRPr="0006157C">
              <w:t>delivery of tours</w:t>
            </w:r>
          </w:p>
          <w:p w:rsidR="00000000" w:rsidRPr="0006157C" w:rsidP="0006157C">
            <w:pPr>
              <w:pStyle w:val="ListBullet2"/>
            </w:pPr>
            <w:r w:rsidRPr="0006157C">
              <w:t>operation of event or function</w:t>
            </w:r>
          </w:p>
          <w:p w:rsidR="00000000" w:rsidRPr="0006157C" w:rsidP="0006157C">
            <w:pPr>
              <w:pStyle w:val="ListBullet"/>
            </w:pPr>
            <w:r w:rsidRPr="0006157C">
              <w:t>internal memos</w:t>
            </w:r>
          </w:p>
          <w:p w:rsidR="00000000" w:rsidRPr="0006157C" w:rsidP="0006157C">
            <w:pPr>
              <w:pStyle w:val="ListBullet"/>
            </w:pPr>
            <w:r w:rsidRPr="0006157C">
              <w:t>staff handbooks</w:t>
            </w:r>
          </w:p>
          <w:p w:rsidR="00000000" w:rsidRPr="0006157C" w:rsidP="0006157C">
            <w:pPr>
              <w:pStyle w:val="ListBullet"/>
            </w:pPr>
            <w:r w:rsidRPr="0006157C">
              <w:t>staff meetings</w:t>
            </w:r>
          </w:p>
          <w:p w:rsidR="00000000" w:rsidP="0006157C">
            <w:pPr>
              <w:pStyle w:val="ListBullet"/>
              <w:rPr>
                <w:lang w:val="en-NZ"/>
              </w:rPr>
            </w:pPr>
            <w:r w:rsidRPr="0006157C">
              <w:t>training sessions.</w:t>
            </w:r>
          </w:p>
        </w:tc>
      </w:tr>
      <w:tr w:rsidTr="00D9468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6157C">
            <w:pPr>
              <w:pStyle w:val="BodyText"/>
              <w:rPr>
                <w:lang w:val="en-NZ"/>
              </w:rPr>
            </w:pPr>
            <w:r w:rsidRPr="0006157C">
              <w:rPr>
                <w:rStyle w:val="BoldandItalics"/>
              </w:rPr>
              <w:t>Opportunities</w:t>
            </w:r>
            <w:r w:rsidRPr="0006157C">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06157C" w:rsidP="0006157C">
            <w:pPr>
              <w:pStyle w:val="ListBullet"/>
            </w:pPr>
            <w:r w:rsidRPr="0006157C">
              <w:t>discussions with experienced industry personnel</w:t>
            </w:r>
          </w:p>
          <w:p w:rsidR="00000000" w:rsidRPr="0006157C" w:rsidP="0006157C">
            <w:pPr>
              <w:pStyle w:val="ListBullet"/>
            </w:pPr>
            <w:r w:rsidRPr="0006157C">
              <w:t>networking with:</w:t>
            </w:r>
          </w:p>
          <w:p w:rsidR="00000000" w:rsidRPr="0006157C" w:rsidP="0006157C">
            <w:pPr>
              <w:pStyle w:val="ListBullet2"/>
            </w:pPr>
            <w:r w:rsidRPr="0006157C">
              <w:t>colleagues</w:t>
            </w:r>
          </w:p>
          <w:p w:rsidR="00000000" w:rsidRPr="0006157C" w:rsidP="0006157C">
            <w:pPr>
              <w:pStyle w:val="ListBullet2"/>
            </w:pPr>
            <w:r w:rsidRPr="0006157C">
              <w:t>suppliers</w:t>
            </w:r>
          </w:p>
          <w:p w:rsidR="00000000" w:rsidRPr="0006157C" w:rsidP="0006157C">
            <w:pPr>
              <w:pStyle w:val="ListBullet"/>
            </w:pPr>
            <w:r w:rsidRPr="0006157C">
              <w:t>participating in:</w:t>
            </w:r>
          </w:p>
          <w:p w:rsidR="00000000" w:rsidRPr="0006157C" w:rsidP="0006157C">
            <w:pPr>
              <w:pStyle w:val="ListBullet2"/>
            </w:pPr>
            <w:r w:rsidRPr="0006157C">
              <w:t>industry accreditation schemes</w:t>
            </w:r>
          </w:p>
          <w:p w:rsidR="00000000" w:rsidRPr="0006157C" w:rsidP="0006157C">
            <w:pPr>
              <w:pStyle w:val="ListBullet2"/>
            </w:pPr>
            <w:r w:rsidRPr="0006157C">
              <w:t>industry seminars</w:t>
            </w:r>
          </w:p>
          <w:p w:rsidR="00000000" w:rsidRPr="0006157C" w:rsidP="0006157C">
            <w:pPr>
              <w:pStyle w:val="ListBullet2"/>
            </w:pPr>
            <w:r w:rsidRPr="0006157C">
              <w:t>membership of professional industry associations</w:t>
            </w:r>
          </w:p>
          <w:p w:rsidR="00000000" w:rsidRPr="0006157C" w:rsidP="0006157C">
            <w:pPr>
              <w:pStyle w:val="ListBullet2"/>
            </w:pPr>
            <w:r w:rsidRPr="0006157C">
              <w:t>training courses</w:t>
            </w:r>
          </w:p>
          <w:p w:rsidR="00000000" w:rsidRPr="0006157C" w:rsidP="0006157C">
            <w:pPr>
              <w:pStyle w:val="ListBullet"/>
            </w:pPr>
            <w:r w:rsidRPr="0006157C">
              <w:t>subscribing to regulatory newsletters.</w:t>
            </w:r>
          </w:p>
        </w:tc>
      </w:tr>
    </w:tbl>
    <w:p w:rsidR="00000000" w:rsidRPr="0006157C" w:rsidP="0006157C">
      <w:pPr>
        <w:pStyle w:val="BodyText"/>
      </w:pPr>
    </w:p>
    <w:p w:rsidR="00000000" w:rsidRPr="0006157C" w:rsidP="0006157C">
      <w:pPr>
        <w:pStyle w:val="AllowPageBreak"/>
      </w:pPr>
    </w:p>
    <w:p w:rsidR="00000000" w:rsidRPr="0006157C" w:rsidP="0006157C">
      <w:pPr>
        <w:pStyle w:val="Heading1"/>
      </w:pPr>
      <w:bookmarkStart w:id="12" w:name="O_613733"/>
      <w:bookmarkEnd w:id="12"/>
      <w:r w:rsidRPr="0006157C">
        <w:t>Unit Sector(s)</w:t>
      </w:r>
    </w:p>
    <w:p w:rsidR="00000000" w:rsidRPr="0006157C" w:rsidP="0006157C">
      <w:pPr>
        <w:pStyle w:val="BodyText"/>
      </w:pPr>
      <w:r w:rsidRPr="0006157C">
        <w:t>Cross-Sector</w:t>
      </w:r>
    </w:p>
    <w:p w:rsidR="00000000" w:rsidRPr="0006157C" w:rsidP="0006157C">
      <w:pPr>
        <w:pStyle w:val="AllowPageBreak"/>
      </w:pPr>
    </w:p>
    <w:p w:rsidR="00000000" w:rsidRPr="0006157C" w:rsidP="0006157C">
      <w:pPr>
        <w:pStyle w:val="Heading1"/>
      </w:pPr>
      <w:bookmarkStart w:id="13" w:name="O_613732"/>
      <w:bookmarkEnd w:id="13"/>
      <w:r w:rsidRPr="0006157C">
        <w:t>Competency Field</w:t>
      </w:r>
    </w:p>
    <w:p w:rsidR="00000000" w:rsidRPr="0006157C" w:rsidP="0006157C">
      <w:pPr>
        <w:pStyle w:val="BodyText"/>
      </w:pPr>
      <w:r w:rsidRPr="0006157C">
        <w:t>Governance and Legal Compliance</w:t>
      </w:r>
    </w:p>
    <w:p w:rsidR="00000000" w:rsidRPr="0006157C" w:rsidP="0006157C"/>
    <w:sectPr w:rsidSect="0006157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157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157C" w:rsidRPr="00D94688" w:rsidP="00D9468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157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4688" w:rsidP="0006157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13</w:t>
    </w:r>
    <w:r>
      <w:fldChar w:fldCharType="end"/>
    </w:r>
    <w:r>
      <w:t xml:space="preserve"> of </w:t>
    </w:r>
    <w:r>
      <w:fldChar w:fldCharType="begin"/>
    </w:r>
    <w:r>
      <w:instrText xml:space="preserve"> NUMPAGES  \* Arabic  \* MERGEFORMAT </w:instrText>
    </w:r>
    <w:r>
      <w:fldChar w:fldCharType="separate"/>
    </w:r>
    <w:r>
      <w:rPr>
        <w:noProof/>
      </w:rPr>
      <w:t>13</w:t>
    </w:r>
    <w:r>
      <w:rPr>
        <w:noProof/>
      </w:rPr>
      <w:fldChar w:fldCharType="end"/>
    </w:r>
  </w:p>
  <w:p w:rsidR="00D94688" w:rsidP="0006157C">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Service Skills Australia</w:t>
    </w:r>
    <w:r>
      <w:fldChar w:fldCharType="end"/>
    </w:r>
  </w:p>
  <w:p w:rsidR="00D94688" w:rsidP="0006157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157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157C" w:rsidRPr="00D94688" w:rsidP="00D94688">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157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4688" w:rsidRPr="002D2AF8" w:rsidP="0006157C">
    <w:pPr>
      <w:pStyle w:val="Header"/>
      <w:framePr w:wrap="around"/>
    </w:pPr>
    <w:r>
      <w:fldChar w:fldCharType="begin"/>
    </w:r>
    <w:r>
      <w:instrText xml:space="preserve"> TITLE   \* MERGEFORMAT </w:instrText>
    </w:r>
    <w:r>
      <w:fldChar w:fldCharType="separate"/>
    </w:r>
    <w:r>
      <w:t>SITXGLC501 Research and comply with regulatory requirements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10 October 2013</w:t>
    </w:r>
    <w:r>
      <w:fldChar w:fldCharType="end"/>
    </w:r>
  </w:p>
  <w:p w:rsidR="00D94688" w:rsidP="0006157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33E5E3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282EE6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3AE494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6157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6157C"/>
    <w:pPr>
      <w:spacing w:before="360" w:after="60"/>
      <w:outlineLvl w:val="0"/>
    </w:pPr>
    <w:rPr>
      <w:sz w:val="32"/>
    </w:rPr>
  </w:style>
  <w:style w:type="paragraph" w:styleId="Heading2">
    <w:name w:val="heading 2"/>
    <w:basedOn w:val="HeadingBase"/>
    <w:next w:val="BodyText"/>
    <w:link w:val="Heading2Char"/>
    <w:qFormat/>
    <w:rsid w:val="0006157C"/>
    <w:pPr>
      <w:keepLines/>
      <w:spacing w:before="240" w:after="120"/>
      <w:outlineLvl w:val="1"/>
    </w:pPr>
    <w:rPr>
      <w:sz w:val="28"/>
      <w:szCs w:val="40"/>
    </w:rPr>
  </w:style>
  <w:style w:type="paragraph" w:styleId="Heading3">
    <w:name w:val="heading 3"/>
    <w:basedOn w:val="HeadingBase"/>
    <w:next w:val="BodyText"/>
    <w:link w:val="Heading3Char"/>
    <w:qFormat/>
    <w:rsid w:val="0006157C"/>
    <w:pPr>
      <w:spacing w:before="180" w:after="120"/>
      <w:outlineLvl w:val="2"/>
    </w:pPr>
    <w:rPr>
      <w:spacing w:val="-10"/>
      <w:kern w:val="32"/>
    </w:rPr>
  </w:style>
  <w:style w:type="paragraph" w:styleId="Heading4">
    <w:name w:val="heading 4"/>
    <w:basedOn w:val="HeadingBase"/>
    <w:next w:val="BodyText"/>
    <w:link w:val="Heading4Char"/>
    <w:qFormat/>
    <w:rsid w:val="0006157C"/>
    <w:pPr>
      <w:spacing w:before="160" w:after="120"/>
      <w:outlineLvl w:val="3"/>
    </w:pPr>
    <w:rPr>
      <w:sz w:val="22"/>
    </w:rPr>
  </w:style>
  <w:style w:type="paragraph" w:styleId="Heading5">
    <w:name w:val="heading 5"/>
    <w:basedOn w:val="HeadingBase"/>
    <w:next w:val="Normal"/>
    <w:link w:val="Heading5Char"/>
    <w:qFormat/>
    <w:rsid w:val="0006157C"/>
    <w:pPr>
      <w:spacing w:before="80"/>
      <w:outlineLvl w:val="4"/>
    </w:pPr>
    <w:rPr>
      <w:color w:val="918585"/>
      <w:sz w:val="20"/>
    </w:rPr>
  </w:style>
  <w:style w:type="paragraph" w:styleId="Heading6">
    <w:name w:val="heading 6"/>
    <w:basedOn w:val="HeadingBase"/>
    <w:next w:val="Normal"/>
    <w:link w:val="Heading6Char"/>
    <w:qFormat/>
    <w:rsid w:val="0006157C"/>
    <w:pPr>
      <w:spacing w:before="60"/>
      <w:outlineLvl w:val="5"/>
    </w:pPr>
    <w:rPr>
      <w:color w:val="918585"/>
      <w:sz w:val="20"/>
    </w:rPr>
  </w:style>
  <w:style w:type="paragraph" w:styleId="Heading7">
    <w:name w:val="heading 7"/>
    <w:basedOn w:val="Normal"/>
    <w:next w:val="Normal"/>
    <w:link w:val="Heading7Char"/>
    <w:qFormat/>
    <w:rsid w:val="0006157C"/>
    <w:pPr>
      <w:ind w:left="720"/>
      <w:outlineLvl w:val="6"/>
    </w:pPr>
    <w:rPr>
      <w:i/>
    </w:rPr>
  </w:style>
  <w:style w:type="paragraph" w:styleId="Heading8">
    <w:name w:val="heading 8"/>
    <w:basedOn w:val="Normal"/>
    <w:next w:val="Normal"/>
    <w:link w:val="Heading8Char"/>
    <w:qFormat/>
    <w:rsid w:val="0006157C"/>
    <w:pPr>
      <w:ind w:left="720"/>
      <w:outlineLvl w:val="7"/>
    </w:pPr>
    <w:rPr>
      <w:i/>
    </w:rPr>
  </w:style>
  <w:style w:type="paragraph" w:styleId="Heading9">
    <w:name w:val="heading 9"/>
    <w:basedOn w:val="Normal"/>
    <w:next w:val="Normal"/>
    <w:link w:val="Heading9Char"/>
    <w:qFormat/>
    <w:rsid w:val="0006157C"/>
    <w:pPr>
      <w:ind w:left="720"/>
      <w:outlineLvl w:val="8"/>
    </w:pPr>
    <w:rPr>
      <w:i/>
    </w:rPr>
  </w:style>
  <w:style w:type="character" w:default="1" w:styleId="DefaultParagraphFont">
    <w:name w:val="Default Paragraph Font"/>
    <w:uiPriority w:val="1"/>
    <w:unhideWhenUsed/>
    <w:rsid w:val="0006157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6157C"/>
  </w:style>
  <w:style w:type="character" w:customStyle="1" w:styleId="Heading1Char">
    <w:name w:val="Heading 1 Char"/>
    <w:basedOn w:val="DefaultParagraphFont"/>
    <w:link w:val="Heading1"/>
    <w:rsid w:val="0006157C"/>
    <w:rPr>
      <w:rFonts w:ascii="Times New Roman" w:eastAsia="Times New Roman" w:hAnsi="Times New Roman" w:cs="Times New Roman"/>
      <w:b/>
      <w:sz w:val="32"/>
      <w:szCs w:val="20"/>
      <w:lang w:eastAsia="en-US"/>
    </w:rPr>
  </w:style>
  <w:style w:type="paragraph" w:styleId="BodyText">
    <w:name w:val="Body Text"/>
    <w:basedOn w:val="Normal"/>
    <w:link w:val="BodyTextChar"/>
    <w:rsid w:val="0006157C"/>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06157C"/>
    <w:rPr>
      <w:rFonts w:ascii="Times New Roman" w:eastAsia="Times New Roman" w:hAnsi="Times New Roman" w:cs="Times New Roman"/>
      <w:sz w:val="24"/>
      <w:lang w:eastAsia="en-US"/>
    </w:rPr>
  </w:style>
  <w:style w:type="paragraph" w:styleId="List">
    <w:name w:val="List"/>
    <w:basedOn w:val="BodyText"/>
    <w:next w:val="BodyText"/>
    <w:rsid w:val="0006157C"/>
    <w:pPr>
      <w:tabs>
        <w:tab w:val="left" w:pos="340"/>
      </w:tabs>
      <w:spacing w:before="60" w:after="60"/>
      <w:ind w:left="340" w:hanging="340"/>
    </w:pPr>
  </w:style>
  <w:style w:type="paragraph" w:styleId="ListBullet">
    <w:name w:val="List Bullet"/>
    <w:basedOn w:val="List"/>
    <w:rsid w:val="0006157C"/>
    <w:pPr>
      <w:numPr>
        <w:numId w:val="13"/>
      </w:numPr>
      <w:tabs>
        <w:tab w:val="clear" w:pos="340"/>
      </w:tabs>
      <w:spacing w:before="40" w:after="40"/>
    </w:pPr>
  </w:style>
  <w:style w:type="character" w:customStyle="1" w:styleId="SpecialBold">
    <w:name w:val="Special Bold"/>
    <w:basedOn w:val="DefaultParagraphFont"/>
    <w:rsid w:val="0006157C"/>
    <w:rPr>
      <w:b/>
      <w:spacing w:val="0"/>
    </w:rPr>
  </w:style>
  <w:style w:type="paragraph" w:styleId="ListBullet2">
    <w:name w:val="List Bullet 2"/>
    <w:basedOn w:val="List2"/>
    <w:rsid w:val="0006157C"/>
    <w:pPr>
      <w:numPr>
        <w:numId w:val="14"/>
      </w:numPr>
      <w:tabs>
        <w:tab w:val="clear" w:pos="680"/>
      </w:tabs>
    </w:pPr>
  </w:style>
  <w:style w:type="paragraph" w:customStyle="1" w:styleId="SuperHeading">
    <w:name w:val="SuperHeading"/>
    <w:basedOn w:val="Normal"/>
    <w:rsid w:val="0006157C"/>
    <w:pPr>
      <w:spacing w:before="240" w:after="120"/>
      <w:outlineLvl w:val="0"/>
    </w:pPr>
    <w:rPr>
      <w:rFonts w:ascii="Times New Roman" w:hAnsi="Times New Roman"/>
      <w:b/>
      <w:sz w:val="32"/>
    </w:rPr>
  </w:style>
  <w:style w:type="paragraph" w:customStyle="1" w:styleId="AllowPageBreak">
    <w:name w:val="AllowPageBreak"/>
    <w:rsid w:val="0006157C"/>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06157C"/>
    <w:pPr>
      <w:tabs>
        <w:tab w:val="left" w:pos="680"/>
      </w:tabs>
      <w:spacing w:before="60" w:after="60"/>
      <w:ind w:left="680" w:hanging="340"/>
    </w:pPr>
  </w:style>
  <w:style w:type="character" w:customStyle="1" w:styleId="BoldandItalics">
    <w:name w:val="Bold and Italics"/>
    <w:qFormat/>
    <w:rsid w:val="0006157C"/>
    <w:rPr>
      <w:b/>
      <w:i/>
      <w:u w:val="none"/>
    </w:rPr>
  </w:style>
  <w:style w:type="character" w:customStyle="1" w:styleId="Heading2Char">
    <w:name w:val="Heading 2 Char"/>
    <w:basedOn w:val="DefaultParagraphFont"/>
    <w:link w:val="Heading2"/>
    <w:rsid w:val="0006157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6157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6157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6157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6157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6157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6157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6157C"/>
    <w:rPr>
      <w:rFonts w:ascii="Courier New" w:eastAsia="Times New Roman" w:hAnsi="Courier New" w:cs="Times New Roman"/>
      <w:i/>
      <w:szCs w:val="20"/>
      <w:lang w:eastAsia="en-US"/>
    </w:rPr>
  </w:style>
  <w:style w:type="paragraph" w:customStyle="1" w:styleId="HeadingBase">
    <w:name w:val="Heading Base"/>
    <w:rsid w:val="0006157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6157C"/>
    <w:pPr>
      <w:tabs>
        <w:tab w:val="right" w:leader="dot" w:pos="9072"/>
      </w:tabs>
      <w:ind w:left="567"/>
    </w:pPr>
    <w:rPr>
      <w:szCs w:val="22"/>
    </w:rPr>
  </w:style>
  <w:style w:type="paragraph" w:customStyle="1" w:styleId="TOCBase">
    <w:name w:val="TOC Base"/>
    <w:rsid w:val="0006157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6157C"/>
    <w:pPr>
      <w:tabs>
        <w:tab w:val="right" w:leader="dot" w:pos="9072"/>
      </w:tabs>
      <w:spacing w:before="40" w:after="40"/>
      <w:ind w:left="284"/>
    </w:pPr>
    <w:rPr>
      <w:rFonts w:ascii="Times New Roman" w:hAnsi="Times New Roman"/>
    </w:rPr>
  </w:style>
  <w:style w:type="paragraph" w:styleId="TOC1">
    <w:name w:val="toc 1"/>
    <w:basedOn w:val="TOCBase"/>
    <w:next w:val="Normal"/>
    <w:rsid w:val="0006157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6157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6157C"/>
    <w:rPr>
      <w:rFonts w:ascii="Times New Roman" w:eastAsia="Times New Roman" w:hAnsi="Times New Roman" w:cs="Times New Roman"/>
      <w:sz w:val="16"/>
      <w:lang w:eastAsia="en-US"/>
    </w:rPr>
  </w:style>
  <w:style w:type="paragraph" w:styleId="Title">
    <w:name w:val="Title"/>
    <w:basedOn w:val="HeadingBase"/>
    <w:link w:val="TitleChar"/>
    <w:qFormat/>
    <w:rsid w:val="0006157C"/>
    <w:pPr>
      <w:spacing w:before="5040"/>
      <w:jc w:val="center"/>
    </w:pPr>
    <w:rPr>
      <w:sz w:val="48"/>
      <w:szCs w:val="72"/>
      <w:lang w:val="en-US"/>
    </w:rPr>
  </w:style>
  <w:style w:type="character" w:customStyle="1" w:styleId="TitleChar">
    <w:name w:val="Title Char"/>
    <w:basedOn w:val="DefaultParagraphFont"/>
    <w:link w:val="Title"/>
    <w:rsid w:val="0006157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6157C"/>
    <w:pPr>
      <w:tabs>
        <w:tab w:val="left" w:pos="3600"/>
        <w:tab w:val="left" w:pos="3958"/>
      </w:tabs>
    </w:pPr>
  </w:style>
  <w:style w:type="paragraph" w:customStyle="1" w:styleId="Note">
    <w:name w:val="Note"/>
    <w:basedOn w:val="BodyText"/>
    <w:rsid w:val="0006157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6157C"/>
    <w:pPr>
      <w:framePr w:wrap="auto" w:hAnchor="text" w:y="6049"/>
    </w:pPr>
    <w:rPr>
      <w:color w:val="000000"/>
      <w:sz w:val="40"/>
    </w:rPr>
  </w:style>
  <w:style w:type="paragraph" w:customStyle="1" w:styleId="TOCTitle">
    <w:name w:val="TOCTitle"/>
    <w:basedOn w:val="Heading1"/>
    <w:rsid w:val="0006157C"/>
    <w:pPr>
      <w:spacing w:after="240"/>
      <w:jc w:val="center"/>
      <w:outlineLvl w:val="9"/>
    </w:pPr>
    <w:rPr>
      <w:caps/>
    </w:rPr>
  </w:style>
  <w:style w:type="paragraph" w:customStyle="1" w:styleId="Version">
    <w:name w:val="Version"/>
    <w:rsid w:val="0006157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6157C"/>
    <w:pPr>
      <w:keepNext w:val="0"/>
      <w:tabs>
        <w:tab w:val="right" w:pos="4176"/>
      </w:tabs>
      <w:ind w:left="198" w:hanging="198"/>
    </w:pPr>
    <w:rPr>
      <w:rFonts w:ascii="Garamond" w:hAnsi="Garamond"/>
    </w:rPr>
  </w:style>
  <w:style w:type="paragraph" w:styleId="IndexHeading">
    <w:name w:val="index heading"/>
    <w:basedOn w:val="Normal"/>
    <w:next w:val="Index1"/>
    <w:semiHidden/>
    <w:rsid w:val="0006157C"/>
    <w:pPr>
      <w:spacing w:before="120" w:after="120"/>
    </w:pPr>
    <w:rPr>
      <w:rFonts w:ascii="Arial" w:hAnsi="Arial"/>
      <w:b/>
      <w:color w:val="918585"/>
      <w:sz w:val="24"/>
    </w:rPr>
  </w:style>
  <w:style w:type="paragraph" w:styleId="Header">
    <w:name w:val="header"/>
    <w:basedOn w:val="Normal"/>
    <w:link w:val="HeaderChar"/>
    <w:rsid w:val="0006157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6157C"/>
    <w:rPr>
      <w:rFonts w:ascii="Times New Roman" w:eastAsia="Times New Roman" w:hAnsi="Times New Roman" w:cs="Times New Roman"/>
      <w:sz w:val="16"/>
      <w:szCs w:val="20"/>
      <w:lang w:val="en-GB" w:eastAsia="en-US"/>
    </w:rPr>
  </w:style>
  <w:style w:type="paragraph" w:customStyle="1" w:styleId="Chapter">
    <w:name w:val="Chapter"/>
    <w:basedOn w:val="Normal"/>
    <w:rsid w:val="0006157C"/>
    <w:pPr>
      <w:spacing w:before="240"/>
    </w:pPr>
    <w:rPr>
      <w:rFonts w:ascii="Times New Roman" w:hAnsi="Times New Roman"/>
      <w:smallCaps/>
      <w:spacing w:val="80"/>
      <w:sz w:val="28"/>
    </w:rPr>
  </w:style>
  <w:style w:type="paragraph" w:customStyle="1" w:styleId="InChapter">
    <w:name w:val="InChapter"/>
    <w:basedOn w:val="Heading3"/>
    <w:rsid w:val="0006157C"/>
    <w:pPr>
      <w:spacing w:after="240"/>
      <w:outlineLvl w:val="9"/>
    </w:pPr>
    <w:rPr>
      <w:noProof/>
    </w:rPr>
  </w:style>
  <w:style w:type="paragraph" w:styleId="Index2">
    <w:name w:val="index 2"/>
    <w:basedOn w:val="Normal"/>
    <w:next w:val="Normal"/>
    <w:semiHidden/>
    <w:rsid w:val="0006157C"/>
    <w:pPr>
      <w:tabs>
        <w:tab w:val="right" w:pos="4176"/>
      </w:tabs>
      <w:ind w:left="568" w:hanging="284"/>
    </w:pPr>
    <w:rPr>
      <w:rFonts w:ascii="Garamond" w:hAnsi="Garamond"/>
    </w:rPr>
  </w:style>
  <w:style w:type="paragraph" w:customStyle="1" w:styleId="Byline">
    <w:name w:val="Byline"/>
    <w:rsid w:val="0006157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6157C"/>
    <w:pPr>
      <w:tabs>
        <w:tab w:val="clear" w:pos="3600"/>
        <w:tab w:val="clear" w:pos="3958"/>
      </w:tabs>
      <w:jc w:val="right"/>
    </w:pPr>
  </w:style>
  <w:style w:type="character" w:styleId="Emphasis">
    <w:name w:val="Emphasis"/>
    <w:basedOn w:val="DefaultParagraphFont"/>
    <w:qFormat/>
    <w:rsid w:val="0006157C"/>
    <w:rPr>
      <w:i/>
    </w:rPr>
  </w:style>
  <w:style w:type="paragraph" w:styleId="Caption">
    <w:name w:val="caption"/>
    <w:basedOn w:val="BodyText"/>
    <w:next w:val="Normal"/>
    <w:qFormat/>
    <w:rsid w:val="0006157C"/>
    <w:pPr>
      <w:framePr w:w="2268" w:hSpace="181" w:vSpace="181" w:wrap="around" w:vAnchor="text" w:hAnchor="page" w:x="1135" w:y="285" w:anchorLock="1"/>
    </w:pPr>
    <w:rPr>
      <w:i/>
    </w:rPr>
  </w:style>
  <w:style w:type="paragraph" w:customStyle="1" w:styleId="MiniTOCTitle">
    <w:name w:val="MiniTOCTitle"/>
    <w:basedOn w:val="Heading4"/>
    <w:rsid w:val="0006157C"/>
    <w:pPr>
      <w:spacing w:before="240"/>
      <w:outlineLvl w:val="9"/>
    </w:pPr>
    <w:rPr>
      <w:noProof/>
      <w:sz w:val="24"/>
    </w:rPr>
  </w:style>
  <w:style w:type="paragraph" w:customStyle="1" w:styleId="MiniTOCItem">
    <w:name w:val="MiniTOCItem"/>
    <w:basedOn w:val="ListBullet"/>
    <w:rsid w:val="0006157C"/>
    <w:pPr>
      <w:numPr>
        <w:numId w:val="0"/>
      </w:numPr>
      <w:tabs>
        <w:tab w:val="right" w:leader="dot" w:pos="6521"/>
      </w:tabs>
      <w:spacing w:before="0" w:after="0"/>
    </w:pPr>
  </w:style>
  <w:style w:type="paragraph" w:customStyle="1" w:styleId="TOFTitle">
    <w:name w:val="TOFTitle"/>
    <w:basedOn w:val="TOCTitle"/>
    <w:rsid w:val="0006157C"/>
  </w:style>
  <w:style w:type="paragraph" w:styleId="TableofFigures">
    <w:name w:val="table of figures"/>
    <w:basedOn w:val="Normal"/>
    <w:next w:val="Normal"/>
    <w:semiHidden/>
    <w:rsid w:val="0006157C"/>
    <w:pPr>
      <w:tabs>
        <w:tab w:val="right" w:leader="dot" w:pos="9072"/>
      </w:tabs>
      <w:ind w:left="970" w:hanging="403"/>
    </w:pPr>
    <w:rPr>
      <w:rFonts w:ascii="Times New Roman" w:hAnsi="Times New Roman"/>
      <w:b/>
    </w:rPr>
  </w:style>
  <w:style w:type="paragraph" w:styleId="ListNumber">
    <w:name w:val="List Number"/>
    <w:basedOn w:val="List"/>
    <w:rsid w:val="0006157C"/>
    <w:pPr>
      <w:numPr>
        <w:numId w:val="11"/>
      </w:numPr>
    </w:pPr>
  </w:style>
  <w:style w:type="character" w:customStyle="1" w:styleId="WingdingSymbols">
    <w:name w:val="Wingding Symbols"/>
    <w:rsid w:val="0006157C"/>
    <w:rPr>
      <w:rFonts w:ascii="Wingdings" w:hAnsi="Wingdings"/>
    </w:rPr>
  </w:style>
  <w:style w:type="paragraph" w:customStyle="1" w:styleId="TableHeading">
    <w:name w:val="Table Heading"/>
    <w:basedOn w:val="HeadingBase"/>
    <w:rsid w:val="0006157C"/>
    <w:pPr>
      <w:keepLines/>
      <w:pBdr>
        <w:bottom w:val="single" w:sz="6" w:space="1" w:color="918585"/>
      </w:pBdr>
      <w:spacing w:before="240"/>
    </w:pPr>
  </w:style>
  <w:style w:type="character" w:customStyle="1" w:styleId="HotSpot">
    <w:name w:val="HotSpot"/>
    <w:rsid w:val="0006157C"/>
    <w:rPr>
      <w:color w:val="0033CC"/>
      <w:u w:val="none"/>
    </w:rPr>
  </w:style>
  <w:style w:type="paragraph" w:customStyle="1" w:styleId="BodyTextRight">
    <w:name w:val="Body Text Right"/>
    <w:basedOn w:val="BodyText"/>
    <w:rsid w:val="0006157C"/>
    <w:pPr>
      <w:spacing w:before="0" w:after="0"/>
      <w:jc w:val="right"/>
    </w:pPr>
  </w:style>
  <w:style w:type="paragraph" w:styleId="Index3">
    <w:name w:val="index 3"/>
    <w:basedOn w:val="ListNumber2"/>
    <w:next w:val="Normal"/>
    <w:semiHidden/>
    <w:rsid w:val="0006157C"/>
    <w:pPr>
      <w:numPr>
        <w:numId w:val="0"/>
      </w:numPr>
      <w:tabs>
        <w:tab w:val="right" w:leader="dot" w:pos="4176"/>
      </w:tabs>
    </w:pPr>
  </w:style>
  <w:style w:type="paragraph" w:styleId="ListNumber2">
    <w:name w:val="List Number 2"/>
    <w:basedOn w:val="List2"/>
    <w:rsid w:val="0006157C"/>
    <w:pPr>
      <w:numPr>
        <w:numId w:val="10"/>
      </w:numPr>
      <w:tabs>
        <w:tab w:val="clear" w:pos="1060"/>
      </w:tabs>
    </w:pPr>
  </w:style>
  <w:style w:type="paragraph" w:customStyle="1" w:styleId="MarginNote">
    <w:name w:val="Margin Note"/>
    <w:basedOn w:val="BodyText"/>
    <w:rsid w:val="0006157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6157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6157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6157C"/>
    <w:rPr>
      <w:sz w:val="32"/>
    </w:rPr>
  </w:style>
  <w:style w:type="paragraph" w:customStyle="1" w:styleId="HeadingProcedure">
    <w:name w:val="Heading Procedure"/>
    <w:basedOn w:val="HeadingBase"/>
    <w:next w:val="Normal"/>
    <w:rsid w:val="0006157C"/>
    <w:pPr>
      <w:tabs>
        <w:tab w:val="left" w:pos="0"/>
      </w:tabs>
      <w:spacing w:before="120" w:after="60"/>
    </w:pPr>
    <w:rPr>
      <w:i/>
      <w:color w:val="918585"/>
      <w:sz w:val="22"/>
    </w:rPr>
  </w:style>
  <w:style w:type="paragraph" w:customStyle="1" w:styleId="TableBodyText">
    <w:name w:val="Table Body Text"/>
    <w:basedOn w:val="BodyText"/>
    <w:rsid w:val="0006157C"/>
    <w:pPr>
      <w:spacing w:before="60" w:after="60"/>
    </w:pPr>
  </w:style>
  <w:style w:type="paragraph" w:styleId="ListContinue">
    <w:name w:val="List Continue"/>
    <w:basedOn w:val="List"/>
    <w:rsid w:val="0006157C"/>
    <w:pPr>
      <w:ind w:firstLine="0"/>
    </w:pPr>
  </w:style>
  <w:style w:type="paragraph" w:customStyle="1" w:styleId="ListNote">
    <w:name w:val="List Note"/>
    <w:basedOn w:val="List"/>
    <w:rsid w:val="0006157C"/>
    <w:pPr>
      <w:pBdr>
        <w:top w:val="single" w:sz="6" w:space="2" w:color="918585"/>
        <w:bottom w:val="single" w:sz="6" w:space="2" w:color="918585"/>
      </w:pBdr>
      <w:tabs>
        <w:tab w:val="left" w:pos="1021"/>
      </w:tabs>
      <w:ind w:firstLine="0"/>
    </w:pPr>
  </w:style>
  <w:style w:type="paragraph" w:customStyle="1" w:styleId="Warning">
    <w:name w:val="Warning"/>
    <w:basedOn w:val="BodyText"/>
    <w:rsid w:val="0006157C"/>
    <w:pPr>
      <w:shd w:val="clear" w:color="auto" w:fill="D9D9D9"/>
      <w:tabs>
        <w:tab w:val="left" w:pos="992"/>
      </w:tabs>
      <w:ind w:left="119" w:right="119"/>
    </w:pPr>
    <w:rPr>
      <w:sz w:val="20"/>
    </w:rPr>
  </w:style>
  <w:style w:type="paragraph" w:customStyle="1" w:styleId="MarginIcons">
    <w:name w:val="Margin Icons"/>
    <w:basedOn w:val="BodyText"/>
    <w:rsid w:val="0006157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6157C"/>
    <w:rPr>
      <w:rFonts w:ascii="Courier New" w:hAnsi="Courier New"/>
    </w:rPr>
  </w:style>
  <w:style w:type="paragraph" w:customStyle="1" w:styleId="NoteBullet">
    <w:name w:val="Note Bullet"/>
    <w:basedOn w:val="Note"/>
    <w:rsid w:val="0006157C"/>
    <w:pPr>
      <w:tabs>
        <w:tab w:val="clear" w:pos="680"/>
      </w:tabs>
      <w:spacing w:before="60" w:after="60"/>
    </w:pPr>
  </w:style>
  <w:style w:type="paragraph" w:customStyle="1" w:styleId="SubHeading2">
    <w:name w:val="SubHeading2"/>
    <w:basedOn w:val="HeadingBase"/>
    <w:rsid w:val="0006157C"/>
    <w:pPr>
      <w:spacing w:before="240" w:after="60"/>
    </w:pPr>
    <w:rPr>
      <w:sz w:val="20"/>
    </w:rPr>
  </w:style>
  <w:style w:type="paragraph" w:customStyle="1" w:styleId="SubHeading1">
    <w:name w:val="SubHeading1"/>
    <w:basedOn w:val="HeadingBase"/>
    <w:rsid w:val="0006157C"/>
    <w:pPr>
      <w:spacing w:before="240" w:after="60"/>
    </w:pPr>
    <w:rPr>
      <w:color w:val="918585"/>
      <w:sz w:val="22"/>
    </w:rPr>
  </w:style>
  <w:style w:type="paragraph" w:customStyle="1" w:styleId="SideHeading">
    <w:name w:val="Side Heading"/>
    <w:basedOn w:val="HeadingBase"/>
    <w:rsid w:val="0006157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6157C"/>
    <w:pPr>
      <w:numPr>
        <w:numId w:val="12"/>
      </w:numPr>
    </w:pPr>
  </w:style>
  <w:style w:type="paragraph" w:styleId="PlainText">
    <w:name w:val="Plain Text"/>
    <w:basedOn w:val="Normal"/>
    <w:link w:val="PlainTextChar"/>
    <w:rsid w:val="0006157C"/>
    <w:rPr>
      <w:sz w:val="20"/>
    </w:rPr>
  </w:style>
  <w:style w:type="character" w:customStyle="1" w:styleId="PlainTextChar">
    <w:name w:val="Plain Text Char"/>
    <w:basedOn w:val="DefaultParagraphFont"/>
    <w:link w:val="PlainText"/>
    <w:rsid w:val="0006157C"/>
    <w:rPr>
      <w:rFonts w:ascii="Courier New" w:eastAsia="Times New Roman" w:hAnsi="Courier New" w:cs="Times New Roman"/>
      <w:sz w:val="20"/>
      <w:szCs w:val="20"/>
      <w:lang w:eastAsia="en-US"/>
    </w:rPr>
  </w:style>
  <w:style w:type="character" w:customStyle="1" w:styleId="MenuOption">
    <w:name w:val="Menu Option"/>
    <w:basedOn w:val="DefaultParagraphFont"/>
    <w:rsid w:val="0006157C"/>
    <w:rPr>
      <w:b/>
      <w:smallCaps/>
    </w:rPr>
  </w:style>
  <w:style w:type="paragraph" w:customStyle="1" w:styleId="TableListNumber">
    <w:name w:val="Table List Number"/>
    <w:basedOn w:val="ListNumber"/>
    <w:rsid w:val="0006157C"/>
    <w:pPr>
      <w:numPr>
        <w:numId w:val="0"/>
      </w:numPr>
    </w:pPr>
  </w:style>
  <w:style w:type="paragraph" w:styleId="TOC4">
    <w:name w:val="toc 4"/>
    <w:basedOn w:val="TOCBase"/>
    <w:next w:val="Normal"/>
    <w:semiHidden/>
    <w:rsid w:val="0006157C"/>
    <w:pPr>
      <w:tabs>
        <w:tab w:val="right" w:leader="dot" w:pos="9071"/>
      </w:tabs>
      <w:ind w:left="1701"/>
    </w:pPr>
  </w:style>
  <w:style w:type="paragraph" w:customStyle="1" w:styleId="ListAlpha">
    <w:name w:val="List Alpha"/>
    <w:basedOn w:val="List"/>
    <w:rsid w:val="0006157C"/>
    <w:pPr>
      <w:numPr>
        <w:numId w:val="9"/>
      </w:numPr>
    </w:pPr>
  </w:style>
  <w:style w:type="paragraph" w:customStyle="1" w:styleId="ListAlpha2">
    <w:name w:val="List Alpha 2"/>
    <w:basedOn w:val="List2"/>
    <w:rsid w:val="0006157C"/>
    <w:pPr>
      <w:numPr>
        <w:numId w:val="8"/>
      </w:numPr>
    </w:pPr>
  </w:style>
  <w:style w:type="paragraph" w:styleId="List3">
    <w:name w:val="List 3"/>
    <w:basedOn w:val="BodyText"/>
    <w:rsid w:val="0006157C"/>
    <w:pPr>
      <w:tabs>
        <w:tab w:val="left" w:pos="1021"/>
      </w:tabs>
      <w:spacing w:before="60" w:after="60"/>
      <w:ind w:left="1020" w:hanging="340"/>
    </w:pPr>
  </w:style>
  <w:style w:type="paragraph" w:styleId="List4">
    <w:name w:val="List 4"/>
    <w:basedOn w:val="BodyText"/>
    <w:rsid w:val="0006157C"/>
    <w:pPr>
      <w:tabs>
        <w:tab w:val="left" w:pos="1361"/>
      </w:tabs>
      <w:spacing w:before="60" w:after="60"/>
      <w:ind w:left="1361" w:hanging="340"/>
    </w:pPr>
  </w:style>
  <w:style w:type="paragraph" w:styleId="List5">
    <w:name w:val="List 5"/>
    <w:basedOn w:val="BodyText"/>
    <w:rsid w:val="0006157C"/>
    <w:pPr>
      <w:tabs>
        <w:tab w:val="left" w:pos="1701"/>
      </w:tabs>
      <w:spacing w:before="60" w:after="60"/>
      <w:ind w:left="1701" w:hanging="340"/>
    </w:pPr>
  </w:style>
  <w:style w:type="paragraph" w:styleId="ListBullet3">
    <w:name w:val="List Bullet 3"/>
    <w:basedOn w:val="List3"/>
    <w:rsid w:val="0006157C"/>
    <w:pPr>
      <w:numPr>
        <w:numId w:val="15"/>
      </w:numPr>
      <w:tabs>
        <w:tab w:val="clear" w:pos="1021"/>
      </w:tabs>
      <w:ind w:left="1037" w:hanging="357"/>
    </w:pPr>
  </w:style>
  <w:style w:type="paragraph" w:styleId="ListBullet4">
    <w:name w:val="List Bullet 4"/>
    <w:basedOn w:val="List4"/>
    <w:rsid w:val="0006157C"/>
    <w:pPr>
      <w:numPr>
        <w:numId w:val="3"/>
      </w:numPr>
    </w:pPr>
  </w:style>
  <w:style w:type="paragraph" w:styleId="ListBullet5">
    <w:name w:val="List Bullet 5"/>
    <w:basedOn w:val="List5"/>
    <w:rsid w:val="0006157C"/>
    <w:pPr>
      <w:numPr>
        <w:numId w:val="4"/>
      </w:numPr>
    </w:pPr>
  </w:style>
  <w:style w:type="paragraph" w:styleId="ListContinue2">
    <w:name w:val="List Continue 2"/>
    <w:basedOn w:val="List2"/>
    <w:rsid w:val="0006157C"/>
    <w:pPr>
      <w:ind w:firstLine="0"/>
    </w:pPr>
  </w:style>
  <w:style w:type="paragraph" w:styleId="ListContinue3">
    <w:name w:val="List Continue 3"/>
    <w:basedOn w:val="List3"/>
    <w:rsid w:val="0006157C"/>
    <w:pPr>
      <w:ind w:left="1021" w:firstLine="0"/>
    </w:pPr>
  </w:style>
  <w:style w:type="paragraph" w:styleId="ListContinue4">
    <w:name w:val="List Continue 4"/>
    <w:basedOn w:val="List4"/>
    <w:rsid w:val="0006157C"/>
    <w:pPr>
      <w:ind w:firstLine="0"/>
    </w:pPr>
  </w:style>
  <w:style w:type="paragraph" w:styleId="ListContinue5">
    <w:name w:val="List Continue 5"/>
    <w:basedOn w:val="List5"/>
    <w:rsid w:val="0006157C"/>
    <w:pPr>
      <w:ind w:firstLine="0"/>
    </w:pPr>
  </w:style>
  <w:style w:type="paragraph" w:styleId="ListNumber3">
    <w:name w:val="List Number 3"/>
    <w:basedOn w:val="List3"/>
    <w:rsid w:val="0006157C"/>
    <w:pPr>
      <w:numPr>
        <w:numId w:val="5"/>
      </w:numPr>
    </w:pPr>
  </w:style>
  <w:style w:type="paragraph" w:styleId="ListNumber4">
    <w:name w:val="List Number 4"/>
    <w:basedOn w:val="List4"/>
    <w:rsid w:val="0006157C"/>
    <w:pPr>
      <w:numPr>
        <w:numId w:val="6"/>
      </w:numPr>
    </w:pPr>
  </w:style>
  <w:style w:type="paragraph" w:styleId="ListNumber5">
    <w:name w:val="List Number 5"/>
    <w:basedOn w:val="List5"/>
    <w:rsid w:val="0006157C"/>
    <w:pPr>
      <w:numPr>
        <w:numId w:val="7"/>
      </w:numPr>
    </w:pPr>
  </w:style>
  <w:style w:type="paragraph" w:styleId="BlockText">
    <w:name w:val="Block Text"/>
    <w:basedOn w:val="Normal"/>
    <w:rsid w:val="0006157C"/>
    <w:pPr>
      <w:spacing w:after="120"/>
      <w:ind w:left="1440" w:right="1440"/>
    </w:pPr>
  </w:style>
  <w:style w:type="character" w:customStyle="1" w:styleId="Subscript">
    <w:name w:val="Subscript"/>
    <w:basedOn w:val="DefaultParagraphFont"/>
    <w:rsid w:val="0006157C"/>
    <w:rPr>
      <w:sz w:val="16"/>
      <w:vertAlign w:val="subscript"/>
    </w:rPr>
  </w:style>
  <w:style w:type="character" w:customStyle="1" w:styleId="Superscript">
    <w:name w:val="Superscript"/>
    <w:basedOn w:val="DefaultParagraphFont"/>
    <w:rsid w:val="0006157C"/>
    <w:rPr>
      <w:sz w:val="16"/>
      <w:vertAlign w:val="superscript"/>
    </w:rPr>
  </w:style>
  <w:style w:type="character" w:customStyle="1" w:styleId="Symbols">
    <w:name w:val="Symbols"/>
    <w:basedOn w:val="DefaultParagraphFont"/>
    <w:rsid w:val="0006157C"/>
    <w:rPr>
      <w:rFonts w:ascii="Symbol" w:hAnsi="Symbol"/>
    </w:rPr>
  </w:style>
  <w:style w:type="character" w:customStyle="1" w:styleId="MenuOptions">
    <w:name w:val="Menu Options"/>
    <w:basedOn w:val="DefaultParagraphFont"/>
    <w:rsid w:val="0006157C"/>
    <w:rPr>
      <w:rFonts w:ascii="Arial Narrow" w:hAnsi="Arial Narrow"/>
      <w:smallCaps/>
    </w:rPr>
  </w:style>
  <w:style w:type="character" w:customStyle="1" w:styleId="Buttons">
    <w:name w:val="Buttons"/>
    <w:basedOn w:val="DefaultParagraphFont"/>
    <w:rsid w:val="0006157C"/>
    <w:rPr>
      <w:b/>
    </w:rPr>
  </w:style>
  <w:style w:type="character" w:customStyle="1" w:styleId="Underlined">
    <w:name w:val="Underlined"/>
    <w:basedOn w:val="DefaultParagraphFont"/>
    <w:rsid w:val="0006157C"/>
    <w:rPr>
      <w:u w:val="single"/>
    </w:rPr>
  </w:style>
  <w:style w:type="paragraph" w:customStyle="1" w:styleId="TableBodyTextRight">
    <w:name w:val="Table Body Text Right"/>
    <w:basedOn w:val="TableBodyText"/>
    <w:rsid w:val="0006157C"/>
    <w:pPr>
      <w:widowControl w:val="0"/>
      <w:autoSpaceDE w:val="0"/>
      <w:autoSpaceDN w:val="0"/>
      <w:adjustRightInd w:val="0"/>
      <w:jc w:val="right"/>
    </w:pPr>
    <w:rPr>
      <w:rFonts w:cs="Arial"/>
      <w:szCs w:val="18"/>
    </w:rPr>
  </w:style>
  <w:style w:type="paragraph" w:customStyle="1" w:styleId="CopyrightText">
    <w:name w:val="Copyright Text"/>
    <w:basedOn w:val="BodyText"/>
    <w:rsid w:val="0006157C"/>
    <w:rPr>
      <w:sz w:val="18"/>
    </w:rPr>
  </w:style>
  <w:style w:type="paragraph" w:customStyle="1" w:styleId="BodySmallRight">
    <w:name w:val="Body Small Right"/>
    <w:basedOn w:val="BodyTextRight"/>
    <w:rsid w:val="0006157C"/>
    <w:rPr>
      <w:sz w:val="18"/>
      <w:szCs w:val="18"/>
    </w:rPr>
  </w:style>
  <w:style w:type="paragraph" w:customStyle="1" w:styleId="MarginEdition">
    <w:name w:val="Margin Edition"/>
    <w:basedOn w:val="MarginNote"/>
    <w:rsid w:val="0006157C"/>
    <w:pPr>
      <w:spacing w:before="0" w:after="0"/>
    </w:pPr>
    <w:rPr>
      <w:rFonts w:ascii="Times New Roman" w:hAnsi="Times New Roman"/>
      <w:color w:val="999999"/>
    </w:rPr>
  </w:style>
  <w:style w:type="paragraph" w:customStyle="1" w:styleId="Spacer">
    <w:name w:val="Spacer"/>
    <w:basedOn w:val="Normal"/>
    <w:rsid w:val="0006157C"/>
    <w:rPr>
      <w:sz w:val="2"/>
      <w:szCs w:val="2"/>
    </w:rPr>
  </w:style>
  <w:style w:type="character" w:customStyle="1" w:styleId="Small">
    <w:name w:val="Small"/>
    <w:basedOn w:val="DefaultParagraphFont"/>
    <w:rsid w:val="0006157C"/>
    <w:rPr>
      <w:sz w:val="16"/>
    </w:rPr>
  </w:style>
  <w:style w:type="paragraph" w:customStyle="1" w:styleId="WideTable">
    <w:name w:val="Wide Table"/>
    <w:basedOn w:val="Normal"/>
    <w:rsid w:val="0006157C"/>
    <w:pPr>
      <w:ind w:left="-1418"/>
    </w:pPr>
    <w:rPr>
      <w:sz w:val="2"/>
      <w:szCs w:val="2"/>
    </w:rPr>
  </w:style>
  <w:style w:type="character" w:styleId="PageNumber">
    <w:name w:val="page number"/>
    <w:basedOn w:val="DefaultParagraphFont"/>
    <w:rsid w:val="0006157C"/>
  </w:style>
  <w:style w:type="paragraph" w:styleId="Quote">
    <w:name w:val="Quote"/>
    <w:basedOn w:val="Heading1"/>
    <w:link w:val="QuoteChar"/>
    <w:qFormat/>
    <w:rsid w:val="0006157C"/>
    <w:rPr>
      <w:b w:val="0"/>
      <w:sz w:val="72"/>
      <w:szCs w:val="72"/>
      <w:lang w:val="en-NZ"/>
    </w:rPr>
  </w:style>
  <w:style w:type="character" w:customStyle="1" w:styleId="QuoteChar">
    <w:name w:val="Quote Char"/>
    <w:basedOn w:val="DefaultParagraphFont"/>
    <w:link w:val="Quote"/>
    <w:rsid w:val="0006157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6157C"/>
    <w:pPr>
      <w:pageBreakBefore/>
    </w:pPr>
  </w:style>
  <w:style w:type="paragraph" w:customStyle="1" w:styleId="Border">
    <w:name w:val="Border"/>
    <w:basedOn w:val="Normal"/>
    <w:qFormat/>
    <w:rsid w:val="0006157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6157C"/>
    <w:rPr>
      <w:b/>
      <w:bCs/>
      <w:i/>
      <w:iCs/>
      <w:color w:val="auto"/>
    </w:rPr>
  </w:style>
  <w:style w:type="paragraph" w:styleId="IntenseQuote">
    <w:name w:val="Intense Quote"/>
    <w:basedOn w:val="Normal"/>
    <w:next w:val="Normal"/>
    <w:link w:val="IntenseQuoteChar"/>
    <w:uiPriority w:val="30"/>
    <w:qFormat/>
    <w:rsid w:val="0006157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6157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6157C"/>
    <w:rPr>
      <w:smallCaps/>
      <w:color w:val="auto"/>
      <w:u w:val="single"/>
    </w:rPr>
  </w:style>
  <w:style w:type="character" w:styleId="IntenseReference">
    <w:name w:val="Intense Reference"/>
    <w:basedOn w:val="DefaultParagraphFont"/>
    <w:uiPriority w:val="32"/>
    <w:qFormat/>
    <w:rsid w:val="0006157C"/>
    <w:rPr>
      <w:b/>
      <w:bCs/>
      <w:smallCaps/>
      <w:color w:val="auto"/>
      <w:spacing w:val="5"/>
      <w:u w:val="single"/>
    </w:rPr>
  </w:style>
  <w:style w:type="paragraph" w:customStyle="1" w:styleId="2ColumnHeading">
    <w:name w:val="2Column Heading"/>
    <w:basedOn w:val="BodyText"/>
    <w:qFormat/>
    <w:rsid w:val="0006157C"/>
    <w:pPr>
      <w:spacing w:after="60"/>
      <w:ind w:left="-2268"/>
    </w:pPr>
    <w:rPr>
      <w:b/>
    </w:rPr>
  </w:style>
  <w:style w:type="paragraph" w:customStyle="1" w:styleId="Heading1TOC">
    <w:name w:val="Heading1 TOC"/>
    <w:basedOn w:val="Normal"/>
    <w:qFormat/>
    <w:rsid w:val="0006157C"/>
    <w:pPr>
      <w:spacing w:before="240" w:after="120"/>
    </w:pPr>
    <w:rPr>
      <w:rFonts w:ascii="Times New Roman" w:hAnsi="Times New Roman"/>
      <w:b/>
      <w:sz w:val="32"/>
    </w:rPr>
  </w:style>
  <w:style w:type="paragraph" w:customStyle="1" w:styleId="Heading2TOC">
    <w:name w:val="Heading2 TOC"/>
    <w:basedOn w:val="Normal"/>
    <w:qFormat/>
    <w:rsid w:val="0006157C"/>
    <w:pPr>
      <w:spacing w:before="240" w:after="60"/>
    </w:pPr>
    <w:rPr>
      <w:rFonts w:ascii="Times New Roman" w:hAnsi="Times New Roman"/>
      <w:b/>
      <w:sz w:val="28"/>
    </w:rPr>
  </w:style>
  <w:style w:type="character" w:customStyle="1" w:styleId="Underline">
    <w:name w:val="Underline"/>
    <w:basedOn w:val="DefaultParagraphFont"/>
    <w:qFormat/>
    <w:rsid w:val="0006157C"/>
    <w:rPr>
      <w:u w:val="single"/>
    </w:rPr>
  </w:style>
  <w:style w:type="paragraph" w:styleId="BalloonText">
    <w:name w:val="Balloon Text"/>
    <w:basedOn w:val="Normal"/>
    <w:link w:val="BalloonTextChar"/>
    <w:rsid w:val="0006157C"/>
    <w:rPr>
      <w:rFonts w:ascii="Tahoma" w:hAnsi="Tahoma" w:cs="Tahoma"/>
      <w:sz w:val="16"/>
      <w:szCs w:val="16"/>
    </w:rPr>
  </w:style>
  <w:style w:type="character" w:customStyle="1" w:styleId="BalloonTextChar">
    <w:name w:val="Balloon Text Char"/>
    <w:basedOn w:val="DefaultParagraphFont"/>
    <w:link w:val="BalloonText"/>
    <w:rsid w:val="0006157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6157C"/>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06157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6157C"/>
    <w:rPr>
      <w:b/>
      <w:color w:val="660033"/>
      <w:spacing w:val="0"/>
    </w:rPr>
  </w:style>
  <w:style w:type="paragraph" w:customStyle="1" w:styleId="Nameditemlist">
    <w:name w:val="Named item list"/>
    <w:basedOn w:val="BodyText"/>
    <w:qFormat/>
    <w:rsid w:val="0006157C"/>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13</Pages>
  <Words>1945</Words>
  <Characters>12955</Characters>
  <Application>Microsoft Office Word</Application>
  <DocSecurity>0</DocSecurity>
  <Lines>340</Lines>
  <Paragraphs>297</Paragraphs>
  <ScaleCrop>false</ScaleCrop>
  <Company>Author-it Software Corporation Ltd.</Company>
  <LinksUpToDate>false</LinksUpToDate>
  <CharactersWithSpaces>14603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SITXGLC501 Research and comply with regulatory requirements</dc:title>
  <dc:subject>Approved</dc:subject>
  <dc:creator>Service Skills Australia</dc:creator>
  <cp:keywords>Release 2</cp:keywords>
  <dc:description>Review Date: 12 April 2008</dc:description>
  <cp:lastModifiedBy>TPCMS</cp:lastModifiedBy>
  <cp:revision>3</cp:revision>
  <dcterms:created xsi:type="dcterms:W3CDTF">2013-10-10T13:46:47Z</dcterms:created>
  <dcterms:modified xsi:type="dcterms:W3CDTF">2013-09-26T07:16:00Z</dcterms:modified>
</cp:coreProperties>
</file>