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ABD" w:rsidP="002D3ABD">
      <w:pPr>
        <w:pStyle w:val="Title"/>
      </w:pPr>
      <w:r>
        <w:fldChar w:fldCharType="begin"/>
      </w:r>
      <w:r>
        <w:instrText xml:space="preserve"> TITLE   \* MERGEFORMAT </w:instrText>
      </w:r>
      <w:r>
        <w:fldChar w:fldCharType="separate"/>
      </w:r>
      <w:r>
        <w:t>SITXEVT503 Manage event staging components</w:t>
      </w:r>
      <w:r>
        <w:fldChar w:fldCharType="end"/>
      </w:r>
    </w:p>
    <w:p w:rsidR="002D3ABD" w:rsidP="002D3ABD">
      <w:pPr>
        <w:pStyle w:val="Version"/>
        <w:sectPr w:rsidSect="007F2C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CEB" w:rsidP="007F2CEB">
      <w:pPr>
        <w:pStyle w:val="SuperHeading"/>
      </w:pPr>
      <w:r w:rsidRPr="007F2CEB">
        <w:t>SITXEVT503 Manage event staging components</w:t>
      </w:r>
    </w:p>
    <w:p w:rsidR="00000000" w:rsidRPr="007F2CEB" w:rsidP="007F2CEB">
      <w:pPr>
        <w:pStyle w:val="Heading1"/>
      </w:pPr>
      <w:bookmarkStart w:id="1" w:name="O_488814"/>
      <w:bookmarkEnd w:id="1"/>
      <w:r w:rsidRPr="007F2CEB">
        <w:t>Modification History</w:t>
      </w:r>
    </w:p>
    <w:p w:rsidR="00000000" w:rsidRPr="007F2CEB" w:rsidP="007F2CEB">
      <w:pPr>
        <w:pStyle w:val="BodyText"/>
      </w:pPr>
      <w:r w:rsidRPr="007F2CEB">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2D3A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CEB" w:rsidP="007F2CEB">
            <w:pPr>
              <w:pStyle w:val="BodyText"/>
            </w:pPr>
            <w:r w:rsidRPr="007F2CEB">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CEB">
            <w:pPr>
              <w:pStyle w:val="BodyText"/>
              <w:rPr>
                <w:lang w:val="en-NZ"/>
              </w:rPr>
            </w:pPr>
            <w:r w:rsidRPr="007F2CEB">
              <w:rPr>
                <w:rStyle w:val="SpecialBold"/>
              </w:rPr>
              <w:t>Comments</w:t>
            </w:r>
          </w:p>
        </w:tc>
      </w:tr>
      <w:tr w:rsidTr="002D3A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CEB">
            <w:pPr>
              <w:pStyle w:val="BodyText"/>
              <w:rPr>
                <w:lang w:val="en-NZ"/>
              </w:rPr>
            </w:pPr>
            <w:r w:rsidRPr="007F2CEB">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CEB" w:rsidP="007F2CEB">
            <w:pPr>
              <w:pStyle w:val="BodyText"/>
            </w:pPr>
            <w:r w:rsidRPr="007F2CEB">
              <w:t>E</w:t>
            </w:r>
          </w:p>
          <w:p w:rsidR="00000000" w:rsidRPr="007F2CEB" w:rsidP="007F2CEB">
            <w:pPr>
              <w:pStyle w:val="BodyText"/>
            </w:pPr>
            <w:r w:rsidRPr="007F2CEB">
              <w:t>Replaces and is equivalent to SITXEVT013A Manage event staging.</w:t>
            </w:r>
          </w:p>
          <w:p w:rsidR="00000000" w:rsidRPr="007F2CEB" w:rsidP="007F2CEB">
            <w:pPr>
              <w:pStyle w:val="BodyText"/>
            </w:pPr>
            <w:r w:rsidRPr="007F2CEB">
              <w:t>Title changed for clarifi</w:t>
            </w:r>
            <w:r w:rsidRPr="007F2CEB">
              <w:t>cation. Re-worked Elements, Performance Criteria, Required skills and Required knowledge to more fully articulate content. Re-worked Evidence Guide to better articulate rigorous assessment requirements.</w:t>
            </w:r>
          </w:p>
        </w:tc>
      </w:tr>
    </w:tbl>
    <w:p w:rsidR="00000000" w:rsidRPr="007F2CEB" w:rsidP="007F2CEB">
      <w:pPr>
        <w:pStyle w:val="BodyText"/>
      </w:pPr>
    </w:p>
    <w:p w:rsidR="00000000" w:rsidRPr="007F2CEB" w:rsidP="007F2CEB">
      <w:pPr>
        <w:pStyle w:val="AllowPageBreak"/>
      </w:pPr>
    </w:p>
    <w:p w:rsidR="00000000" w:rsidRPr="007F2CEB" w:rsidP="007F2CEB">
      <w:pPr>
        <w:pStyle w:val="Heading1"/>
      </w:pPr>
      <w:bookmarkStart w:id="2" w:name="O_488815"/>
      <w:bookmarkEnd w:id="2"/>
      <w:r w:rsidRPr="007F2CEB">
        <w:t>Unit Descriptor</w:t>
      </w:r>
    </w:p>
    <w:p w:rsidR="00000000" w:rsidRPr="007F2CEB" w:rsidP="007F2CEB">
      <w:pPr>
        <w:pStyle w:val="BodyText"/>
      </w:pPr>
      <w:r w:rsidRPr="007F2CEB">
        <w:t>This unit describe</w:t>
      </w:r>
      <w:r w:rsidRPr="007F2CEB">
        <w:t>s the performance outcomes, skills and knowledge required to analyse event staging requirements and organise and monitor different staging services and products. It requires the ability to use advanced planning, organisation and communication skills combin</w:t>
      </w:r>
      <w:r w:rsidRPr="007F2CEB">
        <w:t>ed with a detailed knowledge of the event management process and broad understanding of specialist component services.</w:t>
      </w:r>
    </w:p>
    <w:p w:rsidR="00000000" w:rsidRPr="007F2CEB" w:rsidP="007F2CEB">
      <w:pPr>
        <w:pStyle w:val="AllowPageBreak"/>
      </w:pPr>
    </w:p>
    <w:p w:rsidR="00000000" w:rsidRPr="007F2CEB" w:rsidP="007F2CEB">
      <w:pPr>
        <w:pStyle w:val="Heading1"/>
      </w:pPr>
      <w:bookmarkStart w:id="3" w:name="O_488816"/>
      <w:bookmarkEnd w:id="3"/>
      <w:r w:rsidRPr="007F2CEB">
        <w:t>Application of the Unit</w:t>
      </w:r>
    </w:p>
    <w:p w:rsidR="00000000" w:rsidRPr="007F2CEB" w:rsidP="007F2CEB">
      <w:pPr>
        <w:pStyle w:val="BodyText"/>
      </w:pPr>
      <w:r w:rsidRPr="007F2CEB">
        <w:t>Events are diverse in nature and this unit is relevant to any type of event coordinated in any i</w:t>
      </w:r>
      <w:r w:rsidRPr="007F2CEB">
        <w:t>ndustry context, including the tourism, hospitality, sport, cultural and community sectors.</w:t>
      </w:r>
    </w:p>
    <w:p w:rsidR="00000000" w:rsidRPr="007F2CEB" w:rsidP="007F2CEB">
      <w:pPr>
        <w:pStyle w:val="BodyText"/>
      </w:pPr>
      <w:r w:rsidRPr="007F2CEB">
        <w:t>This unit applies to event coordinators who operate independently, and are responsible for making a range of operational decisions. They may work in event managemen</w:t>
      </w:r>
      <w:r w:rsidRPr="007F2CEB">
        <w:t>t companies, in event venues, or in organisations that organise their own events.</w:t>
      </w:r>
    </w:p>
    <w:p w:rsidR="00000000" w:rsidRPr="007F2CEB" w:rsidP="007F2CEB">
      <w:pPr>
        <w:pStyle w:val="BodyText"/>
      </w:pPr>
      <w:r w:rsidRPr="007F2CEB">
        <w:t>The unit does not cover the high levels of technical expertise required to provide individual specialist services, including catering, technical, creative and sporting. The u</w:t>
      </w:r>
      <w:r w:rsidRPr="007F2CEB">
        <w:t>nit is also distinct from staging specialisation units that apply to staging technicians and stage managers in the entertainment industry.</w:t>
      </w:r>
    </w:p>
    <w:p w:rsidR="00000000" w:rsidRPr="007F2CEB" w:rsidP="007F2CEB">
      <w:pPr>
        <w:pStyle w:val="AllowPageBreak"/>
      </w:pPr>
    </w:p>
    <w:p w:rsidR="00000000" w:rsidRPr="007F2CEB" w:rsidP="007F2CEB">
      <w:pPr>
        <w:pStyle w:val="Heading1"/>
      </w:pPr>
      <w:bookmarkStart w:id="4" w:name="O_488817"/>
      <w:bookmarkEnd w:id="4"/>
      <w:r w:rsidRPr="007F2CEB">
        <w:t>Licensing/Regulatory Information</w:t>
      </w:r>
    </w:p>
    <w:p w:rsidR="00000000" w:rsidRPr="007F2CEB" w:rsidP="007F2CEB">
      <w:pPr>
        <w:pStyle w:val="BodyText"/>
      </w:pPr>
      <w:r w:rsidRPr="007F2CEB">
        <w:t>No licensing, legislative, regulatory or certification requirements apply to this unit at the time of endorsement.</w:t>
      </w:r>
    </w:p>
    <w:p w:rsidR="00000000" w:rsidRPr="007F2CEB" w:rsidP="007F2CEB">
      <w:pPr>
        <w:pStyle w:val="AllowPageBreak"/>
      </w:pPr>
    </w:p>
    <w:p w:rsidR="00000000" w:rsidRPr="007F2CEB" w:rsidP="007F2CEB">
      <w:pPr>
        <w:pStyle w:val="Heading1"/>
      </w:pPr>
      <w:bookmarkStart w:id="5" w:name="O_488818"/>
      <w:bookmarkEnd w:id="5"/>
      <w:r w:rsidRPr="007F2CEB">
        <w:t>Pre-Requisites</w:t>
      </w:r>
    </w:p>
    <w:p w:rsidR="00000000" w:rsidRPr="007F2CEB" w:rsidP="007F2CEB">
      <w:pPr>
        <w:pStyle w:val="BodyText"/>
      </w:pPr>
      <w:r w:rsidRPr="007F2CEB">
        <w:t>Not applicable.</w:t>
      </w:r>
    </w:p>
    <w:p w:rsidR="00000000" w:rsidRPr="007F2CEB" w:rsidP="007F2CEB">
      <w:pPr>
        <w:pStyle w:val="AllowPageBreak"/>
      </w:pPr>
    </w:p>
    <w:p w:rsidR="00000000" w:rsidRPr="007F2CEB" w:rsidP="007F2CEB">
      <w:pPr>
        <w:pStyle w:val="Heading1"/>
      </w:pPr>
      <w:bookmarkStart w:id="6" w:name="O_488819"/>
      <w:bookmarkEnd w:id="6"/>
      <w:r w:rsidRPr="007F2CEB">
        <w:t>Employability Skills Information</w:t>
      </w:r>
    </w:p>
    <w:p w:rsidR="00000000" w:rsidRPr="007F2CEB" w:rsidP="007F2CEB">
      <w:pPr>
        <w:pStyle w:val="BodyText"/>
      </w:pPr>
      <w:r w:rsidRPr="007F2CEB">
        <w:t>This unit contains employability skills.</w:t>
      </w:r>
    </w:p>
    <w:p w:rsidR="00000000" w:rsidRPr="007F2CEB" w:rsidP="007F2CEB">
      <w:pPr>
        <w:pStyle w:val="AllowPageBreak"/>
      </w:pPr>
    </w:p>
    <w:p w:rsidR="00000000" w:rsidRPr="007F2CEB" w:rsidP="007F2CEB">
      <w:pPr>
        <w:pStyle w:val="Heading1"/>
      </w:pPr>
      <w:bookmarkStart w:id="7" w:name="O_488820"/>
      <w:bookmarkEnd w:id="7"/>
      <w:r w:rsidRPr="007F2CEB">
        <w:t>Elements and Performance Criteria Pre-Content</w:t>
      </w:r>
    </w:p>
    <w:p w:rsidR="00000000" w:rsidRPr="007F2CEB" w:rsidP="007F2CEB">
      <w:pPr>
        <w:pStyle w:val="Heading1"/>
      </w:pPr>
      <w:bookmarkStart w:id="8" w:name="O_488821"/>
      <w:bookmarkEnd w:id="8"/>
      <w:r w:rsidRPr="007F2CEB">
        <w:t>Elements and Performance Criteria</w:t>
      </w:r>
    </w:p>
    <w:tbl>
      <w:tblPr>
        <w:tblW w:w="0" w:type="auto"/>
        <w:tblCellMar>
          <w:left w:w="62" w:type="dxa"/>
          <w:right w:w="62" w:type="dxa"/>
        </w:tblCellMar>
        <w:tblLook w:val="0000"/>
      </w:tblPr>
      <w:tblGrid>
        <w:gridCol w:w="3089"/>
        <w:gridCol w:w="6107"/>
      </w:tblGrid>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t>Performance criteria describe the performance needed to demonstrate achievement</w:t>
            </w:r>
            <w:r w:rsidRPr="007F2CEB">
              <w:t xml:space="preserve"> of the element. Where bold italicised text is used, further information is detailed in the required skills and knowledge section and the range statement. Assessment of performance is to be consistent with the evidence guide.</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List"/>
              <w:rPr>
                <w:lang w:val="en-NZ"/>
              </w:rPr>
            </w:pPr>
            <w:r w:rsidRPr="007F2CEB">
              <w:t>1.</w:t>
            </w:r>
            <w:r w:rsidRPr="007F2CEB">
              <w:tab/>
              <w:t>Analyse staging requiremen</w:t>
            </w:r>
            <w:r w:rsidRPr="007F2CEB">
              <w:t>ts.</w:t>
            </w:r>
          </w:p>
        </w:tc>
        <w:tc>
          <w:tcPr>
            <w:tcW w:w="0" w:type="auto"/>
            <w:tcBorders>
              <w:top w:val="nil"/>
              <w:left w:val="nil"/>
              <w:bottom w:val="nil"/>
              <w:right w:val="nil"/>
            </w:tcBorders>
            <w:tcMar>
              <w:top w:w="0" w:type="dxa"/>
              <w:left w:w="62" w:type="dxa"/>
              <w:bottom w:w="0" w:type="dxa"/>
              <w:right w:w="62" w:type="dxa"/>
            </w:tcMar>
          </w:tcPr>
          <w:p w:rsidR="00000000" w:rsidRPr="007F2CEB" w:rsidP="007F2CEB">
            <w:pPr>
              <w:pStyle w:val="List2"/>
            </w:pPr>
            <w:r w:rsidRPr="007F2CEB">
              <w:t>1.1</w:t>
            </w:r>
            <w:r w:rsidRPr="007F2CEB">
              <w:tab/>
              <w:t>Analyse event staging requirements based on detailed review of the proposed event.</w:t>
            </w:r>
          </w:p>
          <w:p w:rsidR="00000000" w:rsidRPr="007F2CEB" w:rsidP="007F2CEB">
            <w:pPr>
              <w:pStyle w:val="List2"/>
            </w:pPr>
            <w:r w:rsidRPr="007F2CEB">
              <w:t>1.2</w:t>
            </w:r>
            <w:r w:rsidRPr="007F2CEB">
              <w:tab/>
              <w:t xml:space="preserve">Develop an accurate summary of staging requirements for each event component in consultation with </w:t>
            </w:r>
            <w:r w:rsidRPr="007F2CEB">
              <w:rPr>
                <w:rStyle w:val="BoldandItalics"/>
              </w:rPr>
              <w:t>key stakeholders</w:t>
            </w:r>
            <w:r w:rsidRPr="007F2CEB">
              <w:t>.</w:t>
            </w:r>
          </w:p>
          <w:p w:rsidR="00000000" w:rsidRPr="007F2CEB" w:rsidP="007F2CEB">
            <w:pPr>
              <w:pStyle w:val="List2"/>
            </w:pPr>
            <w:r w:rsidRPr="007F2CEB">
              <w:t>1.3</w:t>
            </w:r>
            <w:r w:rsidRPr="007F2CEB">
              <w:tab/>
              <w:t>Develop a work schedule to address stagin</w:t>
            </w:r>
            <w:r w:rsidRPr="007F2CEB">
              <w:t>g requirements identifying key activities, interrelationships and timelines.</w:t>
            </w:r>
          </w:p>
          <w:p w:rsidR="00000000" w:rsidP="007F2CEB">
            <w:pPr>
              <w:pStyle w:val="List2"/>
              <w:rPr>
                <w:lang w:val="en-NZ"/>
              </w:rPr>
            </w:pPr>
            <w:r w:rsidRPr="007F2CEB">
              <w:t>1.4</w:t>
            </w:r>
            <w:r w:rsidRPr="007F2CEB">
              <w:tab/>
              <w:t>Incorporate regulatory, safety, risk and sustainability issues into planning processes.</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List"/>
              <w:rPr>
                <w:lang w:val="en-NZ"/>
              </w:rPr>
            </w:pPr>
            <w:r w:rsidRPr="007F2CEB">
              <w:t>2.</w:t>
            </w:r>
            <w:r w:rsidRPr="007F2CEB">
              <w:tab/>
              <w:t>Source and organise staging contractors.</w:t>
            </w:r>
          </w:p>
        </w:tc>
        <w:tc>
          <w:tcPr>
            <w:tcW w:w="0" w:type="auto"/>
            <w:tcBorders>
              <w:top w:val="nil"/>
              <w:left w:val="nil"/>
              <w:bottom w:val="nil"/>
              <w:right w:val="nil"/>
            </w:tcBorders>
            <w:tcMar>
              <w:top w:w="0" w:type="dxa"/>
              <w:left w:w="62" w:type="dxa"/>
              <w:bottom w:w="0" w:type="dxa"/>
              <w:right w:w="62" w:type="dxa"/>
            </w:tcMar>
          </w:tcPr>
          <w:p w:rsidR="00000000" w:rsidRPr="007F2CEB" w:rsidP="007F2CEB">
            <w:pPr>
              <w:pStyle w:val="List2"/>
            </w:pPr>
            <w:r w:rsidRPr="007F2CEB">
              <w:t>2.1</w:t>
            </w:r>
            <w:r w:rsidRPr="007F2CEB">
              <w:tab/>
            </w:r>
            <w:r w:rsidRPr="007F2CEB">
              <w:t>Identify and source contractors according to work schedule.</w:t>
            </w:r>
          </w:p>
          <w:p w:rsidR="00000000" w:rsidRPr="007F2CEB" w:rsidP="007F2CEB">
            <w:pPr>
              <w:pStyle w:val="List2"/>
            </w:pPr>
            <w:r w:rsidRPr="007F2CEB">
              <w:t>2.2</w:t>
            </w:r>
            <w:r w:rsidRPr="007F2CEB">
              <w:tab/>
              <w:t xml:space="preserve">Provide accurate and complete staging </w:t>
            </w:r>
            <w:r w:rsidRPr="007F2CEB">
              <w:rPr>
                <w:rStyle w:val="BoldandItalics"/>
              </w:rPr>
              <w:t xml:space="preserve">specifications </w:t>
            </w:r>
            <w:r w:rsidRPr="007F2CEB">
              <w:t>detailing contractor requirements.</w:t>
            </w:r>
          </w:p>
          <w:p w:rsidR="00000000" w:rsidRPr="007F2CEB" w:rsidP="007F2CEB">
            <w:pPr>
              <w:pStyle w:val="List2"/>
            </w:pPr>
            <w:r w:rsidRPr="007F2CEB">
              <w:t>2.3</w:t>
            </w:r>
            <w:r w:rsidRPr="007F2CEB">
              <w:tab/>
              <w:t>Obtain complete and timely quotations for the provision of products and services.</w:t>
            </w:r>
          </w:p>
          <w:p w:rsidR="00000000" w:rsidRPr="007F2CEB" w:rsidP="007F2CEB">
            <w:pPr>
              <w:pStyle w:val="List2"/>
            </w:pPr>
            <w:r w:rsidRPr="007F2CEB">
              <w:t>2.4</w:t>
            </w:r>
            <w:r w:rsidRPr="007F2CEB">
              <w:tab/>
              <w:t>Evaluate quota</w:t>
            </w:r>
            <w:r w:rsidRPr="007F2CEB">
              <w:t>tions against specifications and other relevant quality criteria.</w:t>
            </w:r>
          </w:p>
          <w:p w:rsidR="00000000" w:rsidRPr="007F2CEB" w:rsidP="007F2CEB">
            <w:pPr>
              <w:pStyle w:val="List2"/>
            </w:pPr>
            <w:r w:rsidRPr="007F2CEB">
              <w:t>2.5</w:t>
            </w:r>
            <w:r w:rsidRPr="007F2CEB">
              <w:tab/>
              <w:t>Conduct negotiations and select contractors using product and service knowledge to make informed decisions.</w:t>
            </w:r>
          </w:p>
          <w:p w:rsidR="00000000" w:rsidP="007F2CEB">
            <w:pPr>
              <w:pStyle w:val="List2"/>
              <w:rPr>
                <w:lang w:val="en-NZ"/>
              </w:rPr>
            </w:pPr>
            <w:r w:rsidRPr="007F2CEB">
              <w:t>2.6</w:t>
            </w:r>
            <w:r w:rsidRPr="007F2CEB">
              <w:tab/>
              <w:t>Confirm agreements with contractors in writing to include details and cost</w:t>
            </w:r>
            <w:r w:rsidRPr="007F2CEB">
              <w:t>s of all services.</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List"/>
              <w:rPr>
                <w:lang w:val="en-NZ"/>
              </w:rPr>
            </w:pPr>
            <w:r w:rsidRPr="007F2CEB">
              <w:t>3.</w:t>
            </w:r>
            <w:r w:rsidRPr="007F2CEB">
              <w:tab/>
              <w:t>Monitor staging preparations.</w:t>
            </w:r>
          </w:p>
        </w:tc>
        <w:tc>
          <w:tcPr>
            <w:tcW w:w="0" w:type="auto"/>
            <w:tcBorders>
              <w:top w:val="nil"/>
              <w:left w:val="nil"/>
              <w:bottom w:val="nil"/>
              <w:right w:val="nil"/>
            </w:tcBorders>
            <w:tcMar>
              <w:top w:w="0" w:type="dxa"/>
              <w:left w:w="62" w:type="dxa"/>
              <w:bottom w:w="0" w:type="dxa"/>
              <w:right w:w="62" w:type="dxa"/>
            </w:tcMar>
          </w:tcPr>
          <w:p w:rsidR="00000000" w:rsidRPr="007F2CEB" w:rsidP="007F2CEB">
            <w:pPr>
              <w:pStyle w:val="List2"/>
            </w:pPr>
            <w:r w:rsidRPr="007F2CEB">
              <w:t>3.1</w:t>
            </w:r>
            <w:r w:rsidRPr="007F2CEB">
              <w:tab/>
              <w:t>Monitor event preparations through ongoing liaison with contractors and other stakeholders.</w:t>
            </w:r>
          </w:p>
          <w:p w:rsidR="00000000" w:rsidRPr="007F2CEB" w:rsidP="007F2CEB">
            <w:pPr>
              <w:pStyle w:val="List2"/>
            </w:pPr>
            <w:r w:rsidRPr="007F2CEB">
              <w:t>3.2</w:t>
            </w:r>
            <w:r w:rsidRPr="007F2CEB">
              <w:tab/>
              <w:t>Evaluate work completed against event requirements and schedules, and take appropriate action to addres</w:t>
            </w:r>
            <w:r w:rsidRPr="007F2CEB">
              <w:t>s delays or other problems.</w:t>
            </w:r>
          </w:p>
          <w:p w:rsidR="00000000" w:rsidRPr="007F2CEB" w:rsidP="007F2CEB">
            <w:pPr>
              <w:pStyle w:val="List2"/>
            </w:pPr>
            <w:r w:rsidRPr="007F2CEB">
              <w:t>3.3</w:t>
            </w:r>
            <w:r w:rsidRPr="007F2CEB">
              <w:tab/>
              <w:t xml:space="preserve">Assess the need for </w:t>
            </w:r>
            <w:r w:rsidRPr="007F2CEB">
              <w:rPr>
                <w:rStyle w:val="BoldandItalics"/>
              </w:rPr>
              <w:t>staging adjustments</w:t>
            </w:r>
            <w:r w:rsidRPr="007F2CEB">
              <w:t xml:space="preserve"> to maintain event quality and integrity.</w:t>
            </w:r>
          </w:p>
          <w:p w:rsidR="00000000" w:rsidP="007F2CEB">
            <w:pPr>
              <w:pStyle w:val="List2"/>
              <w:rPr>
                <w:lang w:val="en-NZ"/>
              </w:rPr>
            </w:pPr>
            <w:r w:rsidRPr="007F2CEB">
              <w:t>3.4</w:t>
            </w:r>
            <w:r w:rsidRPr="007F2CEB">
              <w:tab/>
              <w:t>Negotiate and confirm required changes.</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List"/>
              <w:rPr>
                <w:lang w:val="en-NZ"/>
              </w:rPr>
            </w:pPr>
            <w:r w:rsidRPr="007F2CEB">
              <w:t>4.</w:t>
            </w:r>
            <w:r w:rsidRPr="007F2CEB">
              <w:tab/>
              <w:t>Evaluate staging components.</w:t>
            </w:r>
          </w:p>
        </w:tc>
        <w:tc>
          <w:tcPr>
            <w:tcW w:w="0" w:type="auto"/>
            <w:tcBorders>
              <w:top w:val="nil"/>
              <w:left w:val="nil"/>
              <w:bottom w:val="nil"/>
              <w:right w:val="nil"/>
            </w:tcBorders>
            <w:tcMar>
              <w:top w:w="0" w:type="dxa"/>
              <w:left w:w="62" w:type="dxa"/>
              <w:bottom w:w="0" w:type="dxa"/>
              <w:right w:w="62" w:type="dxa"/>
            </w:tcMar>
          </w:tcPr>
          <w:p w:rsidR="00000000" w:rsidRPr="007F2CEB" w:rsidP="007F2CEB">
            <w:pPr>
              <w:pStyle w:val="List2"/>
            </w:pPr>
            <w:r w:rsidRPr="007F2CEB">
              <w:t>4.1</w:t>
            </w:r>
            <w:r w:rsidRPr="007F2CEB">
              <w:tab/>
              <w:t xml:space="preserve">Obtain feedback from stakeholders according to predetermined </w:t>
            </w:r>
            <w:r w:rsidRPr="007F2CEB">
              <w:rPr>
                <w:rStyle w:val="BoldandItalics"/>
              </w:rPr>
              <w:t>e</w:t>
            </w:r>
            <w:r w:rsidRPr="007F2CEB">
              <w:rPr>
                <w:rStyle w:val="BoldandItalics"/>
              </w:rPr>
              <w:t>valuation criteria</w:t>
            </w:r>
            <w:r w:rsidRPr="007F2CEB">
              <w:t>.</w:t>
            </w:r>
          </w:p>
          <w:p w:rsidR="00000000" w:rsidRPr="007F2CEB" w:rsidP="007F2CEB">
            <w:pPr>
              <w:pStyle w:val="List2"/>
            </w:pPr>
            <w:r w:rsidRPr="007F2CEB">
              <w:t>4.2</w:t>
            </w:r>
            <w:r w:rsidRPr="007F2CEB">
              <w:tab/>
              <w:t>Evaluate staging components in terms of operational efficiency and service quality.</w:t>
            </w:r>
          </w:p>
          <w:p w:rsidR="00000000" w:rsidRPr="007F2CEB" w:rsidP="007F2CEB">
            <w:pPr>
              <w:pStyle w:val="List2"/>
            </w:pPr>
            <w:r w:rsidRPr="007F2CEB">
              <w:t>4.3</w:t>
            </w:r>
            <w:r w:rsidRPr="007F2CEB">
              <w:tab/>
              <w:t>Use information to enhance future event planning.</w:t>
            </w:r>
          </w:p>
        </w:tc>
      </w:tr>
    </w:tbl>
    <w:p w:rsidR="00000000" w:rsidRPr="007F2CEB" w:rsidP="007F2CEB">
      <w:pPr>
        <w:pStyle w:val="List"/>
      </w:pPr>
    </w:p>
    <w:p w:rsidR="00000000" w:rsidRPr="007F2CEB" w:rsidP="007F2CEB">
      <w:pPr>
        <w:pStyle w:val="AllowPageBreak"/>
      </w:pPr>
    </w:p>
    <w:p w:rsidR="00000000" w:rsidRPr="007F2CEB" w:rsidP="007F2CEB">
      <w:pPr>
        <w:pStyle w:val="Heading1"/>
      </w:pPr>
      <w:bookmarkStart w:id="9" w:name="O_488822"/>
      <w:bookmarkEnd w:id="9"/>
      <w:r w:rsidRPr="007F2CEB">
        <w:t>Required Skills and Knowledge</w:t>
      </w:r>
    </w:p>
    <w:tbl>
      <w:tblPr>
        <w:tblW w:w="0" w:type="auto"/>
        <w:tblCellMar>
          <w:left w:w="62" w:type="dxa"/>
          <w:right w:w="62" w:type="dxa"/>
        </w:tblCellMar>
        <w:tblLook w:val="0000"/>
      </w:tblPr>
      <w:tblGrid>
        <w:gridCol w:w="9196"/>
      </w:tblGrid>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t>This section describes the skills and knowledge required for this unit.</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rPr>
                <w:rStyle w:val="SpecialBold"/>
              </w:rPr>
              <w:t>Required skills</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2CEB" w:rsidP="007F2CEB">
            <w:pPr>
              <w:pStyle w:val="ListBullet"/>
            </w:pPr>
            <w:r w:rsidRPr="007F2CEB">
              <w:t>communication and negotiation skills to:</w:t>
            </w:r>
          </w:p>
          <w:p w:rsidR="00000000" w:rsidRPr="007F2CEB" w:rsidP="007F2CEB">
            <w:pPr>
              <w:pStyle w:val="ListBullet2"/>
            </w:pPr>
            <w:r w:rsidRPr="007F2CEB">
              <w:t>conduct negotiations for the supply of products and services</w:t>
            </w:r>
          </w:p>
          <w:p w:rsidR="00000000" w:rsidRPr="007F2CEB" w:rsidP="007F2CEB">
            <w:pPr>
              <w:pStyle w:val="ListBullet2"/>
            </w:pPr>
            <w:r w:rsidRPr="007F2CEB">
              <w:t xml:space="preserve">manage relationships with staging contractors </w:t>
            </w:r>
          </w:p>
          <w:p w:rsidR="00000000" w:rsidRPr="007F2CEB" w:rsidP="007F2CEB">
            <w:pPr>
              <w:pStyle w:val="ListBullet"/>
            </w:pPr>
            <w:r w:rsidRPr="007F2CEB">
              <w:t>critical thinking skills to analyse complex event requirements and make assessments about most appropriate staging options</w:t>
            </w:r>
          </w:p>
          <w:p w:rsidR="00000000" w:rsidRPr="007F2CEB" w:rsidP="007F2CEB">
            <w:pPr>
              <w:pStyle w:val="ListBullet"/>
            </w:pPr>
            <w:r w:rsidRPr="007F2CEB">
              <w:t>learning skills to maintain and expand knowledge of staging services</w:t>
            </w:r>
          </w:p>
          <w:p w:rsidR="00000000" w:rsidRPr="007F2CEB" w:rsidP="007F2CEB">
            <w:pPr>
              <w:pStyle w:val="ListBullet"/>
            </w:pPr>
            <w:r w:rsidRPr="007F2CEB">
              <w:t>initiative and enterprise skills to pro-actively identify potent</w:t>
            </w:r>
            <w:r w:rsidRPr="007F2CEB">
              <w:t>ial for innovative approaches</w:t>
            </w:r>
          </w:p>
          <w:p w:rsidR="00000000" w:rsidRPr="007F2CEB" w:rsidP="007F2CEB">
            <w:pPr>
              <w:pStyle w:val="ListBullet"/>
            </w:pPr>
            <w:r w:rsidRPr="007F2CEB">
              <w:t>literacy skills to:</w:t>
            </w:r>
          </w:p>
          <w:p w:rsidR="00000000" w:rsidRPr="007F2CEB" w:rsidP="007F2CEB">
            <w:pPr>
              <w:pStyle w:val="ListBullet2"/>
            </w:pPr>
            <w:r w:rsidRPr="007F2CEB">
              <w:t>interpret complex event documentation</w:t>
            </w:r>
          </w:p>
          <w:p w:rsidR="00000000" w:rsidRPr="007F2CEB" w:rsidP="007F2CEB">
            <w:pPr>
              <w:pStyle w:val="ListBullet2"/>
            </w:pPr>
            <w:r w:rsidRPr="007F2CEB">
              <w:t xml:space="preserve">develop contractor specifications </w:t>
            </w:r>
          </w:p>
          <w:p w:rsidR="00000000" w:rsidRPr="007F2CEB" w:rsidP="007F2CEB">
            <w:pPr>
              <w:pStyle w:val="ListBullet"/>
            </w:pPr>
            <w:r w:rsidRPr="007F2CEB">
              <w:t>numeracy skills to:</w:t>
            </w:r>
          </w:p>
          <w:p w:rsidR="00000000" w:rsidRPr="007F2CEB" w:rsidP="007F2CEB">
            <w:pPr>
              <w:pStyle w:val="ListBullet2"/>
            </w:pPr>
            <w:r w:rsidRPr="007F2CEB">
              <w:t>evaluate event budgets</w:t>
            </w:r>
          </w:p>
          <w:p w:rsidR="00000000" w:rsidRPr="007F2CEB" w:rsidP="007F2CEB">
            <w:pPr>
              <w:pStyle w:val="ListBullet2"/>
            </w:pPr>
            <w:r w:rsidRPr="007F2CEB">
              <w:t>assess contractor quotations and negotiate costs</w:t>
            </w:r>
          </w:p>
          <w:p w:rsidR="00000000" w:rsidRPr="007F2CEB" w:rsidP="007F2CEB">
            <w:pPr>
              <w:pStyle w:val="ListBullet"/>
            </w:pPr>
            <w:r w:rsidRPr="007F2CEB">
              <w:t>planning and organising skills to:</w:t>
            </w:r>
          </w:p>
          <w:p w:rsidR="00000000" w:rsidRPr="007F2CEB" w:rsidP="007F2CEB">
            <w:pPr>
              <w:pStyle w:val="ListBullet2"/>
            </w:pPr>
            <w:r w:rsidRPr="007F2CEB">
              <w:t>o</w:t>
            </w:r>
            <w:r w:rsidRPr="007F2CEB">
              <w:t xml:space="preserve">rganise and monitor event requirements across multiple areas of staging </w:t>
            </w:r>
          </w:p>
          <w:p w:rsidR="00000000" w:rsidRPr="007F2CEB" w:rsidP="007F2CEB">
            <w:pPr>
              <w:pStyle w:val="ListBullet2"/>
            </w:pPr>
            <w:r w:rsidRPr="007F2CEB">
              <w:t>integrate potentially competing operational and management requirements</w:t>
            </w:r>
          </w:p>
          <w:p w:rsidR="00000000" w:rsidRPr="007F2CEB" w:rsidP="007F2CEB">
            <w:pPr>
              <w:pStyle w:val="ListBullet"/>
            </w:pPr>
            <w:r w:rsidRPr="007F2CEB">
              <w:t>problem-solving skills to:</w:t>
            </w:r>
          </w:p>
          <w:p w:rsidR="00000000" w:rsidRPr="007F2CEB" w:rsidP="007F2CEB">
            <w:pPr>
              <w:pStyle w:val="ListBullet2"/>
            </w:pPr>
            <w:r w:rsidRPr="007F2CEB">
              <w:t>monitor progress and develop responses to potentially complex operational problems</w:t>
            </w:r>
          </w:p>
          <w:p w:rsidR="00000000" w:rsidP="007F2CEB">
            <w:pPr>
              <w:pStyle w:val="ListBullet"/>
              <w:rPr>
                <w:lang w:val="en-NZ"/>
              </w:rPr>
            </w:pPr>
            <w:r w:rsidRPr="007F2CEB">
              <w:t>self-management skills to take responsibility for the complete contractor management process.</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rPr>
                <w:rStyle w:val="SpecialBold"/>
              </w:rPr>
              <w:t>Required knowledge</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2CEB" w:rsidP="007F2CEB">
            <w:pPr>
              <w:pStyle w:val="ListBullet"/>
            </w:pPr>
            <w:r w:rsidRPr="007F2CEB">
              <w:t>roles and responsibilities of organisations involved in event staging</w:t>
            </w:r>
          </w:p>
          <w:p w:rsidR="00000000" w:rsidRPr="007F2CEB" w:rsidP="007F2CEB">
            <w:pPr>
              <w:pStyle w:val="ListBullet"/>
            </w:pPr>
            <w:r w:rsidRPr="007F2CEB">
              <w:t xml:space="preserve">suppliers of staging products and services </w:t>
            </w:r>
          </w:p>
          <w:p w:rsidR="00000000" w:rsidRPr="007F2CEB" w:rsidP="007F2CEB">
            <w:pPr>
              <w:pStyle w:val="ListBullet"/>
            </w:pPr>
            <w:r w:rsidRPr="007F2CEB">
              <w:t>sources of information on staging services and products</w:t>
            </w:r>
          </w:p>
          <w:p w:rsidR="00000000" w:rsidRPr="007F2CEB" w:rsidP="007F2CEB">
            <w:pPr>
              <w:pStyle w:val="ListBullet"/>
            </w:pPr>
            <w:r w:rsidRPr="007F2CEB">
              <w:t>product and service terminology, features and options, current technology and risk considerations in key areas of staging, including:</w:t>
            </w:r>
          </w:p>
          <w:p w:rsidR="00000000" w:rsidRPr="007F2CEB" w:rsidP="007F2CEB">
            <w:pPr>
              <w:pStyle w:val="ListBullet2"/>
            </w:pPr>
            <w:r w:rsidRPr="007F2CEB">
              <w:t>catering</w:t>
            </w:r>
          </w:p>
          <w:p w:rsidR="00000000" w:rsidRPr="007F2CEB" w:rsidP="007F2CEB">
            <w:pPr>
              <w:pStyle w:val="ListBullet2"/>
            </w:pPr>
            <w:r w:rsidRPr="007F2CEB">
              <w:t>displays, stands and signage</w:t>
            </w:r>
          </w:p>
          <w:p w:rsidR="00000000" w:rsidRPr="007F2CEB" w:rsidP="007F2CEB">
            <w:pPr>
              <w:pStyle w:val="ListBullet2"/>
            </w:pPr>
            <w:r w:rsidRPr="007F2CEB">
              <w:t>exhibitor services</w:t>
            </w:r>
          </w:p>
          <w:p w:rsidR="00000000" w:rsidRPr="007F2CEB" w:rsidP="007F2CEB">
            <w:pPr>
              <w:pStyle w:val="ListBullet2"/>
            </w:pPr>
            <w:r w:rsidRPr="007F2CEB">
              <w:t>security</w:t>
            </w:r>
          </w:p>
          <w:p w:rsidR="00000000" w:rsidRPr="007F2CEB" w:rsidP="007F2CEB">
            <w:pPr>
              <w:pStyle w:val="ListBullet2"/>
            </w:pPr>
            <w:r w:rsidRPr="007F2CEB">
              <w:t>talent:</w:t>
            </w:r>
          </w:p>
          <w:p w:rsidR="00000000" w:rsidRPr="007F2CEB" w:rsidP="007F2CEB">
            <w:pPr>
              <w:pStyle w:val="ListBullet3"/>
            </w:pPr>
            <w:r w:rsidRPr="007F2CEB">
              <w:t>entertainers</w:t>
            </w:r>
          </w:p>
          <w:p w:rsidR="00000000" w:rsidRPr="007F2CEB" w:rsidP="007F2CEB">
            <w:pPr>
              <w:pStyle w:val="ListBullet3"/>
            </w:pPr>
            <w:r w:rsidRPr="007F2CEB">
              <w:t>speakers</w:t>
            </w:r>
          </w:p>
          <w:p w:rsidR="00000000" w:rsidRPr="007F2CEB" w:rsidP="007F2CEB">
            <w:pPr>
              <w:pStyle w:val="ListBullet2"/>
            </w:pPr>
            <w:r w:rsidRPr="007F2CEB">
              <w:t>technical equipment and services:</w:t>
            </w:r>
          </w:p>
          <w:p w:rsidR="00000000" w:rsidRPr="007F2CEB" w:rsidP="007F2CEB">
            <w:pPr>
              <w:pStyle w:val="ListBullet3"/>
            </w:pPr>
            <w:r w:rsidRPr="007F2CEB">
              <w:t>audio-visual</w:t>
            </w:r>
          </w:p>
          <w:p w:rsidR="00000000" w:rsidRPr="007F2CEB" w:rsidP="007F2CEB">
            <w:pPr>
              <w:pStyle w:val="ListBullet3"/>
            </w:pPr>
            <w:r w:rsidRPr="007F2CEB">
              <w:t>lighting</w:t>
            </w:r>
          </w:p>
          <w:p w:rsidR="00000000" w:rsidRPr="007F2CEB" w:rsidP="007F2CEB">
            <w:pPr>
              <w:pStyle w:val="ListBullet3"/>
            </w:pPr>
            <w:r w:rsidRPr="007F2CEB">
              <w:t>sets</w:t>
            </w:r>
          </w:p>
          <w:p w:rsidR="00000000" w:rsidRPr="007F2CEB" w:rsidP="007F2CEB">
            <w:pPr>
              <w:pStyle w:val="ListBullet3"/>
            </w:pPr>
            <w:r w:rsidRPr="007F2CEB">
              <w:t>sound</w:t>
            </w:r>
          </w:p>
          <w:p w:rsidR="00000000" w:rsidRPr="007F2CEB" w:rsidP="007F2CEB">
            <w:pPr>
              <w:pStyle w:val="ListBullet3"/>
            </w:pPr>
            <w:r w:rsidRPr="007F2CEB">
              <w:t>stage design</w:t>
            </w:r>
          </w:p>
          <w:p w:rsidR="00000000" w:rsidRPr="007F2CEB" w:rsidP="007F2CEB">
            <w:pPr>
              <w:pStyle w:val="ListBullet3"/>
            </w:pPr>
            <w:r w:rsidRPr="007F2CEB">
              <w:t>rigging</w:t>
            </w:r>
          </w:p>
          <w:p w:rsidR="00000000" w:rsidRPr="007F2CEB" w:rsidP="007F2CEB">
            <w:pPr>
              <w:pStyle w:val="ListBullet3"/>
            </w:pPr>
            <w:r w:rsidRPr="007F2CEB">
              <w:t>special effects</w:t>
            </w:r>
          </w:p>
          <w:p w:rsidR="00000000" w:rsidRPr="007F2CEB" w:rsidP="007F2CEB">
            <w:pPr>
              <w:pStyle w:val="ListBullet2"/>
            </w:pPr>
            <w:r w:rsidRPr="007F2CEB">
              <w:t>venue or site requirements:</w:t>
            </w:r>
          </w:p>
          <w:p w:rsidR="00000000" w:rsidRPr="007F2CEB" w:rsidP="007F2CEB">
            <w:pPr>
              <w:pStyle w:val="ListBullet3"/>
            </w:pPr>
            <w:r w:rsidRPr="007F2CEB">
              <w:t>furniture</w:t>
            </w:r>
          </w:p>
          <w:p w:rsidR="00000000" w:rsidRPr="007F2CEB" w:rsidP="007F2CEB">
            <w:pPr>
              <w:pStyle w:val="ListBullet3"/>
            </w:pPr>
            <w:r w:rsidRPr="007F2CEB">
              <w:t>layouts for different event types</w:t>
            </w:r>
          </w:p>
          <w:p w:rsidR="00000000" w:rsidRPr="007F2CEB" w:rsidP="007F2CEB">
            <w:pPr>
              <w:pStyle w:val="ListBullet3"/>
            </w:pPr>
            <w:r w:rsidRPr="007F2CEB">
              <w:t>registration areas and equipment</w:t>
            </w:r>
          </w:p>
          <w:p w:rsidR="00000000" w:rsidRPr="007F2CEB" w:rsidP="007F2CEB">
            <w:pPr>
              <w:pStyle w:val="ListBullet3"/>
            </w:pPr>
            <w:r w:rsidRPr="007F2CEB">
              <w:t>styling</w:t>
            </w:r>
          </w:p>
          <w:p w:rsidR="00000000" w:rsidRPr="007F2CEB" w:rsidP="007F2CEB">
            <w:pPr>
              <w:pStyle w:val="ListBullet"/>
            </w:pPr>
            <w:r w:rsidRPr="007F2CEB">
              <w:t>regulatory considerations for organising event staging:</w:t>
            </w:r>
          </w:p>
          <w:p w:rsidR="00000000" w:rsidRPr="007F2CEB" w:rsidP="007F2CEB">
            <w:pPr>
              <w:pStyle w:val="ListBullet2"/>
            </w:pPr>
            <w:r w:rsidRPr="007F2CEB">
              <w:t>contractor licensing</w:t>
            </w:r>
          </w:p>
          <w:p w:rsidR="00000000" w:rsidRPr="007F2CEB" w:rsidP="007F2CEB">
            <w:pPr>
              <w:pStyle w:val="ListBullet2"/>
            </w:pPr>
            <w:r w:rsidRPr="007F2CEB">
              <w:t>food safety</w:t>
            </w:r>
          </w:p>
          <w:p w:rsidR="00000000" w:rsidRPr="007F2CEB" w:rsidP="007F2CEB">
            <w:pPr>
              <w:pStyle w:val="ListBullet2"/>
            </w:pPr>
            <w:r w:rsidRPr="007F2CEB">
              <w:t>safety</w:t>
            </w:r>
          </w:p>
          <w:p w:rsidR="00000000" w:rsidRPr="007F2CEB" w:rsidP="007F2CEB">
            <w:pPr>
              <w:pStyle w:val="ListBullet"/>
            </w:pPr>
            <w:r w:rsidRPr="007F2CEB">
              <w:t>sustainability considerations for organising event staging:</w:t>
            </w:r>
          </w:p>
          <w:p w:rsidR="00000000" w:rsidRPr="007F2CEB" w:rsidP="007F2CEB">
            <w:pPr>
              <w:pStyle w:val="ListBullet2"/>
            </w:pPr>
            <w:r w:rsidRPr="007F2CEB">
              <w:t>types of products used</w:t>
            </w:r>
          </w:p>
          <w:p w:rsidR="00000000" w:rsidRPr="007F2CEB" w:rsidP="007F2CEB">
            <w:pPr>
              <w:pStyle w:val="ListBullet2"/>
            </w:pPr>
            <w:r w:rsidRPr="007F2CEB">
              <w:t>credentials of contractors</w:t>
            </w:r>
          </w:p>
          <w:p w:rsidR="00000000" w:rsidRPr="007F2CEB" w:rsidP="007F2CEB">
            <w:pPr>
              <w:pStyle w:val="ListBullet"/>
            </w:pPr>
            <w:r w:rsidRPr="007F2CEB">
              <w:t>typical problems that occur in event contractor management, and ways to avoid or manage these</w:t>
            </w:r>
          </w:p>
          <w:p w:rsidR="00000000" w:rsidRPr="007F2CEB" w:rsidP="007F2CEB">
            <w:pPr>
              <w:pStyle w:val="ListBullet"/>
            </w:pPr>
            <w:r w:rsidRPr="007F2CEB">
              <w:t>key inclusions for contractor briefing and specification documents.</w:t>
            </w:r>
          </w:p>
        </w:tc>
      </w:tr>
    </w:tbl>
    <w:p w:rsidR="00000000" w:rsidRPr="007F2CEB" w:rsidP="007F2CEB">
      <w:pPr>
        <w:pStyle w:val="BodyText"/>
      </w:pPr>
    </w:p>
    <w:p w:rsidR="00000000" w:rsidRPr="007F2CEB" w:rsidP="007F2CEB">
      <w:pPr>
        <w:pStyle w:val="AllowPageBreak"/>
      </w:pPr>
    </w:p>
    <w:p w:rsidR="00000000" w:rsidRPr="007F2CEB" w:rsidP="007F2CEB">
      <w:pPr>
        <w:pStyle w:val="Heading1"/>
      </w:pPr>
      <w:bookmarkStart w:id="10" w:name="O_488823"/>
      <w:bookmarkEnd w:id="10"/>
      <w:r w:rsidRPr="007F2CEB">
        <w:t>Evidence Guide</w:t>
      </w:r>
    </w:p>
    <w:tbl>
      <w:tblPr>
        <w:tblW w:w="0" w:type="auto"/>
        <w:tblCellMar>
          <w:left w:w="62" w:type="dxa"/>
          <w:right w:w="62" w:type="dxa"/>
        </w:tblCellMar>
        <w:tblLook w:val="0000"/>
      </w:tblPr>
      <w:tblGrid>
        <w:gridCol w:w="3116"/>
        <w:gridCol w:w="6080"/>
      </w:tblGrid>
      <w:tr w:rsidTr="002D3A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t>The evidence guide provides advice on assessment and must be read in conjunction with the performance criteria, required skills and knowledge, range statement and the Assessment Guidelines for the Training Package.</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F2CEB">
            <w:pPr>
              <w:pStyle w:val="BodyText"/>
              <w:rPr>
                <w:lang w:val="en-NZ"/>
              </w:rPr>
            </w:pP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rPr>
                <w:rStyle w:val="SpecialBold"/>
              </w:rPr>
              <w:t>Critical aspec</w:t>
            </w:r>
            <w:r w:rsidRPr="007F2CE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F2CEB" w:rsidP="007F2CEB">
            <w:pPr>
              <w:pStyle w:val="BodyText"/>
            </w:pPr>
            <w:r w:rsidRPr="007F2CEB">
              <w:t>Evidence of the ability to:</w:t>
            </w:r>
          </w:p>
          <w:p w:rsidR="00000000" w:rsidRPr="007F2CEB" w:rsidP="007F2CEB">
            <w:pPr>
              <w:pStyle w:val="ListBullet"/>
            </w:pPr>
            <w:r w:rsidRPr="007F2CEB">
              <w:t>manage staging requirements for events involving:</w:t>
            </w:r>
          </w:p>
          <w:p w:rsidR="00000000" w:rsidRPr="007F2CEB" w:rsidP="007F2CEB">
            <w:pPr>
              <w:pStyle w:val="ListBullet2"/>
            </w:pPr>
            <w:r w:rsidRPr="007F2CEB">
              <w:t>comprehensive event plans</w:t>
            </w:r>
          </w:p>
          <w:p w:rsidR="00000000" w:rsidRPr="007F2CEB" w:rsidP="007F2CEB">
            <w:pPr>
              <w:pStyle w:val="ListBullet2"/>
            </w:pPr>
            <w:r w:rsidRPr="007F2CEB">
              <w:t>dedicated event budgets</w:t>
            </w:r>
          </w:p>
          <w:p w:rsidR="00000000" w:rsidRPr="007F2CEB" w:rsidP="007F2CEB">
            <w:pPr>
              <w:pStyle w:val="ListBullet2"/>
            </w:pPr>
            <w:r w:rsidRPr="007F2CEB">
              <w:t>formal communications plans</w:t>
            </w:r>
          </w:p>
          <w:p w:rsidR="00000000" w:rsidRPr="007F2CEB" w:rsidP="007F2CEB">
            <w:pPr>
              <w:pStyle w:val="ListBullet2"/>
            </w:pPr>
            <w:r w:rsidRPr="007F2CEB">
              <w:t>multiple operational components</w:t>
            </w:r>
          </w:p>
          <w:p w:rsidR="00000000" w:rsidRPr="007F2CEB" w:rsidP="007F2CEB">
            <w:pPr>
              <w:pStyle w:val="ListBullet2"/>
            </w:pPr>
            <w:r w:rsidRPr="007F2CEB">
              <w:t>an event operations team</w:t>
            </w:r>
          </w:p>
          <w:p w:rsidR="00000000" w:rsidRPr="007F2CEB" w:rsidP="007F2CEB">
            <w:pPr>
              <w:pStyle w:val="ListBullet2"/>
            </w:pPr>
            <w:r w:rsidRPr="007F2CEB">
              <w:t>a wide range of stakeholders</w:t>
            </w:r>
          </w:p>
          <w:p w:rsidR="00000000" w:rsidRPr="007F2CEB" w:rsidP="007F2CEB">
            <w:pPr>
              <w:pStyle w:val="ListBullet"/>
            </w:pPr>
            <w:r w:rsidRPr="007F2CEB">
              <w:t>source, organise and coordinate staging contractors for multiple and diverse events</w:t>
            </w:r>
          </w:p>
          <w:p w:rsidR="00000000" w:rsidRPr="007F2CEB" w:rsidP="007F2CEB">
            <w:pPr>
              <w:pStyle w:val="ListBullet"/>
            </w:pPr>
            <w:r w:rsidRPr="007F2CEB">
              <w:t>liaise with contractors and other stakeholders during the event organisation process</w:t>
            </w:r>
          </w:p>
          <w:p w:rsidR="00000000" w:rsidRPr="007F2CEB" w:rsidP="007F2CEB">
            <w:pPr>
              <w:pStyle w:val="ListBullet"/>
            </w:pPr>
            <w:r w:rsidRPr="007F2CEB">
              <w:t>integrate knowledge of:</w:t>
            </w:r>
          </w:p>
          <w:p w:rsidR="00000000" w:rsidRPr="007F2CEB" w:rsidP="007F2CEB">
            <w:pPr>
              <w:pStyle w:val="ListBullet2"/>
            </w:pPr>
            <w:r w:rsidRPr="007F2CEB">
              <w:t>event staging products and services</w:t>
            </w:r>
          </w:p>
          <w:p w:rsidR="00000000" w:rsidP="007F2CEB">
            <w:pPr>
              <w:pStyle w:val="ListBullet2"/>
              <w:rPr>
                <w:lang w:val="en-NZ"/>
              </w:rPr>
            </w:pPr>
            <w:r w:rsidRPr="007F2CEB">
              <w:t xml:space="preserve">requirements for contractor briefing and specification documents. </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F2CEB" w:rsidP="007F2CEB">
            <w:pPr>
              <w:pStyle w:val="BodyText"/>
            </w:pPr>
            <w:r w:rsidRPr="007F2CEB">
              <w:t>Assessment must ensure use of:</w:t>
            </w:r>
          </w:p>
          <w:p w:rsidR="00000000" w:rsidRPr="007F2CEB" w:rsidP="007F2CEB">
            <w:pPr>
              <w:pStyle w:val="ListBullet"/>
            </w:pPr>
            <w:r w:rsidRPr="007F2CEB">
              <w:t>actual events for which staging is organised. Events may be created for the specific purpose of skills assessment, but must still meet the requirements outlined under Critical aspects of assessment, and have commercial, community or business relevance. Sma</w:t>
            </w:r>
            <w:r w:rsidRPr="007F2CEB">
              <w:t>ll personal events are not appropriate as a means of assessing an individual’s skills and knowledge</w:t>
            </w:r>
          </w:p>
          <w:p w:rsidR="00000000" w:rsidRPr="007F2CEB" w:rsidP="007F2CEB">
            <w:pPr>
              <w:pStyle w:val="ListBullet"/>
            </w:pPr>
            <w:r w:rsidRPr="007F2CEB">
              <w:t>venues and sites where events are operated; these can be:</w:t>
            </w:r>
          </w:p>
          <w:p w:rsidR="00000000" w:rsidRPr="007F2CEB" w:rsidP="007F2CEB">
            <w:pPr>
              <w:pStyle w:val="ListBullet2"/>
            </w:pPr>
            <w:r w:rsidRPr="007F2CEB">
              <w:t>real event venues and sites</w:t>
            </w:r>
          </w:p>
          <w:p w:rsidR="00000000" w:rsidRPr="007F2CEB" w:rsidP="007F2CEB">
            <w:pPr>
              <w:pStyle w:val="ListBullet2"/>
            </w:pPr>
            <w:r w:rsidRPr="007F2CEB">
              <w:t xml:space="preserve">event venues and sites operated within a training organisation such as auditoria, exhibition areas, conference rooms, restaurants and sporting facilities where real events are staged </w:t>
            </w:r>
          </w:p>
          <w:p w:rsidR="00000000" w:rsidRPr="007F2CEB" w:rsidP="007F2CEB">
            <w:pPr>
              <w:pStyle w:val="ListBullet"/>
            </w:pPr>
            <w:r w:rsidRPr="007F2CEB">
              <w:t>comprehensive event plans</w:t>
            </w:r>
          </w:p>
          <w:p w:rsidR="00000000" w:rsidRPr="007F2CEB" w:rsidP="007F2CEB">
            <w:pPr>
              <w:pStyle w:val="ListBullet"/>
            </w:pPr>
            <w:r w:rsidRPr="007F2CEB">
              <w:t>dedicated event budgets for diverse event com</w:t>
            </w:r>
            <w:r w:rsidRPr="007F2CEB">
              <w:t>ponents</w:t>
            </w:r>
          </w:p>
          <w:p w:rsidR="00000000" w:rsidRPr="007F2CEB" w:rsidP="007F2CEB">
            <w:pPr>
              <w:pStyle w:val="ListBullet"/>
            </w:pPr>
            <w:r w:rsidRPr="007F2CEB">
              <w:t>formal communications plans</w:t>
            </w:r>
          </w:p>
          <w:p w:rsidR="00000000" w:rsidRPr="007F2CEB" w:rsidP="007F2CEB">
            <w:pPr>
              <w:pStyle w:val="ListBullet"/>
            </w:pPr>
            <w:r w:rsidRPr="007F2CEB">
              <w:t>current industry documentation and publications relating to staging products and services</w:t>
            </w:r>
          </w:p>
          <w:p w:rsidR="00000000" w:rsidP="007F2CEB">
            <w:pPr>
              <w:pStyle w:val="ListBullet"/>
              <w:rPr>
                <w:lang w:val="en-NZ"/>
              </w:rPr>
            </w:pPr>
            <w:r w:rsidRPr="007F2CEB">
              <w:t xml:space="preserve">multiple contractors with whom the individual can interact. </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F2CEB" w:rsidP="007F2CEB">
            <w:pPr>
              <w:pStyle w:val="BodyText"/>
            </w:pPr>
            <w:r w:rsidRPr="007F2CEB">
              <w:t xml:space="preserve">A range of assessment methods should be used to assess practical skills and knowledge. The following examples are appropriate for this unit: </w:t>
            </w:r>
          </w:p>
          <w:p w:rsidR="00000000" w:rsidRPr="007F2CEB" w:rsidP="007F2CEB">
            <w:pPr>
              <w:pStyle w:val="ListBullet"/>
            </w:pPr>
            <w:r w:rsidRPr="007F2CEB">
              <w:t>evaluation of the staging of an event managed by the individual through attendance at the event</w:t>
            </w:r>
          </w:p>
          <w:p w:rsidR="00000000" w:rsidRPr="007F2CEB" w:rsidP="007F2CEB">
            <w:pPr>
              <w:pStyle w:val="ListBullet"/>
            </w:pPr>
            <w:r w:rsidRPr="007F2CEB">
              <w:t>review of documen</w:t>
            </w:r>
            <w:r w:rsidRPr="007F2CEB">
              <w:t>tation used to manage staging contractors prepared by the individual</w:t>
            </w:r>
          </w:p>
          <w:p w:rsidR="00000000" w:rsidRPr="007F2CEB" w:rsidP="007F2CEB">
            <w:pPr>
              <w:pStyle w:val="ListBullet"/>
            </w:pPr>
            <w:r w:rsidRPr="007F2CEB">
              <w:t>questioning of contractors to assess the organisational skills of the individual</w:t>
            </w:r>
          </w:p>
          <w:p w:rsidR="00000000" w:rsidRPr="007F2CEB" w:rsidP="007F2CEB">
            <w:pPr>
              <w:pStyle w:val="ListBullet"/>
            </w:pPr>
            <w:r w:rsidRPr="007F2CEB">
              <w:t>use of case studies to assess ability to determine staging requirements for different events</w:t>
            </w:r>
          </w:p>
          <w:p w:rsidR="00000000" w:rsidRPr="007F2CEB" w:rsidP="007F2CEB">
            <w:pPr>
              <w:pStyle w:val="ListBullet"/>
            </w:pPr>
            <w:r w:rsidRPr="007F2CEB">
              <w:t>oral or writt</w:t>
            </w:r>
            <w:r w:rsidRPr="007F2CEB">
              <w:t>en questioning to assess knowledge of key staging services and relevant terminology</w:t>
            </w:r>
          </w:p>
          <w:p w:rsidR="00000000" w:rsidP="007F2CEB">
            <w:pPr>
              <w:pStyle w:val="ListBullet"/>
              <w:rPr>
                <w:lang w:val="en-NZ"/>
              </w:rPr>
            </w:pPr>
            <w:r w:rsidRPr="007F2CEB">
              <w:t>review of portfolios of evidence and third</w:t>
            </w:r>
            <w:r w:rsidRPr="007F2CEB">
              <w:noBreakHyphen/>
              <w:t>party workplace reports of on</w:t>
            </w:r>
            <w:r w:rsidRPr="007F2CEB">
              <w:noBreakHyphen/>
              <w:t>the</w:t>
            </w:r>
            <w:r w:rsidRPr="007F2CEB">
              <w:noBreakHyphen/>
              <w:t xml:space="preserve">job performance by the individual. </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F2CEB" w:rsidP="007F2CEB">
            <w:pPr>
              <w:pStyle w:val="BodyText"/>
            </w:pPr>
            <w:r w:rsidRPr="007F2CEB">
              <w:t>The assessor should de</w:t>
            </w:r>
            <w:r w:rsidRPr="007F2CEB">
              <w:t xml:space="preserve">sign integrated assessment activities to holistically assess this unit with other units relevant to the industry sector, organisation and job role, for example: </w:t>
            </w:r>
          </w:p>
          <w:p w:rsidR="00000000" w:rsidRPr="007F2CEB" w:rsidP="007F2CEB">
            <w:pPr>
              <w:pStyle w:val="ListBullet"/>
            </w:pPr>
            <w:r w:rsidRPr="007F2CEB">
              <w:t>SITXEVT502 Select event venues and sites</w:t>
            </w:r>
          </w:p>
          <w:p w:rsidR="00000000" w:rsidRPr="007F2CEB" w:rsidP="007F2CEB">
            <w:pPr>
              <w:pStyle w:val="ListBullet"/>
            </w:pPr>
            <w:r w:rsidRPr="007F2CEB">
              <w:t>SITXEVT504 Organise event infrastructure</w:t>
            </w:r>
          </w:p>
          <w:p w:rsidR="00000000" w:rsidRPr="007F2CEB" w:rsidP="007F2CEB">
            <w:pPr>
              <w:pStyle w:val="ListBullet"/>
            </w:pPr>
            <w:r w:rsidRPr="007F2CEB">
              <w:t xml:space="preserve">SITXEVT505 </w:t>
            </w:r>
            <w:r w:rsidRPr="007F2CEB">
              <w:t>Manage on-site event operations.</w:t>
            </w:r>
          </w:p>
        </w:tc>
      </w:tr>
    </w:tbl>
    <w:p w:rsidR="00000000" w:rsidRPr="007F2CEB" w:rsidP="007F2CEB">
      <w:pPr>
        <w:pStyle w:val="BodyText"/>
      </w:pPr>
    </w:p>
    <w:p w:rsidR="00000000" w:rsidRPr="007F2CEB" w:rsidP="007F2CEB">
      <w:pPr>
        <w:pStyle w:val="AllowPageBreak"/>
      </w:pPr>
    </w:p>
    <w:p w:rsidR="00000000" w:rsidRPr="007F2CEB" w:rsidP="007F2CEB">
      <w:pPr>
        <w:pStyle w:val="Heading1"/>
      </w:pPr>
      <w:bookmarkStart w:id="11" w:name="O_488824"/>
      <w:bookmarkEnd w:id="11"/>
      <w:r w:rsidRPr="007F2CEB">
        <w:t>Range Statement</w:t>
      </w:r>
    </w:p>
    <w:tbl>
      <w:tblPr>
        <w:tblW w:w="0" w:type="auto"/>
        <w:tblCellMar>
          <w:left w:w="62" w:type="dxa"/>
          <w:right w:w="62" w:type="dxa"/>
        </w:tblCellMar>
        <w:tblLook w:val="0000"/>
      </w:tblPr>
      <w:tblGrid>
        <w:gridCol w:w="3116"/>
        <w:gridCol w:w="6080"/>
      </w:tblGrid>
      <w:tr w:rsidTr="002D3A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t xml:space="preserve">The range statement relates to the unit of competency as a whole. It allows for different work environments and situations that may affect </w:t>
            </w:r>
            <w:r w:rsidRPr="007F2CEB">
              <w:t>performance. Bold italicised wording, if used in the performance criteria, is detailed below. Essential operating conditions that may be present with training and assessment (depending on the work situation, needs of the candidate, accessibility of the ite</w:t>
            </w:r>
            <w:r w:rsidRPr="007F2CEB">
              <w:t>m, and local industry and regional contexts) may also be included.</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rPr>
                <w:rStyle w:val="BoldandItalics"/>
              </w:rPr>
              <w:t>Key stakeholders</w:t>
            </w:r>
            <w:r w:rsidRPr="007F2CE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F2CEB" w:rsidP="007F2CEB">
            <w:pPr>
              <w:pStyle w:val="ListBullet"/>
            </w:pPr>
            <w:r w:rsidRPr="007F2CEB">
              <w:t>attendees:</w:t>
            </w:r>
          </w:p>
          <w:p w:rsidR="00000000" w:rsidRPr="007F2CEB" w:rsidP="007F2CEB">
            <w:pPr>
              <w:pStyle w:val="ListBullet2"/>
            </w:pPr>
            <w:r w:rsidRPr="007F2CEB">
              <w:t>audience</w:t>
            </w:r>
          </w:p>
          <w:p w:rsidR="00000000" w:rsidRPr="007F2CEB" w:rsidP="007F2CEB">
            <w:pPr>
              <w:pStyle w:val="ListBullet2"/>
            </w:pPr>
            <w:r w:rsidRPr="007F2CEB">
              <w:t>delegates</w:t>
            </w:r>
          </w:p>
          <w:p w:rsidR="00000000" w:rsidRPr="007F2CEB" w:rsidP="007F2CEB">
            <w:pPr>
              <w:pStyle w:val="ListBullet2"/>
            </w:pPr>
            <w:r w:rsidRPr="007F2CEB">
              <w:t xml:space="preserve">guests </w:t>
            </w:r>
          </w:p>
          <w:p w:rsidR="00000000" w:rsidRPr="007F2CEB" w:rsidP="007F2CEB">
            <w:pPr>
              <w:pStyle w:val="ListBullet2"/>
            </w:pPr>
            <w:r w:rsidRPr="007F2CEB">
              <w:t>participants</w:t>
            </w:r>
          </w:p>
          <w:p w:rsidR="00000000" w:rsidRPr="007F2CEB" w:rsidP="007F2CEB">
            <w:pPr>
              <w:pStyle w:val="ListBullet"/>
            </w:pPr>
            <w:r w:rsidRPr="007F2CEB">
              <w:t xml:space="preserve">clients </w:t>
            </w:r>
          </w:p>
          <w:p w:rsidR="00000000" w:rsidRPr="007F2CEB" w:rsidP="007F2CEB">
            <w:pPr>
              <w:pStyle w:val="ListBullet"/>
            </w:pPr>
            <w:r w:rsidRPr="007F2CEB">
              <w:t>contractors</w:t>
            </w:r>
          </w:p>
          <w:p w:rsidR="00000000" w:rsidRPr="007F2CEB" w:rsidP="007F2CEB">
            <w:pPr>
              <w:pStyle w:val="ListBullet"/>
            </w:pPr>
            <w:r w:rsidRPr="007F2CEB">
              <w:t>emergency services</w:t>
            </w:r>
          </w:p>
          <w:p w:rsidR="00000000" w:rsidRPr="007F2CEB" w:rsidP="007F2CEB">
            <w:pPr>
              <w:pStyle w:val="ListBullet"/>
            </w:pPr>
            <w:r w:rsidRPr="007F2CEB">
              <w:t>host organisation</w:t>
            </w:r>
          </w:p>
          <w:p w:rsidR="00000000" w:rsidRPr="007F2CEB" w:rsidP="007F2CEB">
            <w:pPr>
              <w:pStyle w:val="ListBullet"/>
            </w:pPr>
            <w:r w:rsidRPr="007F2CEB">
              <w:t>regulatory authorities</w:t>
            </w:r>
          </w:p>
          <w:p w:rsidR="00000000" w:rsidRPr="007F2CEB" w:rsidP="007F2CEB">
            <w:pPr>
              <w:pStyle w:val="ListBullet"/>
            </w:pPr>
            <w:r w:rsidRPr="007F2CEB">
              <w:t>sponsors</w:t>
            </w:r>
          </w:p>
          <w:p w:rsidR="00000000" w:rsidP="007F2CEB">
            <w:pPr>
              <w:pStyle w:val="ListBullet"/>
              <w:rPr>
                <w:lang w:val="en-NZ"/>
              </w:rPr>
            </w:pPr>
            <w:r w:rsidRPr="007F2CEB">
              <w:t>suppliers.</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rPr>
                <w:rStyle w:val="BoldandItalics"/>
              </w:rPr>
              <w:t xml:space="preserve">Specifications </w:t>
            </w:r>
            <w:r w:rsidRPr="007F2CEB">
              <w:t>may relate to:</w:t>
            </w:r>
          </w:p>
        </w:tc>
        <w:tc>
          <w:tcPr>
            <w:tcW w:w="0" w:type="auto"/>
            <w:tcBorders>
              <w:top w:val="nil"/>
              <w:left w:val="nil"/>
              <w:bottom w:val="nil"/>
              <w:right w:val="nil"/>
            </w:tcBorders>
            <w:tcMar>
              <w:top w:w="0" w:type="dxa"/>
              <w:left w:w="62" w:type="dxa"/>
              <w:bottom w:w="0" w:type="dxa"/>
              <w:right w:w="62" w:type="dxa"/>
            </w:tcMar>
          </w:tcPr>
          <w:p w:rsidR="00000000" w:rsidRPr="007F2CEB" w:rsidP="007F2CEB">
            <w:pPr>
              <w:pStyle w:val="ListBullet"/>
            </w:pPr>
            <w:r w:rsidRPr="007F2CEB">
              <w:t>performance standards</w:t>
            </w:r>
          </w:p>
          <w:p w:rsidR="00000000" w:rsidRPr="007F2CEB" w:rsidP="007F2CEB">
            <w:pPr>
              <w:pStyle w:val="ListBullet"/>
            </w:pPr>
            <w:r w:rsidRPr="007F2CEB">
              <w:t>price</w:t>
            </w:r>
          </w:p>
          <w:p w:rsidR="00000000" w:rsidRPr="007F2CEB" w:rsidP="007F2CEB">
            <w:pPr>
              <w:pStyle w:val="ListBullet"/>
            </w:pPr>
            <w:r w:rsidRPr="007F2CEB">
              <w:t>sustainability</w:t>
            </w:r>
          </w:p>
          <w:p w:rsidR="00000000" w:rsidRPr="007F2CEB" w:rsidP="007F2CEB">
            <w:pPr>
              <w:pStyle w:val="ListBullet"/>
            </w:pPr>
            <w:r w:rsidRPr="007F2CEB">
              <w:t xml:space="preserve">technical specifications </w:t>
            </w:r>
          </w:p>
          <w:p w:rsidR="00000000" w:rsidRPr="007F2CEB" w:rsidP="007F2CEB">
            <w:pPr>
              <w:pStyle w:val="ListBullet"/>
            </w:pPr>
            <w:r w:rsidRPr="007F2CEB">
              <w:t>theme</w:t>
            </w:r>
            <w:r w:rsidRPr="007F2CEB">
              <w:noBreakHyphen/>
              <w:t>related requirements</w:t>
            </w:r>
          </w:p>
          <w:p w:rsidR="00000000" w:rsidRPr="007F2CEB" w:rsidP="007F2CEB">
            <w:pPr>
              <w:pStyle w:val="ListBullet"/>
            </w:pPr>
            <w:r w:rsidRPr="007F2CEB">
              <w:t>timelines</w:t>
            </w:r>
          </w:p>
          <w:p w:rsidR="00000000" w:rsidP="007F2CEB">
            <w:pPr>
              <w:pStyle w:val="ListBullet"/>
              <w:rPr>
                <w:lang w:val="en-NZ"/>
              </w:rPr>
            </w:pPr>
            <w:r w:rsidRPr="007F2CEB">
              <w:t>regulatory requirements.</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rPr>
                <w:rStyle w:val="BoldandItalics"/>
              </w:rPr>
              <w:t>Staging adjustments</w:t>
            </w:r>
            <w:r w:rsidRPr="007F2CE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F2CEB" w:rsidP="007F2CEB">
            <w:pPr>
              <w:pStyle w:val="ListBullet"/>
            </w:pPr>
            <w:r w:rsidRPr="007F2CEB">
              <w:t>budget</w:t>
            </w:r>
          </w:p>
          <w:p w:rsidR="00000000" w:rsidRPr="007F2CEB" w:rsidP="007F2CEB">
            <w:pPr>
              <w:pStyle w:val="ListBullet"/>
            </w:pPr>
            <w:r w:rsidRPr="007F2CEB">
              <w:t>capacity of supplier to deliver quality outcome</w:t>
            </w:r>
          </w:p>
          <w:p w:rsidR="00000000" w:rsidRPr="007F2CEB" w:rsidP="007F2CEB">
            <w:pPr>
              <w:pStyle w:val="ListBullet"/>
            </w:pPr>
            <w:r w:rsidRPr="007F2CEB">
              <w:t>ch</w:t>
            </w:r>
            <w:r w:rsidRPr="007F2CEB">
              <w:t>anges in numbers</w:t>
            </w:r>
          </w:p>
          <w:p w:rsidR="00000000" w:rsidP="007F2CEB">
            <w:pPr>
              <w:pStyle w:val="ListBullet"/>
              <w:rPr>
                <w:lang w:val="en-NZ"/>
              </w:rPr>
            </w:pPr>
            <w:r w:rsidRPr="007F2CEB">
              <w:t>unexpected difficulties with staging components.</w:t>
            </w:r>
          </w:p>
        </w:tc>
      </w:tr>
      <w:tr w:rsidTr="002D3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CEB">
            <w:pPr>
              <w:pStyle w:val="BodyText"/>
              <w:rPr>
                <w:lang w:val="en-NZ"/>
              </w:rPr>
            </w:pPr>
            <w:r w:rsidRPr="007F2CEB">
              <w:rPr>
                <w:rStyle w:val="BoldandItalics"/>
              </w:rPr>
              <w:t>Evaluation criteria</w:t>
            </w:r>
            <w:r w:rsidRPr="007F2CE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F2CEB" w:rsidP="007F2CEB">
            <w:pPr>
              <w:pStyle w:val="ListBullet"/>
            </w:pPr>
            <w:r w:rsidRPr="007F2CEB">
              <w:t xml:space="preserve">communication </w:t>
            </w:r>
          </w:p>
          <w:p w:rsidR="00000000" w:rsidRPr="007F2CEB" w:rsidP="007F2CEB">
            <w:pPr>
              <w:pStyle w:val="ListBullet"/>
            </w:pPr>
            <w:r w:rsidRPr="007F2CEB">
              <w:t>contingency management</w:t>
            </w:r>
          </w:p>
          <w:p w:rsidR="00000000" w:rsidRPr="007F2CEB" w:rsidP="007F2CEB">
            <w:pPr>
              <w:pStyle w:val="ListBullet"/>
            </w:pPr>
            <w:r w:rsidRPr="007F2CEB">
              <w:t>operational efficiency</w:t>
            </w:r>
          </w:p>
          <w:p w:rsidR="00000000" w:rsidRPr="007F2CEB" w:rsidP="007F2CEB">
            <w:pPr>
              <w:pStyle w:val="ListBullet"/>
            </w:pPr>
            <w:r w:rsidRPr="007F2CEB">
              <w:t>profitability</w:t>
            </w:r>
          </w:p>
          <w:p w:rsidR="00000000" w:rsidRPr="007F2CEB" w:rsidP="007F2CEB">
            <w:pPr>
              <w:pStyle w:val="ListBullet"/>
            </w:pPr>
            <w:r w:rsidRPr="007F2CEB">
              <w:t>resource efficiency</w:t>
            </w:r>
          </w:p>
          <w:p w:rsidR="00000000" w:rsidRPr="007F2CEB" w:rsidP="007F2CEB">
            <w:pPr>
              <w:pStyle w:val="ListBullet"/>
            </w:pPr>
            <w:r w:rsidRPr="007F2CEB">
              <w:t>success in meeting event objectives</w:t>
            </w:r>
          </w:p>
          <w:p w:rsidR="00000000" w:rsidRPr="007F2CEB" w:rsidP="007F2CEB">
            <w:pPr>
              <w:pStyle w:val="ListBullet"/>
            </w:pPr>
            <w:r w:rsidRPr="007F2CEB">
              <w:t>stakeholder feedback.</w:t>
            </w:r>
          </w:p>
        </w:tc>
      </w:tr>
    </w:tbl>
    <w:p w:rsidR="00000000" w:rsidRPr="007F2CEB" w:rsidP="007F2CEB">
      <w:pPr>
        <w:pStyle w:val="BodyText"/>
      </w:pPr>
    </w:p>
    <w:p w:rsidR="00000000" w:rsidRPr="007F2CEB" w:rsidP="007F2CEB">
      <w:pPr>
        <w:pStyle w:val="AllowPageBreak"/>
      </w:pPr>
    </w:p>
    <w:p w:rsidR="00000000" w:rsidRPr="007F2CEB" w:rsidP="007F2CEB">
      <w:pPr>
        <w:pStyle w:val="Heading1"/>
      </w:pPr>
      <w:bookmarkStart w:id="12" w:name="O_488825"/>
      <w:bookmarkEnd w:id="12"/>
      <w:r w:rsidRPr="007F2CEB">
        <w:t>Unit Sector(s)</w:t>
      </w:r>
    </w:p>
    <w:p w:rsidR="00000000" w:rsidRPr="007F2CEB" w:rsidP="007F2CEB">
      <w:pPr>
        <w:pStyle w:val="BodyText"/>
      </w:pPr>
      <w:r w:rsidRPr="007F2CEB">
        <w:t>Cross-Sector</w:t>
      </w:r>
    </w:p>
    <w:p w:rsidR="00000000" w:rsidRPr="007F2CEB" w:rsidP="007F2CEB">
      <w:pPr>
        <w:pStyle w:val="AllowPageBreak"/>
      </w:pPr>
    </w:p>
    <w:p w:rsidR="00000000" w:rsidRPr="007F2CEB" w:rsidP="007F2CEB">
      <w:pPr>
        <w:pStyle w:val="Heading1"/>
      </w:pPr>
      <w:bookmarkStart w:id="13" w:name="O_488826"/>
      <w:bookmarkEnd w:id="13"/>
      <w:r w:rsidRPr="007F2CEB">
        <w:t>Competency Field</w:t>
      </w:r>
    </w:p>
    <w:p w:rsidR="00000000" w:rsidRPr="007F2CEB" w:rsidP="007F2CEB">
      <w:pPr>
        <w:pStyle w:val="BodyText"/>
      </w:pPr>
      <w:r w:rsidRPr="007F2CEB">
        <w:t>Events</w:t>
      </w:r>
    </w:p>
    <w:p w:rsidR="00000000" w:rsidRPr="007F2CEB" w:rsidP="007F2CEB"/>
    <w:sectPr w:rsidSect="007F2C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CEB" w:rsidRPr="002D3ABD" w:rsidP="002D3A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ABD" w:rsidP="007F2C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3ABD" w:rsidP="007F2CE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D3ABD" w:rsidP="007F2C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CEB" w:rsidRPr="002D3ABD" w:rsidP="002D3A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ABD" w:rsidRPr="002D2AF8" w:rsidP="007F2CEB">
    <w:pPr>
      <w:pStyle w:val="Header"/>
      <w:framePr w:wrap="around"/>
    </w:pPr>
    <w:r>
      <w:fldChar w:fldCharType="begin"/>
    </w:r>
    <w:r>
      <w:instrText xml:space="preserve"> TITLE   \* MERGEFORMAT </w:instrText>
    </w:r>
    <w:r>
      <w:fldChar w:fldCharType="separate"/>
    </w:r>
    <w:r>
      <w:t>SITXEVT503 Manage event staging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2D3ABD" w:rsidP="007F2C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8A7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70C9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F49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C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CEB"/>
    <w:pPr>
      <w:spacing w:before="360" w:after="60"/>
      <w:outlineLvl w:val="0"/>
    </w:pPr>
    <w:rPr>
      <w:sz w:val="32"/>
    </w:rPr>
  </w:style>
  <w:style w:type="paragraph" w:styleId="Heading2">
    <w:name w:val="heading 2"/>
    <w:basedOn w:val="HeadingBase"/>
    <w:next w:val="BodyText"/>
    <w:link w:val="Heading2Char"/>
    <w:qFormat/>
    <w:rsid w:val="007F2CEB"/>
    <w:pPr>
      <w:keepLines/>
      <w:spacing w:before="240" w:after="120"/>
      <w:outlineLvl w:val="1"/>
    </w:pPr>
    <w:rPr>
      <w:sz w:val="28"/>
      <w:szCs w:val="40"/>
    </w:rPr>
  </w:style>
  <w:style w:type="paragraph" w:styleId="Heading3">
    <w:name w:val="heading 3"/>
    <w:basedOn w:val="HeadingBase"/>
    <w:next w:val="BodyText"/>
    <w:link w:val="Heading3Char"/>
    <w:qFormat/>
    <w:rsid w:val="007F2CEB"/>
    <w:pPr>
      <w:spacing w:before="180" w:after="120"/>
      <w:outlineLvl w:val="2"/>
    </w:pPr>
    <w:rPr>
      <w:spacing w:val="-10"/>
      <w:kern w:val="32"/>
    </w:rPr>
  </w:style>
  <w:style w:type="paragraph" w:styleId="Heading4">
    <w:name w:val="heading 4"/>
    <w:basedOn w:val="HeadingBase"/>
    <w:next w:val="BodyText"/>
    <w:link w:val="Heading4Char"/>
    <w:qFormat/>
    <w:rsid w:val="007F2CEB"/>
    <w:pPr>
      <w:spacing w:before="160" w:after="120"/>
      <w:outlineLvl w:val="3"/>
    </w:pPr>
    <w:rPr>
      <w:sz w:val="22"/>
    </w:rPr>
  </w:style>
  <w:style w:type="paragraph" w:styleId="Heading5">
    <w:name w:val="heading 5"/>
    <w:basedOn w:val="HeadingBase"/>
    <w:next w:val="Normal"/>
    <w:link w:val="Heading5Char"/>
    <w:qFormat/>
    <w:rsid w:val="007F2CEB"/>
    <w:pPr>
      <w:spacing w:before="80"/>
      <w:outlineLvl w:val="4"/>
    </w:pPr>
    <w:rPr>
      <w:color w:val="918585"/>
      <w:sz w:val="20"/>
    </w:rPr>
  </w:style>
  <w:style w:type="paragraph" w:styleId="Heading6">
    <w:name w:val="heading 6"/>
    <w:basedOn w:val="HeadingBase"/>
    <w:next w:val="Normal"/>
    <w:link w:val="Heading6Char"/>
    <w:qFormat/>
    <w:rsid w:val="007F2CEB"/>
    <w:pPr>
      <w:spacing w:before="60"/>
      <w:outlineLvl w:val="5"/>
    </w:pPr>
    <w:rPr>
      <w:color w:val="918585"/>
      <w:sz w:val="20"/>
    </w:rPr>
  </w:style>
  <w:style w:type="paragraph" w:styleId="Heading7">
    <w:name w:val="heading 7"/>
    <w:basedOn w:val="Normal"/>
    <w:next w:val="Normal"/>
    <w:link w:val="Heading7Char"/>
    <w:qFormat/>
    <w:rsid w:val="007F2CEB"/>
    <w:pPr>
      <w:ind w:left="720"/>
      <w:outlineLvl w:val="6"/>
    </w:pPr>
    <w:rPr>
      <w:i/>
    </w:rPr>
  </w:style>
  <w:style w:type="paragraph" w:styleId="Heading8">
    <w:name w:val="heading 8"/>
    <w:basedOn w:val="Normal"/>
    <w:next w:val="Normal"/>
    <w:link w:val="Heading8Char"/>
    <w:qFormat/>
    <w:rsid w:val="007F2CEB"/>
    <w:pPr>
      <w:ind w:left="720"/>
      <w:outlineLvl w:val="7"/>
    </w:pPr>
    <w:rPr>
      <w:i/>
    </w:rPr>
  </w:style>
  <w:style w:type="paragraph" w:styleId="Heading9">
    <w:name w:val="heading 9"/>
    <w:basedOn w:val="Normal"/>
    <w:next w:val="Normal"/>
    <w:link w:val="Heading9Char"/>
    <w:qFormat/>
    <w:rsid w:val="007F2CEB"/>
    <w:pPr>
      <w:ind w:left="720"/>
      <w:outlineLvl w:val="8"/>
    </w:pPr>
    <w:rPr>
      <w:i/>
    </w:rPr>
  </w:style>
  <w:style w:type="character" w:default="1" w:styleId="DefaultParagraphFont">
    <w:name w:val="Default Paragraph Font"/>
    <w:uiPriority w:val="1"/>
    <w:unhideWhenUsed/>
    <w:rsid w:val="007F2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CEB"/>
  </w:style>
  <w:style w:type="character" w:customStyle="1" w:styleId="Heading1Char">
    <w:name w:val="Heading 1 Char"/>
    <w:basedOn w:val="DefaultParagraphFont"/>
    <w:link w:val="Heading1"/>
    <w:rsid w:val="007F2CEB"/>
    <w:rPr>
      <w:rFonts w:ascii="Times New Roman" w:eastAsia="Times New Roman" w:hAnsi="Times New Roman" w:cs="Times New Roman"/>
      <w:b/>
      <w:sz w:val="32"/>
      <w:szCs w:val="20"/>
      <w:lang w:eastAsia="en-US"/>
    </w:rPr>
  </w:style>
  <w:style w:type="paragraph" w:styleId="BodyText">
    <w:name w:val="Body Text"/>
    <w:basedOn w:val="Normal"/>
    <w:link w:val="BodyTextChar"/>
    <w:rsid w:val="007F2C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2CEB"/>
    <w:rPr>
      <w:rFonts w:ascii="Times New Roman" w:eastAsia="Times New Roman" w:hAnsi="Times New Roman" w:cs="Times New Roman"/>
      <w:sz w:val="24"/>
      <w:lang w:eastAsia="en-US"/>
    </w:rPr>
  </w:style>
  <w:style w:type="paragraph" w:styleId="List">
    <w:name w:val="List"/>
    <w:basedOn w:val="BodyText"/>
    <w:next w:val="BodyText"/>
    <w:rsid w:val="007F2CEB"/>
    <w:pPr>
      <w:tabs>
        <w:tab w:val="left" w:pos="340"/>
      </w:tabs>
      <w:spacing w:before="60" w:after="60"/>
      <w:ind w:left="340" w:hanging="340"/>
    </w:pPr>
  </w:style>
  <w:style w:type="paragraph" w:styleId="ListBullet">
    <w:name w:val="List Bullet"/>
    <w:basedOn w:val="List"/>
    <w:rsid w:val="007F2CEB"/>
    <w:pPr>
      <w:numPr>
        <w:numId w:val="14"/>
      </w:numPr>
      <w:tabs>
        <w:tab w:val="clear" w:pos="340"/>
      </w:tabs>
      <w:spacing w:before="40" w:after="40"/>
    </w:pPr>
  </w:style>
  <w:style w:type="character" w:customStyle="1" w:styleId="SpecialBold">
    <w:name w:val="Special Bold"/>
    <w:basedOn w:val="DefaultParagraphFont"/>
    <w:rsid w:val="007F2CEB"/>
    <w:rPr>
      <w:b/>
      <w:spacing w:val="0"/>
    </w:rPr>
  </w:style>
  <w:style w:type="paragraph" w:styleId="ListBullet2">
    <w:name w:val="List Bullet 2"/>
    <w:basedOn w:val="List2"/>
    <w:rsid w:val="007F2CEB"/>
    <w:pPr>
      <w:numPr>
        <w:numId w:val="15"/>
      </w:numPr>
      <w:tabs>
        <w:tab w:val="clear" w:pos="680"/>
      </w:tabs>
    </w:pPr>
  </w:style>
  <w:style w:type="paragraph" w:customStyle="1" w:styleId="SuperHeading">
    <w:name w:val="SuperHeading"/>
    <w:basedOn w:val="Normal"/>
    <w:rsid w:val="007F2CEB"/>
    <w:pPr>
      <w:spacing w:before="240" w:after="120"/>
      <w:outlineLvl w:val="0"/>
    </w:pPr>
    <w:rPr>
      <w:rFonts w:ascii="Times New Roman" w:hAnsi="Times New Roman"/>
      <w:b/>
      <w:sz w:val="32"/>
    </w:rPr>
  </w:style>
  <w:style w:type="paragraph" w:customStyle="1" w:styleId="AllowPageBreak">
    <w:name w:val="AllowPageBreak"/>
    <w:rsid w:val="007F2C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2CEB"/>
    <w:pPr>
      <w:tabs>
        <w:tab w:val="left" w:pos="680"/>
      </w:tabs>
      <w:spacing w:before="60" w:after="60"/>
      <w:ind w:left="680" w:hanging="340"/>
    </w:pPr>
  </w:style>
  <w:style w:type="paragraph" w:styleId="ListBullet3">
    <w:name w:val="List Bullet 3"/>
    <w:basedOn w:val="List3"/>
    <w:rsid w:val="007F2CEB"/>
    <w:pPr>
      <w:numPr>
        <w:numId w:val="3"/>
      </w:numPr>
      <w:tabs>
        <w:tab w:val="clear" w:pos="1021"/>
      </w:tabs>
      <w:ind w:left="1037" w:hanging="357"/>
    </w:pPr>
  </w:style>
  <w:style w:type="character" w:customStyle="1" w:styleId="BoldandItalics">
    <w:name w:val="Bold and Italics"/>
    <w:qFormat/>
    <w:rsid w:val="007F2CEB"/>
    <w:rPr>
      <w:b/>
      <w:i/>
      <w:u w:val="none"/>
    </w:rPr>
  </w:style>
  <w:style w:type="character" w:customStyle="1" w:styleId="Heading2Char">
    <w:name w:val="Heading 2 Char"/>
    <w:basedOn w:val="DefaultParagraphFont"/>
    <w:link w:val="Heading2"/>
    <w:rsid w:val="007F2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C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C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CEB"/>
    <w:rPr>
      <w:rFonts w:ascii="Courier New" w:eastAsia="Times New Roman" w:hAnsi="Courier New" w:cs="Times New Roman"/>
      <w:i/>
      <w:szCs w:val="20"/>
      <w:lang w:eastAsia="en-US"/>
    </w:rPr>
  </w:style>
  <w:style w:type="paragraph" w:customStyle="1" w:styleId="HeadingBase">
    <w:name w:val="Heading Base"/>
    <w:rsid w:val="007F2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CEB"/>
    <w:pPr>
      <w:tabs>
        <w:tab w:val="right" w:leader="dot" w:pos="9072"/>
      </w:tabs>
      <w:ind w:left="567"/>
    </w:pPr>
    <w:rPr>
      <w:szCs w:val="22"/>
    </w:rPr>
  </w:style>
  <w:style w:type="paragraph" w:customStyle="1" w:styleId="TOCBase">
    <w:name w:val="TOC Base"/>
    <w:rsid w:val="007F2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CEB"/>
    <w:pPr>
      <w:tabs>
        <w:tab w:val="right" w:leader="dot" w:pos="9072"/>
      </w:tabs>
      <w:spacing w:before="40" w:after="40"/>
      <w:ind w:left="284"/>
    </w:pPr>
    <w:rPr>
      <w:rFonts w:ascii="Times New Roman" w:hAnsi="Times New Roman"/>
    </w:rPr>
  </w:style>
  <w:style w:type="paragraph" w:styleId="TOC1">
    <w:name w:val="toc 1"/>
    <w:basedOn w:val="TOCBase"/>
    <w:next w:val="Normal"/>
    <w:rsid w:val="007F2C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CEB"/>
    <w:rPr>
      <w:rFonts w:ascii="Times New Roman" w:eastAsia="Times New Roman" w:hAnsi="Times New Roman" w:cs="Times New Roman"/>
      <w:sz w:val="16"/>
      <w:lang w:eastAsia="en-US"/>
    </w:rPr>
  </w:style>
  <w:style w:type="paragraph" w:styleId="Title">
    <w:name w:val="Title"/>
    <w:basedOn w:val="HeadingBase"/>
    <w:link w:val="TitleChar"/>
    <w:qFormat/>
    <w:rsid w:val="007F2CEB"/>
    <w:pPr>
      <w:spacing w:before="5040"/>
      <w:jc w:val="center"/>
    </w:pPr>
    <w:rPr>
      <w:sz w:val="48"/>
      <w:szCs w:val="72"/>
      <w:lang w:val="en-US"/>
    </w:rPr>
  </w:style>
  <w:style w:type="character" w:customStyle="1" w:styleId="TitleChar">
    <w:name w:val="Title Char"/>
    <w:basedOn w:val="DefaultParagraphFont"/>
    <w:link w:val="Title"/>
    <w:rsid w:val="007F2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CEB"/>
    <w:pPr>
      <w:tabs>
        <w:tab w:val="left" w:pos="3600"/>
        <w:tab w:val="left" w:pos="3958"/>
      </w:tabs>
    </w:pPr>
  </w:style>
  <w:style w:type="paragraph" w:customStyle="1" w:styleId="Note">
    <w:name w:val="Note"/>
    <w:basedOn w:val="BodyText"/>
    <w:rsid w:val="007F2C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CEB"/>
    <w:pPr>
      <w:framePr w:wrap="auto" w:hAnchor="text" w:y="6049"/>
    </w:pPr>
    <w:rPr>
      <w:color w:val="000000"/>
      <w:sz w:val="40"/>
    </w:rPr>
  </w:style>
  <w:style w:type="paragraph" w:customStyle="1" w:styleId="TOCTitle">
    <w:name w:val="TOCTitle"/>
    <w:basedOn w:val="Heading1"/>
    <w:rsid w:val="007F2CEB"/>
    <w:pPr>
      <w:spacing w:after="240"/>
      <w:jc w:val="center"/>
      <w:outlineLvl w:val="9"/>
    </w:pPr>
    <w:rPr>
      <w:caps/>
    </w:rPr>
  </w:style>
  <w:style w:type="paragraph" w:customStyle="1" w:styleId="Version">
    <w:name w:val="Version"/>
    <w:rsid w:val="007F2C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CEB"/>
    <w:pPr>
      <w:keepNext w:val="0"/>
      <w:tabs>
        <w:tab w:val="right" w:pos="4176"/>
      </w:tabs>
      <w:ind w:left="198" w:hanging="198"/>
    </w:pPr>
    <w:rPr>
      <w:rFonts w:ascii="Garamond" w:hAnsi="Garamond"/>
    </w:rPr>
  </w:style>
  <w:style w:type="paragraph" w:styleId="IndexHeading">
    <w:name w:val="index heading"/>
    <w:basedOn w:val="Normal"/>
    <w:next w:val="Index1"/>
    <w:semiHidden/>
    <w:rsid w:val="007F2CEB"/>
    <w:pPr>
      <w:spacing w:before="120" w:after="120"/>
    </w:pPr>
    <w:rPr>
      <w:rFonts w:ascii="Arial" w:hAnsi="Arial"/>
      <w:b/>
      <w:color w:val="918585"/>
      <w:sz w:val="24"/>
    </w:rPr>
  </w:style>
  <w:style w:type="paragraph" w:styleId="Header">
    <w:name w:val="header"/>
    <w:basedOn w:val="Normal"/>
    <w:link w:val="HeaderChar"/>
    <w:rsid w:val="007F2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CEB"/>
    <w:rPr>
      <w:rFonts w:ascii="Times New Roman" w:eastAsia="Times New Roman" w:hAnsi="Times New Roman" w:cs="Times New Roman"/>
      <w:sz w:val="16"/>
      <w:szCs w:val="20"/>
      <w:lang w:val="en-GB" w:eastAsia="en-US"/>
    </w:rPr>
  </w:style>
  <w:style w:type="paragraph" w:customStyle="1" w:styleId="Chapter">
    <w:name w:val="Chapter"/>
    <w:basedOn w:val="Normal"/>
    <w:rsid w:val="007F2CEB"/>
    <w:pPr>
      <w:spacing w:before="240"/>
    </w:pPr>
    <w:rPr>
      <w:rFonts w:ascii="Times New Roman" w:hAnsi="Times New Roman"/>
      <w:smallCaps/>
      <w:spacing w:val="80"/>
      <w:sz w:val="28"/>
    </w:rPr>
  </w:style>
  <w:style w:type="paragraph" w:customStyle="1" w:styleId="InChapter">
    <w:name w:val="InChapter"/>
    <w:basedOn w:val="Heading3"/>
    <w:rsid w:val="007F2CEB"/>
    <w:pPr>
      <w:spacing w:after="240"/>
      <w:outlineLvl w:val="9"/>
    </w:pPr>
    <w:rPr>
      <w:noProof/>
    </w:rPr>
  </w:style>
  <w:style w:type="paragraph" w:styleId="Index2">
    <w:name w:val="index 2"/>
    <w:basedOn w:val="Normal"/>
    <w:next w:val="Normal"/>
    <w:semiHidden/>
    <w:rsid w:val="007F2CEB"/>
    <w:pPr>
      <w:tabs>
        <w:tab w:val="right" w:pos="4176"/>
      </w:tabs>
      <w:ind w:left="568" w:hanging="284"/>
    </w:pPr>
    <w:rPr>
      <w:rFonts w:ascii="Garamond" w:hAnsi="Garamond"/>
    </w:rPr>
  </w:style>
  <w:style w:type="paragraph" w:customStyle="1" w:styleId="Byline">
    <w:name w:val="Byline"/>
    <w:rsid w:val="007F2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CEB"/>
    <w:pPr>
      <w:tabs>
        <w:tab w:val="clear" w:pos="3600"/>
        <w:tab w:val="clear" w:pos="3958"/>
      </w:tabs>
      <w:jc w:val="right"/>
    </w:pPr>
  </w:style>
  <w:style w:type="character" w:styleId="Emphasis">
    <w:name w:val="Emphasis"/>
    <w:basedOn w:val="DefaultParagraphFont"/>
    <w:qFormat/>
    <w:rsid w:val="007F2CEB"/>
    <w:rPr>
      <w:i/>
    </w:rPr>
  </w:style>
  <w:style w:type="paragraph" w:styleId="Caption">
    <w:name w:val="caption"/>
    <w:basedOn w:val="BodyText"/>
    <w:next w:val="Normal"/>
    <w:qFormat/>
    <w:rsid w:val="007F2CEB"/>
    <w:pPr>
      <w:framePr w:w="2268" w:hSpace="181" w:vSpace="181" w:wrap="around" w:vAnchor="text" w:hAnchor="page" w:x="1135" w:y="285" w:anchorLock="1"/>
    </w:pPr>
    <w:rPr>
      <w:i/>
    </w:rPr>
  </w:style>
  <w:style w:type="paragraph" w:customStyle="1" w:styleId="MiniTOCTitle">
    <w:name w:val="MiniTOCTitle"/>
    <w:basedOn w:val="Heading4"/>
    <w:rsid w:val="007F2CEB"/>
    <w:pPr>
      <w:spacing w:before="240"/>
      <w:outlineLvl w:val="9"/>
    </w:pPr>
    <w:rPr>
      <w:noProof/>
      <w:sz w:val="24"/>
    </w:rPr>
  </w:style>
  <w:style w:type="paragraph" w:customStyle="1" w:styleId="MiniTOCItem">
    <w:name w:val="MiniTOCItem"/>
    <w:basedOn w:val="ListBullet"/>
    <w:rsid w:val="007F2CEB"/>
    <w:pPr>
      <w:numPr>
        <w:numId w:val="0"/>
      </w:numPr>
      <w:tabs>
        <w:tab w:val="right" w:leader="dot" w:pos="6521"/>
      </w:tabs>
      <w:spacing w:before="0" w:after="0"/>
    </w:pPr>
  </w:style>
  <w:style w:type="paragraph" w:customStyle="1" w:styleId="TOFTitle">
    <w:name w:val="TOFTitle"/>
    <w:basedOn w:val="TOCTitle"/>
    <w:rsid w:val="007F2CEB"/>
  </w:style>
  <w:style w:type="paragraph" w:styleId="TableofFigures">
    <w:name w:val="table of figures"/>
    <w:basedOn w:val="Normal"/>
    <w:next w:val="Normal"/>
    <w:semiHidden/>
    <w:rsid w:val="007F2CEB"/>
    <w:pPr>
      <w:tabs>
        <w:tab w:val="right" w:leader="dot" w:pos="9072"/>
      </w:tabs>
      <w:ind w:left="970" w:hanging="403"/>
    </w:pPr>
    <w:rPr>
      <w:rFonts w:ascii="Times New Roman" w:hAnsi="Times New Roman"/>
      <w:b/>
    </w:rPr>
  </w:style>
  <w:style w:type="paragraph" w:styleId="ListNumber">
    <w:name w:val="List Number"/>
    <w:basedOn w:val="List"/>
    <w:rsid w:val="007F2CEB"/>
    <w:pPr>
      <w:numPr>
        <w:numId w:val="12"/>
      </w:numPr>
    </w:pPr>
  </w:style>
  <w:style w:type="character" w:customStyle="1" w:styleId="WingdingSymbols">
    <w:name w:val="Wingding Symbols"/>
    <w:rsid w:val="007F2CEB"/>
    <w:rPr>
      <w:rFonts w:ascii="Wingdings" w:hAnsi="Wingdings"/>
    </w:rPr>
  </w:style>
  <w:style w:type="paragraph" w:customStyle="1" w:styleId="TableHeading">
    <w:name w:val="Table Heading"/>
    <w:basedOn w:val="HeadingBase"/>
    <w:rsid w:val="007F2CEB"/>
    <w:pPr>
      <w:keepLines/>
      <w:pBdr>
        <w:bottom w:val="single" w:sz="6" w:space="1" w:color="918585"/>
      </w:pBdr>
      <w:spacing w:before="240"/>
    </w:pPr>
  </w:style>
  <w:style w:type="character" w:customStyle="1" w:styleId="HotSpot">
    <w:name w:val="HotSpot"/>
    <w:rsid w:val="007F2CEB"/>
    <w:rPr>
      <w:color w:val="0033CC"/>
      <w:u w:val="none"/>
    </w:rPr>
  </w:style>
  <w:style w:type="paragraph" w:customStyle="1" w:styleId="BodyTextRight">
    <w:name w:val="Body Text Right"/>
    <w:basedOn w:val="BodyText"/>
    <w:rsid w:val="007F2CEB"/>
    <w:pPr>
      <w:spacing w:before="0" w:after="0"/>
      <w:jc w:val="right"/>
    </w:pPr>
  </w:style>
  <w:style w:type="paragraph" w:styleId="Index3">
    <w:name w:val="index 3"/>
    <w:basedOn w:val="ListNumber2"/>
    <w:next w:val="Normal"/>
    <w:semiHidden/>
    <w:rsid w:val="007F2CEB"/>
    <w:pPr>
      <w:numPr>
        <w:numId w:val="0"/>
      </w:numPr>
      <w:tabs>
        <w:tab w:val="right" w:leader="dot" w:pos="4176"/>
      </w:tabs>
    </w:pPr>
  </w:style>
  <w:style w:type="paragraph" w:styleId="ListNumber2">
    <w:name w:val="List Number 2"/>
    <w:basedOn w:val="List2"/>
    <w:rsid w:val="007F2CEB"/>
    <w:pPr>
      <w:numPr>
        <w:numId w:val="11"/>
      </w:numPr>
      <w:tabs>
        <w:tab w:val="clear" w:pos="1060"/>
      </w:tabs>
    </w:pPr>
  </w:style>
  <w:style w:type="paragraph" w:customStyle="1" w:styleId="MarginNote">
    <w:name w:val="Margin Note"/>
    <w:basedOn w:val="BodyText"/>
    <w:rsid w:val="007F2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C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CEB"/>
    <w:rPr>
      <w:sz w:val="32"/>
    </w:rPr>
  </w:style>
  <w:style w:type="paragraph" w:customStyle="1" w:styleId="HeadingProcedure">
    <w:name w:val="Heading Procedure"/>
    <w:basedOn w:val="HeadingBase"/>
    <w:next w:val="Normal"/>
    <w:rsid w:val="007F2CEB"/>
    <w:pPr>
      <w:tabs>
        <w:tab w:val="left" w:pos="0"/>
      </w:tabs>
      <w:spacing w:before="120" w:after="60"/>
    </w:pPr>
    <w:rPr>
      <w:i/>
      <w:color w:val="918585"/>
      <w:sz w:val="22"/>
    </w:rPr>
  </w:style>
  <w:style w:type="paragraph" w:customStyle="1" w:styleId="TableBodyText">
    <w:name w:val="Table Body Text"/>
    <w:basedOn w:val="BodyText"/>
    <w:rsid w:val="007F2CEB"/>
    <w:pPr>
      <w:spacing w:before="60" w:after="60"/>
    </w:pPr>
  </w:style>
  <w:style w:type="paragraph" w:styleId="ListContinue">
    <w:name w:val="List Continue"/>
    <w:basedOn w:val="List"/>
    <w:rsid w:val="007F2CEB"/>
    <w:pPr>
      <w:ind w:firstLine="0"/>
    </w:pPr>
  </w:style>
  <w:style w:type="paragraph" w:customStyle="1" w:styleId="ListNote">
    <w:name w:val="List Note"/>
    <w:basedOn w:val="List"/>
    <w:rsid w:val="007F2CEB"/>
    <w:pPr>
      <w:pBdr>
        <w:top w:val="single" w:sz="6" w:space="2" w:color="918585"/>
        <w:bottom w:val="single" w:sz="6" w:space="2" w:color="918585"/>
      </w:pBdr>
      <w:tabs>
        <w:tab w:val="left" w:pos="1021"/>
      </w:tabs>
      <w:ind w:firstLine="0"/>
    </w:pPr>
  </w:style>
  <w:style w:type="paragraph" w:customStyle="1" w:styleId="Warning">
    <w:name w:val="Warning"/>
    <w:basedOn w:val="BodyText"/>
    <w:rsid w:val="007F2CEB"/>
    <w:pPr>
      <w:shd w:val="clear" w:color="auto" w:fill="D9D9D9"/>
      <w:tabs>
        <w:tab w:val="left" w:pos="992"/>
      </w:tabs>
      <w:ind w:left="119" w:right="119"/>
    </w:pPr>
    <w:rPr>
      <w:sz w:val="20"/>
    </w:rPr>
  </w:style>
  <w:style w:type="paragraph" w:customStyle="1" w:styleId="MarginIcons">
    <w:name w:val="Margin Icons"/>
    <w:basedOn w:val="BodyText"/>
    <w:rsid w:val="007F2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CEB"/>
    <w:rPr>
      <w:rFonts w:ascii="Courier New" w:hAnsi="Courier New"/>
    </w:rPr>
  </w:style>
  <w:style w:type="paragraph" w:customStyle="1" w:styleId="NoteBullet">
    <w:name w:val="Note Bullet"/>
    <w:basedOn w:val="Note"/>
    <w:rsid w:val="007F2CEB"/>
    <w:pPr>
      <w:tabs>
        <w:tab w:val="clear" w:pos="680"/>
      </w:tabs>
      <w:spacing w:before="60" w:after="60"/>
    </w:pPr>
  </w:style>
  <w:style w:type="paragraph" w:customStyle="1" w:styleId="SubHeading2">
    <w:name w:val="SubHeading2"/>
    <w:basedOn w:val="HeadingBase"/>
    <w:rsid w:val="007F2CEB"/>
    <w:pPr>
      <w:spacing w:before="240" w:after="60"/>
    </w:pPr>
    <w:rPr>
      <w:sz w:val="20"/>
    </w:rPr>
  </w:style>
  <w:style w:type="paragraph" w:customStyle="1" w:styleId="SubHeading1">
    <w:name w:val="SubHeading1"/>
    <w:basedOn w:val="HeadingBase"/>
    <w:rsid w:val="007F2CEB"/>
    <w:pPr>
      <w:spacing w:before="240" w:after="60"/>
    </w:pPr>
    <w:rPr>
      <w:color w:val="918585"/>
      <w:sz w:val="22"/>
    </w:rPr>
  </w:style>
  <w:style w:type="paragraph" w:customStyle="1" w:styleId="SideHeading">
    <w:name w:val="Side Heading"/>
    <w:basedOn w:val="HeadingBase"/>
    <w:rsid w:val="007F2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CEB"/>
    <w:pPr>
      <w:numPr>
        <w:numId w:val="13"/>
      </w:numPr>
    </w:pPr>
  </w:style>
  <w:style w:type="paragraph" w:styleId="PlainText">
    <w:name w:val="Plain Text"/>
    <w:basedOn w:val="Normal"/>
    <w:link w:val="PlainTextChar"/>
    <w:rsid w:val="007F2CEB"/>
    <w:rPr>
      <w:sz w:val="20"/>
    </w:rPr>
  </w:style>
  <w:style w:type="character" w:customStyle="1" w:styleId="PlainTextChar">
    <w:name w:val="Plain Text Char"/>
    <w:basedOn w:val="DefaultParagraphFont"/>
    <w:link w:val="PlainText"/>
    <w:rsid w:val="007F2CEB"/>
    <w:rPr>
      <w:rFonts w:ascii="Courier New" w:eastAsia="Times New Roman" w:hAnsi="Courier New" w:cs="Times New Roman"/>
      <w:sz w:val="20"/>
      <w:szCs w:val="20"/>
      <w:lang w:eastAsia="en-US"/>
    </w:rPr>
  </w:style>
  <w:style w:type="character" w:customStyle="1" w:styleId="MenuOption">
    <w:name w:val="Menu Option"/>
    <w:basedOn w:val="DefaultParagraphFont"/>
    <w:rsid w:val="007F2CEB"/>
    <w:rPr>
      <w:b/>
      <w:smallCaps/>
    </w:rPr>
  </w:style>
  <w:style w:type="paragraph" w:customStyle="1" w:styleId="TableListNumber">
    <w:name w:val="Table List Number"/>
    <w:basedOn w:val="ListNumber"/>
    <w:rsid w:val="007F2CEB"/>
    <w:pPr>
      <w:numPr>
        <w:numId w:val="0"/>
      </w:numPr>
    </w:pPr>
  </w:style>
  <w:style w:type="paragraph" w:styleId="TOC4">
    <w:name w:val="toc 4"/>
    <w:basedOn w:val="TOCBase"/>
    <w:next w:val="Normal"/>
    <w:semiHidden/>
    <w:rsid w:val="007F2CEB"/>
    <w:pPr>
      <w:tabs>
        <w:tab w:val="right" w:leader="dot" w:pos="9071"/>
      </w:tabs>
      <w:ind w:left="1701"/>
    </w:pPr>
  </w:style>
  <w:style w:type="paragraph" w:customStyle="1" w:styleId="ListAlpha">
    <w:name w:val="List Alpha"/>
    <w:basedOn w:val="List"/>
    <w:rsid w:val="007F2CEB"/>
    <w:pPr>
      <w:numPr>
        <w:numId w:val="10"/>
      </w:numPr>
    </w:pPr>
  </w:style>
  <w:style w:type="paragraph" w:customStyle="1" w:styleId="ListAlpha2">
    <w:name w:val="List Alpha 2"/>
    <w:basedOn w:val="List2"/>
    <w:rsid w:val="007F2CEB"/>
    <w:pPr>
      <w:numPr>
        <w:numId w:val="9"/>
      </w:numPr>
    </w:pPr>
  </w:style>
  <w:style w:type="paragraph" w:styleId="List3">
    <w:name w:val="List 3"/>
    <w:basedOn w:val="BodyText"/>
    <w:rsid w:val="007F2CEB"/>
    <w:pPr>
      <w:tabs>
        <w:tab w:val="left" w:pos="1021"/>
      </w:tabs>
      <w:spacing w:before="60" w:after="60"/>
      <w:ind w:left="1020" w:hanging="340"/>
    </w:pPr>
  </w:style>
  <w:style w:type="paragraph" w:styleId="List4">
    <w:name w:val="List 4"/>
    <w:basedOn w:val="BodyText"/>
    <w:rsid w:val="007F2CEB"/>
    <w:pPr>
      <w:tabs>
        <w:tab w:val="left" w:pos="1361"/>
      </w:tabs>
      <w:spacing w:before="60" w:after="60"/>
      <w:ind w:left="1361" w:hanging="340"/>
    </w:pPr>
  </w:style>
  <w:style w:type="paragraph" w:styleId="List5">
    <w:name w:val="List 5"/>
    <w:basedOn w:val="BodyText"/>
    <w:rsid w:val="007F2CEB"/>
    <w:pPr>
      <w:tabs>
        <w:tab w:val="left" w:pos="1701"/>
      </w:tabs>
      <w:spacing w:before="60" w:after="60"/>
      <w:ind w:left="1701" w:hanging="340"/>
    </w:pPr>
  </w:style>
  <w:style w:type="paragraph" w:styleId="ListBullet4">
    <w:name w:val="List Bullet 4"/>
    <w:basedOn w:val="List4"/>
    <w:rsid w:val="007F2CEB"/>
    <w:pPr>
      <w:numPr>
        <w:numId w:val="4"/>
      </w:numPr>
    </w:pPr>
  </w:style>
  <w:style w:type="paragraph" w:styleId="ListBullet5">
    <w:name w:val="List Bullet 5"/>
    <w:basedOn w:val="List5"/>
    <w:rsid w:val="007F2CEB"/>
    <w:pPr>
      <w:numPr>
        <w:numId w:val="5"/>
      </w:numPr>
    </w:pPr>
  </w:style>
  <w:style w:type="paragraph" w:styleId="ListContinue2">
    <w:name w:val="List Continue 2"/>
    <w:basedOn w:val="List2"/>
    <w:rsid w:val="007F2CEB"/>
    <w:pPr>
      <w:ind w:firstLine="0"/>
    </w:pPr>
  </w:style>
  <w:style w:type="paragraph" w:styleId="ListContinue3">
    <w:name w:val="List Continue 3"/>
    <w:basedOn w:val="List3"/>
    <w:rsid w:val="007F2CEB"/>
    <w:pPr>
      <w:ind w:left="1021" w:firstLine="0"/>
    </w:pPr>
  </w:style>
  <w:style w:type="paragraph" w:styleId="ListContinue4">
    <w:name w:val="List Continue 4"/>
    <w:basedOn w:val="List4"/>
    <w:rsid w:val="007F2CEB"/>
    <w:pPr>
      <w:ind w:firstLine="0"/>
    </w:pPr>
  </w:style>
  <w:style w:type="paragraph" w:styleId="ListContinue5">
    <w:name w:val="List Continue 5"/>
    <w:basedOn w:val="List5"/>
    <w:rsid w:val="007F2CEB"/>
    <w:pPr>
      <w:ind w:firstLine="0"/>
    </w:pPr>
  </w:style>
  <w:style w:type="paragraph" w:styleId="ListNumber3">
    <w:name w:val="List Number 3"/>
    <w:basedOn w:val="List3"/>
    <w:rsid w:val="007F2CEB"/>
    <w:pPr>
      <w:numPr>
        <w:numId w:val="6"/>
      </w:numPr>
    </w:pPr>
  </w:style>
  <w:style w:type="paragraph" w:styleId="ListNumber4">
    <w:name w:val="List Number 4"/>
    <w:basedOn w:val="List4"/>
    <w:rsid w:val="007F2CEB"/>
    <w:pPr>
      <w:numPr>
        <w:numId w:val="7"/>
      </w:numPr>
    </w:pPr>
  </w:style>
  <w:style w:type="paragraph" w:styleId="ListNumber5">
    <w:name w:val="List Number 5"/>
    <w:basedOn w:val="List5"/>
    <w:rsid w:val="007F2CEB"/>
    <w:pPr>
      <w:numPr>
        <w:numId w:val="8"/>
      </w:numPr>
    </w:pPr>
  </w:style>
  <w:style w:type="paragraph" w:styleId="BlockText">
    <w:name w:val="Block Text"/>
    <w:basedOn w:val="Normal"/>
    <w:rsid w:val="007F2CEB"/>
    <w:pPr>
      <w:spacing w:after="120"/>
      <w:ind w:left="1440" w:right="1440"/>
    </w:pPr>
  </w:style>
  <w:style w:type="character" w:customStyle="1" w:styleId="Subscript">
    <w:name w:val="Subscript"/>
    <w:basedOn w:val="DefaultParagraphFont"/>
    <w:rsid w:val="007F2CEB"/>
    <w:rPr>
      <w:sz w:val="16"/>
      <w:vertAlign w:val="subscript"/>
    </w:rPr>
  </w:style>
  <w:style w:type="character" w:customStyle="1" w:styleId="Superscript">
    <w:name w:val="Superscript"/>
    <w:basedOn w:val="DefaultParagraphFont"/>
    <w:rsid w:val="007F2CEB"/>
    <w:rPr>
      <w:sz w:val="16"/>
      <w:vertAlign w:val="superscript"/>
    </w:rPr>
  </w:style>
  <w:style w:type="character" w:customStyle="1" w:styleId="Symbols">
    <w:name w:val="Symbols"/>
    <w:basedOn w:val="DefaultParagraphFont"/>
    <w:rsid w:val="007F2CEB"/>
    <w:rPr>
      <w:rFonts w:ascii="Symbol" w:hAnsi="Symbol"/>
    </w:rPr>
  </w:style>
  <w:style w:type="character" w:customStyle="1" w:styleId="MenuOptions">
    <w:name w:val="Menu Options"/>
    <w:basedOn w:val="DefaultParagraphFont"/>
    <w:rsid w:val="007F2CEB"/>
    <w:rPr>
      <w:rFonts w:ascii="Arial Narrow" w:hAnsi="Arial Narrow"/>
      <w:smallCaps/>
    </w:rPr>
  </w:style>
  <w:style w:type="character" w:customStyle="1" w:styleId="Buttons">
    <w:name w:val="Buttons"/>
    <w:basedOn w:val="DefaultParagraphFont"/>
    <w:rsid w:val="007F2CEB"/>
    <w:rPr>
      <w:b/>
    </w:rPr>
  </w:style>
  <w:style w:type="character" w:customStyle="1" w:styleId="Underlined">
    <w:name w:val="Underlined"/>
    <w:basedOn w:val="DefaultParagraphFont"/>
    <w:rsid w:val="007F2CEB"/>
    <w:rPr>
      <w:u w:val="single"/>
    </w:rPr>
  </w:style>
  <w:style w:type="paragraph" w:customStyle="1" w:styleId="TableBodyTextRight">
    <w:name w:val="Table Body Text Right"/>
    <w:basedOn w:val="TableBodyText"/>
    <w:rsid w:val="007F2CEB"/>
    <w:pPr>
      <w:widowControl w:val="0"/>
      <w:autoSpaceDE w:val="0"/>
      <w:autoSpaceDN w:val="0"/>
      <w:adjustRightInd w:val="0"/>
      <w:jc w:val="right"/>
    </w:pPr>
    <w:rPr>
      <w:rFonts w:cs="Arial"/>
      <w:szCs w:val="18"/>
    </w:rPr>
  </w:style>
  <w:style w:type="paragraph" w:customStyle="1" w:styleId="CopyrightText">
    <w:name w:val="Copyright Text"/>
    <w:basedOn w:val="BodyText"/>
    <w:rsid w:val="007F2CEB"/>
    <w:rPr>
      <w:sz w:val="18"/>
    </w:rPr>
  </w:style>
  <w:style w:type="paragraph" w:customStyle="1" w:styleId="BodySmallRight">
    <w:name w:val="Body Small Right"/>
    <w:basedOn w:val="BodyTextRight"/>
    <w:rsid w:val="007F2CEB"/>
    <w:rPr>
      <w:sz w:val="18"/>
      <w:szCs w:val="18"/>
    </w:rPr>
  </w:style>
  <w:style w:type="paragraph" w:customStyle="1" w:styleId="MarginEdition">
    <w:name w:val="Margin Edition"/>
    <w:basedOn w:val="MarginNote"/>
    <w:rsid w:val="007F2CEB"/>
    <w:pPr>
      <w:spacing w:before="0" w:after="0"/>
    </w:pPr>
    <w:rPr>
      <w:rFonts w:ascii="Times New Roman" w:hAnsi="Times New Roman"/>
      <w:color w:val="999999"/>
    </w:rPr>
  </w:style>
  <w:style w:type="paragraph" w:customStyle="1" w:styleId="Spacer">
    <w:name w:val="Spacer"/>
    <w:basedOn w:val="Normal"/>
    <w:rsid w:val="007F2CEB"/>
    <w:rPr>
      <w:sz w:val="2"/>
      <w:szCs w:val="2"/>
    </w:rPr>
  </w:style>
  <w:style w:type="character" w:customStyle="1" w:styleId="Small">
    <w:name w:val="Small"/>
    <w:basedOn w:val="DefaultParagraphFont"/>
    <w:rsid w:val="007F2CEB"/>
    <w:rPr>
      <w:sz w:val="16"/>
    </w:rPr>
  </w:style>
  <w:style w:type="paragraph" w:customStyle="1" w:styleId="WideTable">
    <w:name w:val="Wide Table"/>
    <w:basedOn w:val="Normal"/>
    <w:rsid w:val="007F2CEB"/>
    <w:pPr>
      <w:ind w:left="-1418"/>
    </w:pPr>
    <w:rPr>
      <w:sz w:val="2"/>
      <w:szCs w:val="2"/>
    </w:rPr>
  </w:style>
  <w:style w:type="character" w:styleId="PageNumber">
    <w:name w:val="page number"/>
    <w:basedOn w:val="DefaultParagraphFont"/>
    <w:rsid w:val="007F2CEB"/>
  </w:style>
  <w:style w:type="paragraph" w:styleId="Quote">
    <w:name w:val="Quote"/>
    <w:basedOn w:val="Heading1"/>
    <w:link w:val="QuoteChar"/>
    <w:qFormat/>
    <w:rsid w:val="007F2CEB"/>
    <w:rPr>
      <w:b w:val="0"/>
      <w:sz w:val="72"/>
      <w:szCs w:val="72"/>
      <w:lang w:val="en-NZ"/>
    </w:rPr>
  </w:style>
  <w:style w:type="character" w:customStyle="1" w:styleId="QuoteChar">
    <w:name w:val="Quote Char"/>
    <w:basedOn w:val="DefaultParagraphFont"/>
    <w:link w:val="Quote"/>
    <w:rsid w:val="007F2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CEB"/>
    <w:pPr>
      <w:pageBreakBefore/>
    </w:pPr>
  </w:style>
  <w:style w:type="paragraph" w:customStyle="1" w:styleId="Border">
    <w:name w:val="Border"/>
    <w:basedOn w:val="Normal"/>
    <w:qFormat/>
    <w:rsid w:val="007F2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CEB"/>
    <w:rPr>
      <w:b/>
      <w:bCs/>
      <w:i/>
      <w:iCs/>
      <w:color w:val="auto"/>
    </w:rPr>
  </w:style>
  <w:style w:type="paragraph" w:styleId="IntenseQuote">
    <w:name w:val="Intense Quote"/>
    <w:basedOn w:val="Normal"/>
    <w:next w:val="Normal"/>
    <w:link w:val="IntenseQuoteChar"/>
    <w:uiPriority w:val="30"/>
    <w:qFormat/>
    <w:rsid w:val="007F2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C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CEB"/>
    <w:rPr>
      <w:smallCaps/>
      <w:color w:val="auto"/>
      <w:u w:val="single"/>
    </w:rPr>
  </w:style>
  <w:style w:type="character" w:styleId="IntenseReference">
    <w:name w:val="Intense Reference"/>
    <w:basedOn w:val="DefaultParagraphFont"/>
    <w:uiPriority w:val="32"/>
    <w:qFormat/>
    <w:rsid w:val="007F2CEB"/>
    <w:rPr>
      <w:b/>
      <w:bCs/>
      <w:smallCaps/>
      <w:color w:val="auto"/>
      <w:spacing w:val="5"/>
      <w:u w:val="single"/>
    </w:rPr>
  </w:style>
  <w:style w:type="paragraph" w:customStyle="1" w:styleId="2ColumnHeading">
    <w:name w:val="2Column Heading"/>
    <w:basedOn w:val="BodyText"/>
    <w:qFormat/>
    <w:rsid w:val="007F2CEB"/>
    <w:pPr>
      <w:spacing w:after="60"/>
      <w:ind w:left="-2268"/>
    </w:pPr>
    <w:rPr>
      <w:b/>
    </w:rPr>
  </w:style>
  <w:style w:type="paragraph" w:customStyle="1" w:styleId="Heading1TOC">
    <w:name w:val="Heading1 TOC"/>
    <w:basedOn w:val="Normal"/>
    <w:qFormat/>
    <w:rsid w:val="007F2CEB"/>
    <w:pPr>
      <w:spacing w:before="240" w:after="120"/>
    </w:pPr>
    <w:rPr>
      <w:rFonts w:ascii="Times New Roman" w:hAnsi="Times New Roman"/>
      <w:b/>
      <w:sz w:val="32"/>
    </w:rPr>
  </w:style>
  <w:style w:type="paragraph" w:customStyle="1" w:styleId="Heading2TOC">
    <w:name w:val="Heading2 TOC"/>
    <w:basedOn w:val="Normal"/>
    <w:qFormat/>
    <w:rsid w:val="007F2CEB"/>
    <w:pPr>
      <w:spacing w:before="240" w:after="60"/>
    </w:pPr>
    <w:rPr>
      <w:rFonts w:ascii="Times New Roman" w:hAnsi="Times New Roman"/>
      <w:b/>
      <w:sz w:val="28"/>
    </w:rPr>
  </w:style>
  <w:style w:type="character" w:customStyle="1" w:styleId="Underline">
    <w:name w:val="Underline"/>
    <w:basedOn w:val="DefaultParagraphFont"/>
    <w:qFormat/>
    <w:rsid w:val="007F2CEB"/>
    <w:rPr>
      <w:u w:val="single"/>
    </w:rPr>
  </w:style>
  <w:style w:type="paragraph" w:styleId="BalloonText">
    <w:name w:val="Balloon Text"/>
    <w:basedOn w:val="Normal"/>
    <w:link w:val="BalloonTextChar"/>
    <w:rsid w:val="007F2CEB"/>
    <w:rPr>
      <w:rFonts w:ascii="Tahoma" w:hAnsi="Tahoma" w:cs="Tahoma"/>
      <w:sz w:val="16"/>
      <w:szCs w:val="16"/>
    </w:rPr>
  </w:style>
  <w:style w:type="character" w:customStyle="1" w:styleId="BalloonTextChar">
    <w:name w:val="Balloon Text Char"/>
    <w:basedOn w:val="DefaultParagraphFont"/>
    <w:link w:val="BalloonText"/>
    <w:rsid w:val="007F2C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C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2C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CEB"/>
    <w:rPr>
      <w:b/>
      <w:color w:val="660033"/>
      <w:spacing w:val="0"/>
    </w:rPr>
  </w:style>
  <w:style w:type="paragraph" w:customStyle="1" w:styleId="Nameditemlist">
    <w:name w:val="Named item list"/>
    <w:basedOn w:val="BodyText"/>
    <w:qFormat/>
    <w:rsid w:val="007F2C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1392</Words>
  <Characters>9097</Characters>
  <Application>Microsoft Office Word</Application>
  <DocSecurity>0</DocSecurity>
  <Lines>250</Lines>
  <Paragraphs>184</Paragraphs>
  <ScaleCrop>false</ScaleCrop>
  <Company>Author-it Software Corporation Ltd.</Company>
  <LinksUpToDate>false</LinksUpToDate>
  <CharactersWithSpaces>10430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SITXEVT503 Manage event staging components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2013-01-17T20:03:00Z</dcterms:created>
  <dcterms:modified xsi:type="dcterms:W3CDTF">2013-01-17T20:03:00Z</dcterms:modified>
</cp:coreProperties>
</file>