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2C25" w:rsidP="00D52C25">
      <w:pPr>
        <w:pStyle w:val="Title"/>
      </w:pPr>
      <w:r>
        <w:fldChar w:fldCharType="begin"/>
      </w:r>
      <w:r>
        <w:instrText xml:space="preserve"> TITLE   \* MERGEFORMAT </w:instrText>
      </w:r>
      <w:r>
        <w:fldChar w:fldCharType="separate"/>
      </w:r>
      <w:r>
        <w:t>SITHGAM501 Manage gaming activities</w:t>
      </w:r>
      <w:r>
        <w:fldChar w:fldCharType="end"/>
      </w:r>
    </w:p>
    <w:p w:rsidR="00D52C25" w:rsidP="00D52C25">
      <w:pPr>
        <w:pStyle w:val="Version"/>
        <w:sectPr w:rsidSect="00BD599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D5993" w:rsidP="00BD5993">
      <w:pPr>
        <w:pStyle w:val="SuperHeading"/>
      </w:pPr>
      <w:r w:rsidRPr="00BD5993">
        <w:t>SITHGAM501 Manage gaming activities</w:t>
      </w:r>
    </w:p>
    <w:p w:rsidR="00000000" w:rsidRPr="00BD5993" w:rsidP="00BD5993">
      <w:pPr>
        <w:pStyle w:val="Heading1"/>
      </w:pPr>
      <w:bookmarkStart w:id="1" w:name="O_583616"/>
      <w:bookmarkEnd w:id="1"/>
      <w:r w:rsidRPr="00BD5993">
        <w:t>Modification History</w:t>
      </w:r>
    </w:p>
    <w:p w:rsidR="00000000" w:rsidRPr="00BD5993" w:rsidP="00BD5993">
      <w:pPr>
        <w:pStyle w:val="BodyText"/>
      </w:pPr>
      <w:r w:rsidRPr="00BD5993">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D52C2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993" w:rsidP="00BD5993">
            <w:pPr>
              <w:pStyle w:val="BodyText"/>
            </w:pPr>
            <w:r w:rsidRPr="00BD5993">
              <w:rPr>
                <w:rStyle w:val="SpecialBold"/>
              </w:rPr>
              <w:t xml:space="preserve">Version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993">
            <w:pPr>
              <w:pStyle w:val="BodyText"/>
              <w:rPr>
                <w:lang w:val="en-NZ"/>
              </w:rPr>
            </w:pPr>
            <w:r w:rsidRPr="00BD5993">
              <w:rPr>
                <w:rStyle w:val="SpecialBold"/>
              </w:rPr>
              <w:t>Comments</w:t>
            </w:r>
          </w:p>
        </w:tc>
      </w:tr>
      <w:tr w:rsidTr="00D52C2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993">
            <w:pPr>
              <w:pStyle w:val="BodyText"/>
              <w:rPr>
                <w:lang w:val="en-NZ"/>
              </w:rPr>
            </w:pPr>
            <w:r w:rsidRPr="00BD5993">
              <w:t>1.2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993">
            <w:pPr>
              <w:pStyle w:val="BodyText"/>
              <w:rPr>
                <w:lang w:val="en-NZ"/>
              </w:rPr>
            </w:pPr>
            <w:r w:rsidRPr="00BD5993">
              <w:t>Correction to mapping to show equivalence.</w:t>
            </w:r>
          </w:p>
        </w:tc>
      </w:tr>
      <w:tr w:rsidTr="00D52C2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D5993">
            <w:pPr>
              <w:pStyle w:val="BodyText"/>
              <w:rPr>
                <w:lang w:val="en-NZ"/>
              </w:rPr>
            </w:pPr>
            <w:r w:rsidRPr="00BD5993">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D5993" w:rsidP="00BD5993">
            <w:pPr>
              <w:pStyle w:val="BodyText"/>
            </w:pPr>
            <w:r w:rsidRPr="00BD5993">
              <w:t>E</w:t>
            </w:r>
          </w:p>
          <w:p w:rsidR="00000000" w:rsidRPr="00BD5993" w:rsidP="00BD5993">
            <w:pPr>
              <w:pStyle w:val="BodyText"/>
            </w:pPr>
            <w:r w:rsidRPr="00BD5993">
              <w:t>Replaces and is equivalent to SITHGAM005</w:t>
            </w:r>
            <w:r w:rsidRPr="00BD5993">
              <w:t>A Develop and manage gaming activities.</w:t>
            </w:r>
          </w:p>
          <w:p w:rsidR="00000000" w:rsidRPr="00BD5993" w:rsidP="00BD5993">
            <w:pPr>
              <w:pStyle w:val="BodyText"/>
            </w:pPr>
            <w:r w:rsidRPr="00BD5993">
              <w:t>Title simplified.</w:t>
            </w:r>
          </w:p>
          <w:p w:rsidR="00000000" w:rsidRPr="00BD5993" w:rsidP="00BD5993">
            <w:pPr>
              <w:pStyle w:val="BodyText"/>
            </w:pPr>
            <w:r w:rsidRPr="00BD5993">
              <w:t>Minor adjustments to expression of content to streamline and improve unit.</w:t>
            </w:r>
          </w:p>
          <w:p w:rsidR="00000000" w:rsidRPr="00BD5993" w:rsidP="00BD5993">
            <w:pPr>
              <w:pStyle w:val="BodyText"/>
            </w:pPr>
            <w:r w:rsidRPr="00BD5993">
              <w:t xml:space="preserve">Three prerequisite units removed. SITHGAM201 Provide responsible gambling services added as a prerequisite. </w:t>
            </w:r>
          </w:p>
        </w:tc>
      </w:tr>
    </w:tbl>
    <w:p w:rsidR="00000000" w:rsidRPr="00BD5993" w:rsidP="00BD5993">
      <w:pPr>
        <w:pStyle w:val="BodyText"/>
      </w:pPr>
    </w:p>
    <w:p w:rsidR="00000000" w:rsidRPr="00BD5993" w:rsidP="00BD5993">
      <w:pPr>
        <w:pStyle w:val="AllowPageBreak"/>
      </w:pPr>
    </w:p>
    <w:p w:rsidR="00000000" w:rsidRPr="00BD5993" w:rsidP="00BD5993">
      <w:pPr>
        <w:pStyle w:val="Heading1"/>
      </w:pPr>
      <w:bookmarkStart w:id="2" w:name="O_583615"/>
      <w:bookmarkEnd w:id="2"/>
      <w:r w:rsidRPr="00BD5993">
        <w:t>Unit Descriptor</w:t>
      </w:r>
    </w:p>
    <w:p w:rsidR="00000000" w:rsidRPr="00BD5993" w:rsidP="00BD5993">
      <w:pPr>
        <w:pStyle w:val="BodyText"/>
      </w:pPr>
      <w:r w:rsidRPr="00BD5993">
        <w:t>This unit describes the performance outcomes, skills and knowledge required to manage various aspects of gaming, including development of new activities, venue design, promotion, security and compliance.</w:t>
      </w:r>
    </w:p>
    <w:p w:rsidR="00000000" w:rsidRPr="00BD5993" w:rsidP="00BD5993">
      <w:pPr>
        <w:pStyle w:val="AllowPageBreak"/>
      </w:pPr>
    </w:p>
    <w:p w:rsidR="00000000" w:rsidRPr="00BD5993" w:rsidP="00BD5993">
      <w:pPr>
        <w:pStyle w:val="Heading1"/>
      </w:pPr>
      <w:bookmarkStart w:id="3" w:name="O_583614"/>
      <w:bookmarkEnd w:id="3"/>
      <w:r w:rsidRPr="00BD5993">
        <w:t>Application of</w:t>
      </w:r>
      <w:r w:rsidRPr="00BD5993">
        <w:t xml:space="preserve"> the Unit</w:t>
      </w:r>
    </w:p>
    <w:p w:rsidR="00000000" w:rsidRPr="00BD5993" w:rsidP="00BD5993">
      <w:pPr>
        <w:pStyle w:val="BodyText"/>
      </w:pPr>
      <w:r w:rsidRPr="00BD5993">
        <w:t xml:space="preserve">This unit applies to all gaming venues with gaming machines, Totalisator Agency Board (TAB) or Keno services, and to gaming managers who operate </w:t>
      </w:r>
      <w:r w:rsidRPr="00BD5993">
        <w:t xml:space="preserve">independently and with significant operational management responsibilities. The unit does not cover the development and management of table games. </w:t>
      </w:r>
    </w:p>
    <w:p w:rsidR="00000000" w:rsidRPr="00BD5993" w:rsidP="00BD5993">
      <w:pPr>
        <w:pStyle w:val="AllowPageBreak"/>
      </w:pPr>
    </w:p>
    <w:p w:rsidR="00000000" w:rsidRPr="00BD5993" w:rsidP="00BD5993">
      <w:pPr>
        <w:pStyle w:val="Heading1"/>
      </w:pPr>
      <w:bookmarkStart w:id="4" w:name="O_583613"/>
      <w:bookmarkEnd w:id="4"/>
      <w:r w:rsidRPr="00BD5993">
        <w:t>Licensing/Regulatory Information</w:t>
      </w:r>
    </w:p>
    <w:p w:rsidR="00000000" w:rsidRPr="00BD5993" w:rsidP="00BD5993">
      <w:pPr>
        <w:pStyle w:val="BodyText"/>
      </w:pPr>
      <w:r w:rsidRPr="00BD5993">
        <w:t>In many States and Territories, legislation stipulates tha</w:t>
      </w:r>
      <w:r w:rsidRPr="00BD5993">
        <w:t>t all gaming workers must receive training in the responsible conduct of gambling. This content is addressed in SITHGAM201 Provide responsible gambling services.</w:t>
      </w:r>
    </w:p>
    <w:p w:rsidR="00000000" w:rsidRPr="00BD5993" w:rsidP="00BD5993">
      <w:pPr>
        <w:pStyle w:val="AllowPageBreak"/>
      </w:pPr>
    </w:p>
    <w:p w:rsidR="00000000" w:rsidRPr="00BD5993" w:rsidP="00BD5993">
      <w:pPr>
        <w:pStyle w:val="Heading1"/>
      </w:pPr>
      <w:bookmarkStart w:id="5" w:name="O_583612"/>
      <w:bookmarkEnd w:id="5"/>
      <w:r w:rsidRPr="00BD5993">
        <w:t>Pre-Requisites</w:t>
      </w:r>
    </w:p>
    <w:tbl>
      <w:tblPr>
        <w:tblW w:w="0" w:type="auto"/>
        <w:tblLayout w:type="fixed"/>
        <w:tblCellMar>
          <w:left w:w="62" w:type="dxa"/>
          <w:right w:w="62" w:type="dxa"/>
        </w:tblCellMar>
        <w:tblLook w:val="0000"/>
      </w:tblPr>
      <w:tblGrid>
        <w:gridCol w:w="1890"/>
        <w:gridCol w:w="4668"/>
      </w:tblGrid>
      <w:tr w:rsidTr="00BD5993">
        <w:tblPrEx>
          <w:tblW w:w="0" w:type="auto"/>
          <w:tblLayout w:type="fixed"/>
          <w:tblCellMar>
            <w:left w:w="62" w:type="dxa"/>
            <w:right w:w="62" w:type="dxa"/>
          </w:tblCellMar>
          <w:tblLook w:val="0000"/>
        </w:tblPrEx>
        <w:tc>
          <w:tcPr>
            <w:tcW w:w="655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5993">
            <w:pPr>
              <w:pStyle w:val="BodyText"/>
              <w:rPr>
                <w:lang w:val="en-NZ"/>
              </w:rPr>
            </w:pPr>
            <w:r w:rsidRPr="00BD5993">
              <w:t>This unit must be assessed after the following prerequisite un</w:t>
            </w:r>
            <w:r w:rsidRPr="00BD5993">
              <w:t>it:</w:t>
            </w:r>
          </w:p>
        </w:tc>
      </w:tr>
      <w:tr w:rsidTr="00BD5993">
        <w:tblPrEx>
          <w:tblW w:w="0" w:type="auto"/>
          <w:tblLayout w:type="fixed"/>
          <w:tblCellMar>
            <w:left w:w="62" w:type="dxa"/>
            <w:right w:w="62" w:type="dxa"/>
          </w:tblCellMar>
          <w:tblLook w:val="0000"/>
        </w:tblPrEx>
        <w:tc>
          <w:tcPr>
            <w:tcW w:w="18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D5993">
            <w:pPr>
              <w:pStyle w:val="BodyText"/>
              <w:rPr>
                <w:lang w:val="en-NZ"/>
              </w:rPr>
            </w:pPr>
            <w:r w:rsidRPr="00BD5993">
              <w:t>SITHGAM201</w:t>
            </w:r>
          </w:p>
        </w:tc>
        <w:tc>
          <w:tcPr>
            <w:tcW w:w="46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D5993" w:rsidP="00BD5993">
            <w:pPr>
              <w:pStyle w:val="BodyText"/>
            </w:pPr>
            <w:r w:rsidRPr="00BD5993">
              <w:t>Provide responsible gambling services</w:t>
            </w:r>
          </w:p>
        </w:tc>
      </w:tr>
    </w:tbl>
    <w:p w:rsidR="00000000" w:rsidRPr="00BD5993" w:rsidP="00BD5993">
      <w:pPr>
        <w:pStyle w:val="BodyText"/>
      </w:pPr>
    </w:p>
    <w:p w:rsidR="00000000" w:rsidRPr="00BD5993" w:rsidP="00BD5993">
      <w:pPr>
        <w:pStyle w:val="AllowPageBreak"/>
      </w:pPr>
    </w:p>
    <w:p w:rsidR="00000000" w:rsidRPr="00BD5993" w:rsidP="00BD5993">
      <w:pPr>
        <w:pStyle w:val="Heading1"/>
      </w:pPr>
      <w:bookmarkStart w:id="6" w:name="O_583611"/>
      <w:bookmarkEnd w:id="6"/>
      <w:r w:rsidRPr="00BD5993">
        <w:t>Employability Skills Information</w:t>
      </w:r>
    </w:p>
    <w:p w:rsidR="00000000" w:rsidRPr="00BD5993" w:rsidP="00BD5993">
      <w:pPr>
        <w:pStyle w:val="BodyText"/>
      </w:pPr>
      <w:r w:rsidRPr="00BD5993">
        <w:t>This unit contains employability skills.</w:t>
      </w:r>
    </w:p>
    <w:p w:rsidR="00000000" w:rsidRPr="00BD5993" w:rsidP="00BD5993">
      <w:pPr>
        <w:pStyle w:val="AllowPageBreak"/>
      </w:pPr>
    </w:p>
    <w:p w:rsidR="00000000" w:rsidRPr="00BD5993" w:rsidP="00BD5993">
      <w:pPr>
        <w:pStyle w:val="Heading1"/>
      </w:pPr>
      <w:bookmarkStart w:id="7" w:name="O_583610"/>
      <w:bookmarkEnd w:id="7"/>
      <w:r w:rsidRPr="00BD5993">
        <w:t>Elements and Performance Criteria Pre-Content</w:t>
      </w:r>
    </w:p>
    <w:p w:rsidR="00000000" w:rsidRPr="00BD5993" w:rsidP="00BD5993">
      <w:pPr>
        <w:pStyle w:val="BodyText"/>
      </w:pPr>
      <w:r w:rsidRPr="00BD5993">
        <w:t>Not applicable.</w:t>
      </w:r>
    </w:p>
    <w:p w:rsidR="00000000" w:rsidRPr="00BD5993" w:rsidP="00BD5993">
      <w:pPr>
        <w:pStyle w:val="AllowPageBreak"/>
      </w:pPr>
    </w:p>
    <w:p w:rsidR="00000000" w:rsidRPr="00BD5993" w:rsidP="00BD5993">
      <w:pPr>
        <w:pStyle w:val="Heading1"/>
      </w:pPr>
      <w:bookmarkStart w:id="8" w:name="O_583609"/>
      <w:bookmarkEnd w:id="8"/>
      <w:r w:rsidRPr="00BD5993">
        <w:t>Elements and Performance Criteria</w:t>
      </w:r>
    </w:p>
    <w:tbl>
      <w:tblPr>
        <w:tblW w:w="0" w:type="auto"/>
        <w:tblCellMar>
          <w:left w:w="62" w:type="dxa"/>
          <w:right w:w="62" w:type="dxa"/>
        </w:tblCellMar>
        <w:tblLook w:val="0000"/>
      </w:tblPr>
      <w:tblGrid>
        <w:gridCol w:w="2817"/>
        <w:gridCol w:w="6379"/>
      </w:tblGrid>
      <w:tr w:rsidTr="00D52C2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5993">
            <w:pPr>
              <w:pStyle w:val="BodyText"/>
              <w:rPr>
                <w:lang w:val="en-NZ"/>
              </w:rPr>
            </w:pPr>
            <w:r w:rsidRPr="00BD5993">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BD5993">
            <w:pPr>
              <w:pStyle w:val="BodyText"/>
              <w:rPr>
                <w:lang w:val="en-NZ"/>
              </w:rPr>
            </w:pPr>
            <w:r w:rsidRPr="00BD5993">
              <w:t>Performance criteria describe the performance needed to demonstrate achievement of the element. Where bold italicised text is used, further information is d</w:t>
            </w:r>
            <w:r w:rsidRPr="00BD5993">
              <w:t>etailed in the required skills and knowledge section and the range statement. Assessment of performance is to be consistent with the evidence guide.</w:t>
            </w:r>
          </w:p>
        </w:tc>
      </w:tr>
      <w:tr w:rsidTr="00D52C25">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BD5993">
            <w:pPr>
              <w:pStyle w:val="List"/>
              <w:rPr>
                <w:lang w:val="en-NZ"/>
              </w:rPr>
            </w:pPr>
            <w:r w:rsidRPr="00BD5993">
              <w:t>1.</w:t>
            </w:r>
            <w:r w:rsidRPr="00BD5993">
              <w:tab/>
              <w:t>Develop gaming activities.</w:t>
            </w:r>
          </w:p>
        </w:tc>
        <w:tc>
          <w:tcPr>
            <w:tcW w:w="0" w:type="auto"/>
            <w:tcBorders>
              <w:top w:val="nil"/>
              <w:left w:val="nil"/>
              <w:bottom w:val="nil"/>
              <w:right w:val="nil"/>
            </w:tcBorders>
            <w:tcMar>
              <w:top w:w="0" w:type="dxa"/>
              <w:left w:w="62" w:type="dxa"/>
              <w:bottom w:w="0" w:type="dxa"/>
              <w:right w:w="62" w:type="dxa"/>
            </w:tcMar>
          </w:tcPr>
          <w:p w:rsidR="00000000" w:rsidRPr="00BD5993" w:rsidP="00BD5993">
            <w:pPr>
              <w:pStyle w:val="List2"/>
            </w:pPr>
            <w:r w:rsidRPr="00BD5993">
              <w:t>1.1</w:t>
            </w:r>
            <w:r w:rsidRPr="00BD5993">
              <w:tab/>
              <w:t>Research gaming requirements based on customer preferences, budget, loca</w:t>
            </w:r>
            <w:r w:rsidRPr="00BD5993">
              <w:t>tion and organisational objectives.</w:t>
            </w:r>
          </w:p>
          <w:p w:rsidR="00000000" w:rsidRPr="00BD5993" w:rsidP="00BD5993">
            <w:pPr>
              <w:pStyle w:val="List2"/>
            </w:pPr>
            <w:r w:rsidRPr="00BD5993">
              <w:t>1.2</w:t>
            </w:r>
            <w:r w:rsidRPr="00BD5993">
              <w:tab/>
              <w:t>Identify and research information on potential</w:t>
            </w:r>
            <w:r w:rsidRPr="00BD5993">
              <w:rPr>
                <w:rStyle w:val="BoldandItalics"/>
              </w:rPr>
              <w:t xml:space="preserve"> gaming activities</w:t>
            </w:r>
            <w:r w:rsidRPr="00BD5993">
              <w:t xml:space="preserve"> and products.</w:t>
            </w:r>
          </w:p>
          <w:p w:rsidR="00000000" w:rsidRPr="00BD5993" w:rsidP="00BD5993">
            <w:pPr>
              <w:pStyle w:val="List2"/>
            </w:pPr>
            <w:r w:rsidRPr="00BD5993">
              <w:t>1.3 Select gaming products suited to the venue and purpose.</w:t>
            </w:r>
          </w:p>
          <w:p w:rsidR="00000000" w:rsidRPr="00BD5993" w:rsidP="00BD5993">
            <w:pPr>
              <w:pStyle w:val="List2"/>
            </w:pPr>
            <w:r w:rsidRPr="00BD5993">
              <w:t>1.4</w:t>
            </w:r>
            <w:r w:rsidRPr="00BD5993">
              <w:tab/>
              <w:t xml:space="preserve">Establish and monitor gaming policies, </w:t>
            </w:r>
            <w:r w:rsidRPr="00BD5993">
              <w:rPr>
                <w:rStyle w:val="BoldandItalics"/>
              </w:rPr>
              <w:t xml:space="preserve">systems </w:t>
            </w:r>
            <w:r w:rsidRPr="00BD5993">
              <w:t>and procedures according t</w:t>
            </w:r>
            <w:r w:rsidRPr="00BD5993">
              <w:t>o legislative and organisational requirements.</w:t>
            </w:r>
          </w:p>
          <w:p w:rsidR="00000000" w:rsidRPr="00BD5993" w:rsidP="00BD5993">
            <w:pPr>
              <w:pStyle w:val="List2"/>
            </w:pPr>
            <w:r w:rsidRPr="00BD5993">
              <w:t>1.5</w:t>
            </w:r>
            <w:r w:rsidRPr="00BD5993">
              <w:tab/>
              <w:t>Investigate computer applications for gaming and set up and implement appropriate systems and records.</w:t>
            </w:r>
          </w:p>
          <w:p w:rsidR="00000000" w:rsidRPr="00BD5993" w:rsidP="00BD5993">
            <w:pPr>
              <w:pStyle w:val="List2"/>
            </w:pPr>
            <w:r w:rsidRPr="00BD5993">
              <w:t>1.6</w:t>
            </w:r>
            <w:r w:rsidRPr="00BD5993">
              <w:tab/>
              <w:t>Research, plan and set up data systems for safety, security and accounting purposes and put monito</w:t>
            </w:r>
            <w:r w:rsidRPr="00BD5993">
              <w:t>ring procedures in place.</w:t>
            </w:r>
          </w:p>
          <w:p w:rsidR="00000000" w:rsidP="00BD5993">
            <w:pPr>
              <w:pStyle w:val="List2"/>
              <w:rPr>
                <w:lang w:val="en-NZ"/>
              </w:rPr>
            </w:pPr>
            <w:r w:rsidRPr="00BD5993">
              <w:t>1.7</w:t>
            </w:r>
            <w:r w:rsidRPr="00BD5993">
              <w:tab/>
              <w:t xml:space="preserve">Establish resource requirements, including staffing, </w:t>
            </w:r>
            <w:r w:rsidRPr="00BD5993">
              <w:rPr>
                <w:rStyle w:val="BoldandItalics"/>
              </w:rPr>
              <w:t>furniture</w:t>
            </w:r>
            <w:r w:rsidRPr="00BD5993">
              <w:t xml:space="preserve">, </w:t>
            </w:r>
            <w:r w:rsidRPr="00BD5993">
              <w:rPr>
                <w:rStyle w:val="BoldandItalics"/>
              </w:rPr>
              <w:t xml:space="preserve">equipment </w:t>
            </w:r>
            <w:r w:rsidRPr="00BD5993">
              <w:t xml:space="preserve">and </w:t>
            </w:r>
            <w:r w:rsidRPr="00BD5993">
              <w:rPr>
                <w:rStyle w:val="BoldandItalics"/>
              </w:rPr>
              <w:t>fittings</w:t>
            </w:r>
            <w:r w:rsidRPr="00BD5993">
              <w:t>, and training.</w:t>
            </w:r>
          </w:p>
        </w:tc>
      </w:tr>
      <w:tr w:rsidTr="00D52C2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5993">
            <w:pPr>
              <w:pStyle w:val="List"/>
              <w:rPr>
                <w:lang w:val="en-NZ"/>
              </w:rPr>
            </w:pPr>
            <w:r w:rsidRPr="00BD5993">
              <w:t>2.</w:t>
            </w:r>
            <w:r w:rsidRPr="00BD5993">
              <w:tab/>
              <w:t>Develop and maintain a gaming venue.</w:t>
            </w:r>
          </w:p>
        </w:tc>
        <w:tc>
          <w:tcPr>
            <w:tcW w:w="0" w:type="auto"/>
            <w:tcBorders>
              <w:top w:val="nil"/>
              <w:left w:val="nil"/>
              <w:bottom w:val="nil"/>
              <w:right w:val="nil"/>
            </w:tcBorders>
            <w:tcMar>
              <w:top w:w="0" w:type="dxa"/>
              <w:left w:w="62" w:type="dxa"/>
              <w:bottom w:w="0" w:type="dxa"/>
              <w:right w:w="62" w:type="dxa"/>
            </w:tcMar>
          </w:tcPr>
          <w:p w:rsidR="00000000" w:rsidRPr="00BD5993" w:rsidP="00BD5993">
            <w:pPr>
              <w:pStyle w:val="List2"/>
            </w:pPr>
            <w:r w:rsidRPr="00BD5993">
              <w:t>2.1</w:t>
            </w:r>
            <w:r w:rsidRPr="00BD5993">
              <w:tab/>
              <w:t>Design a plan for the gaming floor according to venue capability.</w:t>
            </w:r>
          </w:p>
          <w:p w:rsidR="00000000" w:rsidRPr="00BD5993" w:rsidP="00BD5993">
            <w:pPr>
              <w:pStyle w:val="List2"/>
            </w:pPr>
            <w:r w:rsidRPr="00BD5993">
              <w:t>2.2</w:t>
            </w:r>
            <w:r w:rsidRPr="00BD5993">
              <w:tab/>
            </w:r>
            <w:r w:rsidRPr="00BD5993">
              <w:t>Analyse and select appropriate furniture, machines, equipment and fittings based on</w:t>
            </w:r>
            <w:r w:rsidRPr="00BD5993">
              <w:rPr>
                <w:rStyle w:val="BoldandItalics"/>
              </w:rPr>
              <w:t xml:space="preserve"> key considerations</w:t>
            </w:r>
            <w:r w:rsidRPr="00BD5993">
              <w:t>.</w:t>
            </w:r>
          </w:p>
          <w:p w:rsidR="00000000" w:rsidRPr="00BD5993" w:rsidP="00BD5993">
            <w:pPr>
              <w:pStyle w:val="List2"/>
            </w:pPr>
            <w:r w:rsidRPr="00BD5993">
              <w:t>2.3</w:t>
            </w:r>
            <w:r w:rsidRPr="00BD5993">
              <w:tab/>
              <w:t>Analyse appropriate systems where required.</w:t>
            </w:r>
          </w:p>
          <w:p w:rsidR="00000000" w:rsidRPr="00BD5993" w:rsidP="00BD5993">
            <w:pPr>
              <w:pStyle w:val="List2"/>
            </w:pPr>
            <w:r w:rsidRPr="00BD5993">
              <w:t>2.4</w:t>
            </w:r>
            <w:r w:rsidRPr="00BD5993">
              <w:tab/>
              <w:t xml:space="preserve">Plan pre installation, including staffing and training, and location and operation of equipment and </w:t>
            </w:r>
            <w:r w:rsidRPr="00BD5993">
              <w:t>service design.</w:t>
            </w:r>
          </w:p>
          <w:p w:rsidR="00000000" w:rsidRPr="00BD5993" w:rsidP="00BD5993">
            <w:pPr>
              <w:pStyle w:val="List2"/>
            </w:pPr>
            <w:r w:rsidRPr="00BD5993">
              <w:t>2.5</w:t>
            </w:r>
            <w:r w:rsidRPr="00BD5993">
              <w:tab/>
              <w:t>Negotiate terms for appropriate equipment and fittings to achieve agreed budget and requirements.</w:t>
            </w:r>
          </w:p>
          <w:p w:rsidR="00000000" w:rsidRPr="00BD5993" w:rsidP="00BD5993">
            <w:pPr>
              <w:pStyle w:val="List2"/>
            </w:pPr>
            <w:r w:rsidRPr="00BD5993">
              <w:t>2.6</w:t>
            </w:r>
            <w:r w:rsidRPr="00BD5993">
              <w:tab/>
              <w:t>Procure and install furniture, equipment and fittings.</w:t>
            </w:r>
          </w:p>
          <w:p w:rsidR="00000000" w:rsidP="00BD5993">
            <w:pPr>
              <w:pStyle w:val="List2"/>
              <w:rPr>
                <w:lang w:val="en-NZ"/>
              </w:rPr>
            </w:pPr>
            <w:r w:rsidRPr="00BD5993">
              <w:t>2.7</w:t>
            </w:r>
            <w:r w:rsidRPr="00BD5993">
              <w:tab/>
              <w:t>Monitor gaming location for effective operation and modify as required.</w:t>
            </w:r>
          </w:p>
        </w:tc>
      </w:tr>
      <w:tr w:rsidTr="00D52C2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5993">
            <w:pPr>
              <w:pStyle w:val="List"/>
              <w:rPr>
                <w:lang w:val="en-NZ"/>
              </w:rPr>
            </w:pPr>
            <w:r w:rsidRPr="00BD5993">
              <w:t>3.</w:t>
            </w:r>
            <w:r w:rsidRPr="00BD5993">
              <w:tab/>
              <w:t>Monitor gaming activities.</w:t>
            </w:r>
          </w:p>
        </w:tc>
        <w:tc>
          <w:tcPr>
            <w:tcW w:w="0" w:type="auto"/>
            <w:tcBorders>
              <w:top w:val="nil"/>
              <w:left w:val="nil"/>
              <w:bottom w:val="nil"/>
              <w:right w:val="nil"/>
            </w:tcBorders>
            <w:tcMar>
              <w:top w:w="0" w:type="dxa"/>
              <w:left w:w="62" w:type="dxa"/>
              <w:bottom w:w="0" w:type="dxa"/>
              <w:right w:w="62" w:type="dxa"/>
            </w:tcMar>
          </w:tcPr>
          <w:p w:rsidR="00000000" w:rsidRPr="00BD5993" w:rsidP="00BD5993">
            <w:pPr>
              <w:pStyle w:val="List2"/>
            </w:pPr>
            <w:r w:rsidRPr="00BD5993">
              <w:t>3.1</w:t>
            </w:r>
            <w:r w:rsidRPr="00BD5993">
              <w:tab/>
              <w:t>Summarise and analyse gaming data and prepare recommendations.</w:t>
            </w:r>
          </w:p>
          <w:p w:rsidR="00000000" w:rsidRPr="00BD5993" w:rsidP="00BD5993">
            <w:pPr>
              <w:pStyle w:val="List2"/>
            </w:pPr>
            <w:r w:rsidRPr="00BD5993">
              <w:t>3.2</w:t>
            </w:r>
            <w:r w:rsidRPr="00BD5993">
              <w:tab/>
              <w:t>Develop reports on gaming activities and submit to appropriate personnel.</w:t>
            </w:r>
          </w:p>
          <w:p w:rsidR="00000000" w:rsidRPr="00BD5993" w:rsidP="00BD5993">
            <w:pPr>
              <w:pStyle w:val="List2"/>
            </w:pPr>
            <w:r w:rsidRPr="00BD5993">
              <w:t>3.3</w:t>
            </w:r>
            <w:r w:rsidRPr="00BD5993">
              <w:tab/>
              <w:t>Analyse gaming operations problems and develop strategies for enhanced performa</w:t>
            </w:r>
            <w:r w:rsidRPr="00BD5993">
              <w:t>nce.</w:t>
            </w:r>
          </w:p>
          <w:p w:rsidR="00000000" w:rsidP="00BD5993">
            <w:pPr>
              <w:pStyle w:val="List2"/>
              <w:rPr>
                <w:lang w:val="en-NZ"/>
              </w:rPr>
            </w:pPr>
            <w:r w:rsidRPr="00BD5993">
              <w:t>3.4</w:t>
            </w:r>
            <w:r w:rsidRPr="00BD5993">
              <w:tab/>
              <w:t>Match data against key performance indicators and benchmarks.</w:t>
            </w:r>
          </w:p>
        </w:tc>
      </w:tr>
      <w:tr w:rsidTr="00D52C2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5993">
            <w:pPr>
              <w:pStyle w:val="List"/>
              <w:rPr>
                <w:lang w:val="en-NZ"/>
              </w:rPr>
            </w:pPr>
            <w:r w:rsidRPr="00BD5993">
              <w:t>4.</w:t>
            </w:r>
            <w:r w:rsidRPr="00BD5993">
              <w:tab/>
              <w:t>Develop promotional activities for gaming.</w:t>
            </w:r>
          </w:p>
        </w:tc>
        <w:tc>
          <w:tcPr>
            <w:tcW w:w="0" w:type="auto"/>
            <w:tcBorders>
              <w:top w:val="nil"/>
              <w:left w:val="nil"/>
              <w:bottom w:val="nil"/>
              <w:right w:val="nil"/>
            </w:tcBorders>
            <w:tcMar>
              <w:top w:w="0" w:type="dxa"/>
              <w:left w:w="62" w:type="dxa"/>
              <w:bottom w:w="0" w:type="dxa"/>
              <w:right w:w="62" w:type="dxa"/>
            </w:tcMar>
          </w:tcPr>
          <w:p w:rsidR="00000000" w:rsidRPr="00BD5993" w:rsidP="00BD5993">
            <w:pPr>
              <w:pStyle w:val="List2"/>
            </w:pPr>
            <w:r w:rsidRPr="00BD5993">
              <w:t>4.1</w:t>
            </w:r>
            <w:r w:rsidRPr="00BD5993">
              <w:tab/>
              <w:t>Conduct research to determine suitable</w:t>
            </w:r>
            <w:r w:rsidRPr="00BD5993">
              <w:rPr>
                <w:rStyle w:val="BoldandItalics"/>
              </w:rPr>
              <w:t xml:space="preserve"> promotional activities</w:t>
            </w:r>
            <w:r w:rsidRPr="00BD5993">
              <w:t>.</w:t>
            </w:r>
          </w:p>
          <w:p w:rsidR="00000000" w:rsidRPr="00BD5993" w:rsidP="00BD5993">
            <w:pPr>
              <w:pStyle w:val="List2"/>
            </w:pPr>
            <w:r w:rsidRPr="00BD5993">
              <w:t>4.2</w:t>
            </w:r>
            <w:r w:rsidRPr="00BD5993">
              <w:tab/>
              <w:t>Formulate promotional activities based</w:t>
            </w:r>
            <w:r w:rsidRPr="00BD5993">
              <w:rPr>
                <w:rStyle w:val="BoldandItalics"/>
              </w:rPr>
              <w:t xml:space="preserve"> business and customer needs</w:t>
            </w:r>
            <w:r w:rsidRPr="00BD5993">
              <w:t>.</w:t>
            </w:r>
          </w:p>
          <w:p w:rsidR="00000000" w:rsidP="00BD5993">
            <w:pPr>
              <w:pStyle w:val="List2"/>
              <w:rPr>
                <w:lang w:val="en-NZ"/>
              </w:rPr>
            </w:pPr>
            <w:r w:rsidRPr="00BD5993">
              <w:t>4.3</w:t>
            </w:r>
            <w:r w:rsidRPr="00BD5993">
              <w:tab/>
              <w:t>Develop action plans and evaluation mechanisms for promotional activities.</w:t>
            </w:r>
          </w:p>
        </w:tc>
      </w:tr>
      <w:tr w:rsidTr="00D52C2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5993">
            <w:pPr>
              <w:pStyle w:val="List"/>
              <w:rPr>
                <w:lang w:val="en-NZ"/>
              </w:rPr>
            </w:pPr>
            <w:r w:rsidRPr="00BD5993">
              <w:t>5.</w:t>
            </w:r>
            <w:r w:rsidRPr="00BD5993">
              <w:tab/>
              <w:t>Organise and monitor security for gaming location.</w:t>
            </w:r>
          </w:p>
        </w:tc>
        <w:tc>
          <w:tcPr>
            <w:tcW w:w="0" w:type="auto"/>
            <w:tcBorders>
              <w:top w:val="nil"/>
              <w:left w:val="nil"/>
              <w:bottom w:val="nil"/>
              <w:right w:val="nil"/>
            </w:tcBorders>
            <w:tcMar>
              <w:top w:w="0" w:type="dxa"/>
              <w:left w:w="62" w:type="dxa"/>
              <w:bottom w:w="0" w:type="dxa"/>
              <w:right w:w="62" w:type="dxa"/>
            </w:tcMar>
          </w:tcPr>
          <w:p w:rsidR="00000000" w:rsidRPr="00BD5993" w:rsidP="00BD5993">
            <w:pPr>
              <w:pStyle w:val="List2"/>
            </w:pPr>
            <w:r w:rsidRPr="00BD5993">
              <w:t>5.1</w:t>
            </w:r>
            <w:r w:rsidRPr="00BD5993">
              <w:tab/>
              <w:t xml:space="preserve">Develop, implement and monitor gaming </w:t>
            </w:r>
            <w:r w:rsidRPr="00BD5993">
              <w:rPr>
                <w:rStyle w:val="BoldandItalics"/>
              </w:rPr>
              <w:t>security policies and procedures</w:t>
            </w:r>
            <w:r w:rsidRPr="00BD5993">
              <w:t xml:space="preserve"> according to legislative requirements, and con</w:t>
            </w:r>
            <w:r w:rsidRPr="00BD5993">
              <w:t>fidentiality and privacy provisions.</w:t>
            </w:r>
          </w:p>
          <w:p w:rsidR="00000000" w:rsidP="00BD5993">
            <w:pPr>
              <w:pStyle w:val="List2"/>
              <w:rPr>
                <w:lang w:val="en-NZ"/>
              </w:rPr>
            </w:pPr>
            <w:r w:rsidRPr="00BD5993">
              <w:t>5.2</w:t>
            </w:r>
            <w:r w:rsidRPr="00BD5993">
              <w:tab/>
              <w:t>Ensure that appropriate security personnel are employed and trained.</w:t>
            </w:r>
          </w:p>
        </w:tc>
      </w:tr>
      <w:tr w:rsidTr="00D52C2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5993">
            <w:pPr>
              <w:pStyle w:val="List"/>
              <w:rPr>
                <w:lang w:val="en-NZ"/>
              </w:rPr>
            </w:pPr>
            <w:r w:rsidRPr="00BD5993">
              <w:t>6.</w:t>
            </w:r>
            <w:r w:rsidRPr="00BD5993">
              <w:tab/>
              <w:t>Ensure business compliance.</w:t>
            </w:r>
          </w:p>
        </w:tc>
        <w:tc>
          <w:tcPr>
            <w:tcW w:w="0" w:type="auto"/>
            <w:tcBorders>
              <w:top w:val="nil"/>
              <w:left w:val="nil"/>
              <w:bottom w:val="nil"/>
              <w:right w:val="nil"/>
            </w:tcBorders>
            <w:tcMar>
              <w:top w:w="0" w:type="dxa"/>
              <w:left w:w="62" w:type="dxa"/>
              <w:bottom w:w="0" w:type="dxa"/>
              <w:right w:w="62" w:type="dxa"/>
            </w:tcMar>
          </w:tcPr>
          <w:p w:rsidR="00000000" w:rsidRPr="00BD5993" w:rsidP="00BD5993">
            <w:pPr>
              <w:pStyle w:val="List2"/>
            </w:pPr>
            <w:r w:rsidRPr="00BD5993">
              <w:t>6.1</w:t>
            </w:r>
            <w:r w:rsidRPr="00BD5993">
              <w:tab/>
              <w:t>Identify and meet legal obligations for gaming activities.</w:t>
            </w:r>
          </w:p>
          <w:p w:rsidR="00000000" w:rsidRPr="00BD5993" w:rsidP="00BD5993">
            <w:pPr>
              <w:pStyle w:val="List2"/>
            </w:pPr>
            <w:r w:rsidRPr="00BD5993">
              <w:t>6.2</w:t>
            </w:r>
            <w:r w:rsidRPr="00BD5993">
              <w:tab/>
              <w:t xml:space="preserve">Make </w:t>
            </w:r>
            <w:r w:rsidRPr="00BD5993">
              <w:rPr>
                <w:rStyle w:val="BoldandItalics"/>
              </w:rPr>
              <w:t>information and signage</w:t>
            </w:r>
            <w:r w:rsidRPr="00BD5993">
              <w:t xml:space="preserve"> on organisational </w:t>
            </w:r>
            <w:r w:rsidRPr="00BD5993">
              <w:t>gaming activities and responsible gambling policies available to customers and employees.</w:t>
            </w:r>
          </w:p>
        </w:tc>
      </w:tr>
    </w:tbl>
    <w:p w:rsidR="00000000" w:rsidRPr="00BD5993" w:rsidP="00BD5993">
      <w:pPr>
        <w:pStyle w:val="List"/>
      </w:pPr>
    </w:p>
    <w:p w:rsidR="00000000" w:rsidRPr="00BD5993" w:rsidP="00BD5993">
      <w:pPr>
        <w:pStyle w:val="AllowPageBreak"/>
      </w:pPr>
    </w:p>
    <w:p w:rsidR="00000000" w:rsidRPr="00BD5993" w:rsidP="00BD5993">
      <w:pPr>
        <w:pStyle w:val="Heading1"/>
      </w:pPr>
      <w:bookmarkStart w:id="9" w:name="O_583608"/>
      <w:bookmarkEnd w:id="9"/>
      <w:r w:rsidRPr="00BD5993">
        <w:t>Required Skills and Knowledge</w:t>
      </w:r>
    </w:p>
    <w:tbl>
      <w:tblPr>
        <w:tblW w:w="0" w:type="auto"/>
        <w:tblCellMar>
          <w:left w:w="62" w:type="dxa"/>
          <w:right w:w="62" w:type="dxa"/>
        </w:tblCellMar>
        <w:tblLook w:val="0000"/>
      </w:tblPr>
      <w:tblGrid>
        <w:gridCol w:w="9196"/>
      </w:tblGrid>
      <w:tr w:rsidTr="00D52C2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5993">
            <w:pPr>
              <w:pStyle w:val="BodyText"/>
              <w:rPr>
                <w:lang w:val="en-NZ"/>
              </w:rPr>
            </w:pPr>
            <w:r w:rsidRPr="00BD5993">
              <w:t>This section describes the skills and knowledge required for this unit.</w:t>
            </w:r>
          </w:p>
        </w:tc>
      </w:tr>
      <w:tr w:rsidTr="00D52C2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5993">
            <w:pPr>
              <w:pStyle w:val="BodyText"/>
              <w:rPr>
                <w:lang w:val="en-NZ"/>
              </w:rPr>
            </w:pPr>
            <w:r w:rsidRPr="00BD5993">
              <w:rPr>
                <w:rStyle w:val="SpecialBold"/>
              </w:rPr>
              <w:t>Required skills</w:t>
            </w:r>
          </w:p>
        </w:tc>
      </w:tr>
      <w:tr w:rsidTr="00D52C2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D5993" w:rsidP="00BD5993">
            <w:pPr>
              <w:pStyle w:val="ListBullet"/>
            </w:pPr>
            <w:r w:rsidRPr="00BD5993">
              <w:t>communication and leadership skills to negotiate with suppliers</w:t>
            </w:r>
          </w:p>
          <w:p w:rsidR="00000000" w:rsidRPr="00BD5993" w:rsidP="00BD5993">
            <w:pPr>
              <w:pStyle w:val="ListBullet"/>
            </w:pPr>
            <w:r w:rsidRPr="00BD5993">
              <w:t>initiative and enterprise skills to pro-actively seek new product opportunities</w:t>
            </w:r>
          </w:p>
          <w:p w:rsidR="00000000" w:rsidRPr="00BD5993" w:rsidP="00BD5993">
            <w:pPr>
              <w:pStyle w:val="ListBullet"/>
            </w:pPr>
            <w:r w:rsidRPr="00BD5993">
              <w:t>literacy skills to:</w:t>
            </w:r>
          </w:p>
          <w:p w:rsidR="00000000" w:rsidRPr="00BD5993" w:rsidP="00BD5993">
            <w:pPr>
              <w:pStyle w:val="ListBullet2"/>
            </w:pPr>
            <w:r w:rsidRPr="00BD5993">
              <w:t>research potentially complex information on gaming activities, requirements and trends</w:t>
            </w:r>
          </w:p>
          <w:p w:rsidR="00000000" w:rsidRPr="00BD5993" w:rsidP="00BD5993">
            <w:pPr>
              <w:pStyle w:val="ListBullet2"/>
            </w:pPr>
            <w:r w:rsidRPr="00BD5993">
              <w:t>write promotional information</w:t>
            </w:r>
          </w:p>
          <w:p w:rsidR="00000000" w:rsidRPr="00BD5993" w:rsidP="00BD5993">
            <w:pPr>
              <w:pStyle w:val="ListBullet"/>
            </w:pPr>
            <w:r w:rsidRPr="00BD5993">
              <w:t>numeracy skills to calculate return on gaming activities and understand probability theory</w:t>
            </w:r>
          </w:p>
          <w:p w:rsidR="00000000" w:rsidRPr="00BD5993" w:rsidP="00BD5993">
            <w:pPr>
              <w:pStyle w:val="ListBullet"/>
            </w:pPr>
            <w:r w:rsidRPr="00BD5993">
              <w:t>planning and organising skills to manage the planning and implementation of new gaming activities</w:t>
            </w:r>
          </w:p>
          <w:p w:rsidR="00000000" w:rsidRPr="00BD5993" w:rsidP="00BD5993">
            <w:pPr>
              <w:pStyle w:val="ListBullet"/>
            </w:pPr>
            <w:r w:rsidRPr="00BD5993">
              <w:t>problem</w:t>
            </w:r>
            <w:r w:rsidRPr="00BD5993">
              <w:noBreakHyphen/>
              <w:t>solving skills to respond to</w:t>
            </w:r>
            <w:r w:rsidRPr="00BD5993">
              <w:t xml:space="preserve"> operational management issues</w:t>
            </w:r>
          </w:p>
          <w:p w:rsidR="00000000" w:rsidP="00BD5993">
            <w:pPr>
              <w:pStyle w:val="ListBullet"/>
              <w:rPr>
                <w:lang w:val="en-NZ"/>
              </w:rPr>
            </w:pPr>
            <w:r w:rsidRPr="00BD5993">
              <w:t>technology skills to evaluate the operation of gaming systems.</w:t>
            </w:r>
          </w:p>
        </w:tc>
      </w:tr>
      <w:tr w:rsidTr="00D52C2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5993">
            <w:pPr>
              <w:pStyle w:val="BodyText"/>
              <w:rPr>
                <w:lang w:val="en-NZ"/>
              </w:rPr>
            </w:pPr>
            <w:r w:rsidRPr="00BD5993">
              <w:rPr>
                <w:rStyle w:val="SpecialBold"/>
              </w:rPr>
              <w:t>Required knowledge</w:t>
            </w:r>
          </w:p>
        </w:tc>
      </w:tr>
      <w:tr w:rsidTr="00D52C2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D5993" w:rsidP="00BD5993">
            <w:pPr>
              <w:pStyle w:val="ListBullet"/>
            </w:pPr>
            <w:r w:rsidRPr="00BD5993">
              <w:t>current gaming environment and market in which the organisational operates</w:t>
            </w:r>
          </w:p>
          <w:p w:rsidR="00000000" w:rsidRPr="00BD5993" w:rsidP="00BD5993">
            <w:pPr>
              <w:pStyle w:val="ListBullet"/>
            </w:pPr>
            <w:r w:rsidRPr="00BD5993">
              <w:t>sources of information on gaming products</w:t>
            </w:r>
          </w:p>
          <w:p w:rsidR="00000000" w:rsidRPr="00BD5993" w:rsidP="00BD5993">
            <w:pPr>
              <w:pStyle w:val="ListBullet"/>
            </w:pPr>
            <w:r w:rsidRPr="00BD5993">
              <w:t>current gaming technology and systems</w:t>
            </w:r>
          </w:p>
          <w:p w:rsidR="00000000" w:rsidRPr="00BD5993" w:rsidP="00BD5993">
            <w:pPr>
              <w:pStyle w:val="ListBullet"/>
            </w:pPr>
            <w:r w:rsidRPr="00BD5993">
              <w:t>gaming psychology in relation to the development, promotion and management of gaming activities</w:t>
            </w:r>
          </w:p>
          <w:p w:rsidR="00000000" w:rsidRPr="00BD5993" w:rsidP="00BD5993">
            <w:pPr>
              <w:pStyle w:val="ListBullet"/>
            </w:pPr>
            <w:r w:rsidRPr="00BD5993">
              <w:t>ethics of gaming related to the operation of a gaming venue, including duty of care</w:t>
            </w:r>
          </w:p>
          <w:p w:rsidR="00000000" w:rsidRPr="00BD5993" w:rsidP="00BD5993">
            <w:pPr>
              <w:pStyle w:val="ListBullet"/>
            </w:pPr>
            <w:r w:rsidRPr="00BD5993">
              <w:t>typical gaming reporting formats and p</w:t>
            </w:r>
            <w:r w:rsidRPr="00BD5993">
              <w:t>rocedures</w:t>
            </w:r>
          </w:p>
          <w:p w:rsidR="00000000" w:rsidRPr="00BD5993" w:rsidP="00BD5993">
            <w:pPr>
              <w:pStyle w:val="ListBullet"/>
            </w:pPr>
            <w:r w:rsidRPr="00BD5993">
              <w:t>gaming and probability theory as it relates to the operation of a gaming venue</w:t>
            </w:r>
          </w:p>
          <w:p w:rsidR="00000000" w:rsidRPr="00BD5993" w:rsidP="00BD5993">
            <w:pPr>
              <w:pStyle w:val="ListBullet"/>
            </w:pPr>
            <w:r w:rsidRPr="00BD5993">
              <w:t>purpose and requirements of:</w:t>
            </w:r>
          </w:p>
          <w:p w:rsidR="00000000" w:rsidRPr="00BD5993" w:rsidP="00BD5993">
            <w:pPr>
              <w:pStyle w:val="ListBullet2"/>
            </w:pPr>
            <w:r w:rsidRPr="00BD5993">
              <w:t>federal, and state or territory legislation relating to gaming</w:t>
            </w:r>
          </w:p>
          <w:p w:rsidR="00000000" w:rsidRPr="00BD5993" w:rsidP="00BD5993">
            <w:pPr>
              <w:pStyle w:val="ListBullet2"/>
            </w:pPr>
            <w:r w:rsidRPr="00BD5993">
              <w:t>relevant codes of conduct in relation to gaming and betting and responsible conduct of gambling</w:t>
            </w:r>
          </w:p>
          <w:p w:rsidR="00000000" w:rsidRPr="00BD5993" w:rsidP="00BD5993">
            <w:pPr>
              <w:pStyle w:val="ListBullet"/>
            </w:pPr>
            <w:r w:rsidRPr="00BD5993">
              <w:t>roles and requirements of other authorities in relation to gaming</w:t>
            </w:r>
          </w:p>
          <w:p w:rsidR="00000000" w:rsidRPr="00BD5993" w:rsidP="00BD5993">
            <w:pPr>
              <w:pStyle w:val="ListBullet"/>
            </w:pPr>
            <w:r w:rsidRPr="00BD5993">
              <w:t>taxation structures for gaming activities.</w:t>
            </w:r>
          </w:p>
        </w:tc>
      </w:tr>
    </w:tbl>
    <w:p w:rsidR="00000000" w:rsidRPr="00BD5993" w:rsidP="00BD5993">
      <w:pPr>
        <w:pStyle w:val="BodyText"/>
      </w:pPr>
    </w:p>
    <w:p w:rsidR="00000000" w:rsidRPr="00BD5993" w:rsidP="00BD5993">
      <w:pPr>
        <w:pStyle w:val="AllowPageBreak"/>
      </w:pPr>
    </w:p>
    <w:p w:rsidR="00000000" w:rsidRPr="00BD5993" w:rsidP="00BD5993">
      <w:pPr>
        <w:pStyle w:val="Heading1"/>
      </w:pPr>
      <w:bookmarkStart w:id="10" w:name="O_583607"/>
      <w:bookmarkEnd w:id="10"/>
      <w:r w:rsidRPr="00BD5993">
        <w:t>Evidence Guide</w:t>
      </w:r>
    </w:p>
    <w:tbl>
      <w:tblPr>
        <w:tblW w:w="0" w:type="auto"/>
        <w:tblCellMar>
          <w:left w:w="62" w:type="dxa"/>
          <w:right w:w="62" w:type="dxa"/>
        </w:tblCellMar>
        <w:tblLook w:val="0000"/>
      </w:tblPr>
      <w:tblGrid>
        <w:gridCol w:w="2690"/>
        <w:gridCol w:w="6506"/>
      </w:tblGrid>
      <w:tr w:rsidTr="00D52C2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D5993">
            <w:pPr>
              <w:pStyle w:val="BodyText"/>
              <w:rPr>
                <w:lang w:val="en-NZ"/>
              </w:rPr>
            </w:pPr>
            <w:r w:rsidRPr="00BD5993">
              <w:t>The evidence guide provides advice on assessment and must be read in conjunction with the performance criteria, required skills and knowledge, range statement and the Assessment Guidelines for the Training Package.</w:t>
            </w:r>
          </w:p>
        </w:tc>
      </w:tr>
      <w:tr w:rsidTr="00D52C25">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BD5993">
            <w:pPr>
              <w:pStyle w:val="BodyText"/>
              <w:rPr>
                <w:lang w:val="en-NZ"/>
              </w:rPr>
            </w:pPr>
            <w:r w:rsidRPr="00BD5993">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BD5993">
            <w:pPr>
              <w:pStyle w:val="BodyText"/>
              <w:rPr>
                <w:lang w:val="en-NZ"/>
              </w:rPr>
            </w:pPr>
          </w:p>
        </w:tc>
      </w:tr>
      <w:tr w:rsidTr="00D52C2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5993">
            <w:pPr>
              <w:pStyle w:val="BodyText"/>
              <w:rPr>
                <w:lang w:val="en-NZ"/>
              </w:rPr>
            </w:pPr>
            <w:r w:rsidRPr="00BD5993">
              <w:rPr>
                <w:rStyle w:val="SpecialBold"/>
              </w:rPr>
              <w:t>Critical aspec</w:t>
            </w:r>
            <w:r w:rsidRPr="00BD5993">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BD5993" w:rsidP="00BD5993">
            <w:pPr>
              <w:pStyle w:val="BodyText"/>
            </w:pPr>
            <w:r w:rsidRPr="00BD5993">
              <w:t>Evidence of the ability to:</w:t>
            </w:r>
          </w:p>
          <w:p w:rsidR="00000000" w:rsidRPr="00BD5993" w:rsidP="00BD5993">
            <w:pPr>
              <w:pStyle w:val="ListBullet"/>
            </w:pPr>
            <w:r w:rsidRPr="00BD5993">
              <w:t>plan gaming activities in a particular business context taking account of:</w:t>
            </w:r>
          </w:p>
          <w:p w:rsidR="00000000" w:rsidRPr="00BD5993" w:rsidP="00BD5993">
            <w:pPr>
              <w:pStyle w:val="ListBullet2"/>
            </w:pPr>
            <w:r w:rsidRPr="00BD5993">
              <w:t>business objectives</w:t>
            </w:r>
          </w:p>
          <w:p w:rsidR="00000000" w:rsidRPr="00BD5993" w:rsidP="00BD5993">
            <w:pPr>
              <w:pStyle w:val="ListBullet2"/>
            </w:pPr>
            <w:r w:rsidRPr="00BD5993">
              <w:t>customer needs</w:t>
            </w:r>
          </w:p>
          <w:p w:rsidR="00000000" w:rsidRPr="00BD5993" w:rsidP="00BD5993">
            <w:pPr>
              <w:pStyle w:val="ListBullet"/>
            </w:pPr>
            <w:r w:rsidRPr="00BD5993">
              <w:t>demonstrate comprehensive knowledge of:</w:t>
            </w:r>
          </w:p>
          <w:p w:rsidR="00000000" w:rsidRPr="00BD5993" w:rsidP="00BD5993">
            <w:pPr>
              <w:pStyle w:val="ListBullet2"/>
            </w:pPr>
            <w:r w:rsidRPr="00BD5993">
              <w:t>gaming products and technologies</w:t>
            </w:r>
          </w:p>
          <w:p w:rsidR="00000000" w:rsidRPr="00BD5993" w:rsidP="00BD5993">
            <w:pPr>
              <w:pStyle w:val="ListBullet2"/>
            </w:pPr>
            <w:r w:rsidRPr="00BD5993">
              <w:t>gaming promotional strategies</w:t>
            </w:r>
          </w:p>
          <w:p w:rsidR="00000000" w:rsidRPr="00BD5993" w:rsidP="00BD5993">
            <w:pPr>
              <w:pStyle w:val="ListBullet2"/>
            </w:pPr>
            <w:r w:rsidRPr="00BD5993">
              <w:t>gaming layouts, furniture, equipment and fittings</w:t>
            </w:r>
          </w:p>
          <w:p w:rsidR="00000000" w:rsidRPr="00BD5993" w:rsidP="00BD5993">
            <w:pPr>
              <w:pStyle w:val="ListBullet2"/>
            </w:pPr>
            <w:r w:rsidRPr="00BD5993">
              <w:t>current gaming legislation, regulations and compliance requirements</w:t>
            </w:r>
          </w:p>
          <w:p w:rsidR="00000000" w:rsidP="00BD5993">
            <w:pPr>
              <w:pStyle w:val="ListBullet2"/>
              <w:rPr>
                <w:lang w:val="en-NZ"/>
              </w:rPr>
            </w:pPr>
            <w:r w:rsidRPr="00BD5993">
              <w:t>security issues and compliance req</w:t>
            </w:r>
            <w:r w:rsidRPr="00BD5993">
              <w:t>uirements.</w:t>
            </w:r>
          </w:p>
        </w:tc>
      </w:tr>
      <w:tr w:rsidTr="00D52C25">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BD5993">
            <w:pPr>
              <w:pStyle w:val="BodyText"/>
              <w:rPr>
                <w:lang w:val="en-NZ"/>
              </w:rPr>
            </w:pPr>
            <w:r w:rsidRPr="00BD5993">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BD5993" w:rsidP="00BD5993">
            <w:pPr>
              <w:pStyle w:val="BodyText"/>
            </w:pPr>
            <w:r w:rsidRPr="00BD5993">
              <w:t>Assessment must ensure use of:</w:t>
            </w:r>
          </w:p>
          <w:p w:rsidR="00000000" w:rsidRPr="00BD5993" w:rsidP="00BD5993">
            <w:pPr>
              <w:pStyle w:val="ListBullet"/>
            </w:pPr>
            <w:r w:rsidRPr="00BD5993">
              <w:t>a real or simulated gaming business for which the individual can plan and develop facilities, systems and promotional initiatives</w:t>
            </w:r>
          </w:p>
          <w:p w:rsidR="00000000" w:rsidP="00BD5993">
            <w:pPr>
              <w:pStyle w:val="ListBullet"/>
              <w:rPr>
                <w:lang w:val="en-NZ"/>
              </w:rPr>
            </w:pPr>
            <w:r w:rsidRPr="00BD5993">
              <w:t xml:space="preserve">suppliers and promoters of gaming products with whom the individual can interact. </w:t>
            </w:r>
          </w:p>
        </w:tc>
      </w:tr>
      <w:tr w:rsidTr="00D52C25">
        <w:tblPrEx>
          <w:tblW w:w="0" w:type="auto"/>
          <w:tblCellMar>
            <w:left w:w="62" w:type="dxa"/>
            <w:right w:w="62" w:type="dxa"/>
          </w:tblCellMar>
          <w:tblLook w:val="0000"/>
        </w:tblPrEx>
        <w:trPr>
          <w:trHeight w:val="316"/>
        </w:trPr>
        <w:tc>
          <w:tcPr>
            <w:tcW w:w="0" w:type="auto"/>
            <w:tcBorders>
              <w:top w:val="nil"/>
              <w:left w:val="nil"/>
              <w:bottom w:val="nil"/>
              <w:right w:val="nil"/>
            </w:tcBorders>
            <w:tcMar>
              <w:top w:w="0" w:type="dxa"/>
              <w:left w:w="62" w:type="dxa"/>
              <w:bottom w:w="0" w:type="dxa"/>
              <w:right w:w="62" w:type="dxa"/>
            </w:tcMar>
          </w:tcPr>
          <w:p w:rsidR="00000000" w:rsidP="00BD5993">
            <w:pPr>
              <w:pStyle w:val="BodyText"/>
              <w:rPr>
                <w:lang w:val="en-NZ"/>
              </w:rPr>
            </w:pPr>
            <w:r w:rsidRPr="00BD5993">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BD5993" w:rsidP="00BD5993">
            <w:pPr>
              <w:pStyle w:val="BodyText"/>
            </w:pPr>
            <w:r w:rsidRPr="00BD5993">
              <w:t xml:space="preserve">A range of assessment methods should be used to assess practical skills and knowledge. The following examples are appropriate for this unit: </w:t>
            </w:r>
          </w:p>
          <w:p w:rsidR="00000000" w:rsidRPr="00BD5993" w:rsidP="00BD5993">
            <w:pPr>
              <w:pStyle w:val="ListBullet"/>
            </w:pPr>
            <w:r w:rsidRPr="00BD5993">
              <w:t>evaluati</w:t>
            </w:r>
            <w:r w:rsidRPr="00BD5993">
              <w:t>on of plans and promotional strategies developed by the individual for a particular gaming location</w:t>
            </w:r>
          </w:p>
          <w:p w:rsidR="00000000" w:rsidRPr="00BD5993" w:rsidP="00BD5993">
            <w:pPr>
              <w:pStyle w:val="ListBullet"/>
            </w:pPr>
            <w:r w:rsidRPr="00BD5993">
              <w:t>review of promotional materials and strategies developed by the individual</w:t>
            </w:r>
          </w:p>
          <w:p w:rsidR="00000000" w:rsidRPr="00BD5993" w:rsidP="00BD5993">
            <w:pPr>
              <w:pStyle w:val="ListBullet"/>
            </w:pPr>
            <w:r w:rsidRPr="00BD5993">
              <w:t>use of case studies to assess ability to apply knowledge to the development and management of gaming activities for specific workplace situations</w:t>
            </w:r>
          </w:p>
          <w:p w:rsidR="00000000" w:rsidRPr="00BD5993" w:rsidP="00BD5993">
            <w:pPr>
              <w:pStyle w:val="ListBullet"/>
            </w:pPr>
            <w:r w:rsidRPr="00BD5993">
              <w:t>oral or written questioning to assess knowledge of business compliance requirements, security issues and promo</w:t>
            </w:r>
            <w:r w:rsidRPr="00BD5993">
              <w:t>tional aspects of gaming operations</w:t>
            </w:r>
          </w:p>
          <w:p w:rsidR="00000000" w:rsidP="00BD5993">
            <w:pPr>
              <w:pStyle w:val="ListBullet"/>
              <w:rPr>
                <w:lang w:val="en-NZ"/>
              </w:rPr>
            </w:pPr>
            <w:r w:rsidRPr="00BD5993">
              <w:t>review of portfolios of evidence and third</w:t>
            </w:r>
            <w:r w:rsidRPr="00BD5993">
              <w:noBreakHyphen/>
              <w:t>party workplace reports of on</w:t>
            </w:r>
            <w:r w:rsidRPr="00BD5993">
              <w:noBreakHyphen/>
              <w:t>the</w:t>
            </w:r>
            <w:r w:rsidRPr="00BD5993">
              <w:noBreakHyphen/>
              <w:t xml:space="preserve">job performance by the individual. </w:t>
            </w:r>
          </w:p>
        </w:tc>
      </w:tr>
      <w:tr w:rsidTr="00D52C2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5993">
            <w:pPr>
              <w:pStyle w:val="BodyText"/>
              <w:rPr>
                <w:lang w:val="en-NZ"/>
              </w:rPr>
            </w:pPr>
            <w:r w:rsidRPr="00BD5993">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BD5993" w:rsidP="00BD5993">
            <w:pPr>
              <w:pStyle w:val="BodyText"/>
            </w:pPr>
            <w:r w:rsidRPr="00BD5993">
              <w:t>The assessor should design integrated assessment activities to holisti</w:t>
            </w:r>
            <w:r w:rsidRPr="00BD5993">
              <w:t>cally assess this unit with other units relevant to the industry sector, workplace and job role, for example:</w:t>
            </w:r>
          </w:p>
          <w:p w:rsidR="00000000" w:rsidRPr="00BD5993" w:rsidP="00BD5993">
            <w:pPr>
              <w:pStyle w:val="ListBullet"/>
            </w:pPr>
            <w:r w:rsidRPr="00BD5993">
              <w:t xml:space="preserve">SITXGLC501 Research and comply with regulatory requirements. </w:t>
            </w:r>
          </w:p>
        </w:tc>
      </w:tr>
    </w:tbl>
    <w:p w:rsidR="00000000" w:rsidRPr="00BD5993" w:rsidP="00BD5993">
      <w:pPr>
        <w:pStyle w:val="BodyText"/>
      </w:pPr>
    </w:p>
    <w:p w:rsidR="00000000" w:rsidRPr="00BD5993" w:rsidP="00BD5993">
      <w:pPr>
        <w:pStyle w:val="AllowPageBreak"/>
      </w:pPr>
    </w:p>
    <w:p w:rsidR="00000000" w:rsidRPr="00BD5993" w:rsidP="00BD5993">
      <w:pPr>
        <w:pStyle w:val="Heading1"/>
      </w:pPr>
      <w:bookmarkStart w:id="11" w:name="O_583606"/>
      <w:bookmarkEnd w:id="11"/>
      <w:r w:rsidRPr="00BD5993">
        <w:t>Range Statement</w:t>
      </w:r>
    </w:p>
    <w:tbl>
      <w:tblPr>
        <w:tblW w:w="0" w:type="auto"/>
        <w:tblCellMar>
          <w:left w:w="62" w:type="dxa"/>
          <w:right w:w="62" w:type="dxa"/>
        </w:tblCellMar>
        <w:tblLook w:val="0000"/>
      </w:tblPr>
      <w:tblGrid>
        <w:gridCol w:w="2690"/>
        <w:gridCol w:w="6506"/>
      </w:tblGrid>
      <w:tr w:rsidTr="00D52C25">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D5993">
            <w:pPr>
              <w:pStyle w:val="BodyText"/>
              <w:rPr>
                <w:lang w:val="en-NZ"/>
              </w:rPr>
            </w:pPr>
            <w:r w:rsidRPr="00BD5993">
              <w:t>The range statement relates to the unit of competency as a whole. It allows for different work environments and situations that may affect performance. Bold italicised wording, if used in the performance criteria, is detailed below. Essential operating con</w:t>
            </w:r>
            <w:r w:rsidRPr="00BD5993">
              <w:t>ditions that may be present with training and assessment (depending on the work situation, needs of the candidate, accessibility of the item, and local industry and regional contexts) may also be included.</w:t>
            </w:r>
          </w:p>
        </w:tc>
      </w:tr>
      <w:tr w:rsidTr="00D52C2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5993">
            <w:pPr>
              <w:pStyle w:val="BodyText"/>
              <w:rPr>
                <w:lang w:val="en-NZ"/>
              </w:rPr>
            </w:pPr>
            <w:r w:rsidRPr="00BD5993">
              <w:rPr>
                <w:rStyle w:val="BoldandItalics"/>
              </w:rPr>
              <w:t>Gaming activities</w:t>
            </w:r>
            <w:r w:rsidRPr="00BD5993">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BD5993" w:rsidP="00BD5993">
            <w:pPr>
              <w:pStyle w:val="ListBullet"/>
            </w:pPr>
            <w:r w:rsidRPr="00BD5993">
              <w:t>electronic gamin</w:t>
            </w:r>
            <w:r w:rsidRPr="00BD5993">
              <w:t>g machines</w:t>
            </w:r>
          </w:p>
          <w:p w:rsidR="00000000" w:rsidRPr="00BD5993" w:rsidP="00BD5993">
            <w:pPr>
              <w:pStyle w:val="ListBullet"/>
            </w:pPr>
            <w:r w:rsidRPr="00BD5993">
              <w:t>Internet gaming</w:t>
            </w:r>
          </w:p>
          <w:p w:rsidR="00000000" w:rsidRPr="00BD5993" w:rsidP="00BD5993">
            <w:pPr>
              <w:pStyle w:val="ListBullet"/>
            </w:pPr>
            <w:r w:rsidRPr="00BD5993">
              <w:t>Keno</w:t>
            </w:r>
          </w:p>
          <w:p w:rsidR="00000000" w:rsidRPr="00BD5993" w:rsidP="00BD5993">
            <w:pPr>
              <w:pStyle w:val="ListBullet"/>
            </w:pPr>
            <w:r w:rsidRPr="00BD5993">
              <w:t>linked progressive jackpot systems</w:t>
            </w:r>
          </w:p>
          <w:p w:rsidR="00000000" w:rsidRPr="00BD5993" w:rsidP="00BD5993">
            <w:pPr>
              <w:pStyle w:val="ListBullet"/>
            </w:pPr>
            <w:r w:rsidRPr="00BD5993">
              <w:t>Multi-Terminal Gaming Machines (MTGMs)</w:t>
            </w:r>
          </w:p>
          <w:p w:rsidR="00000000" w:rsidRPr="00BD5993" w:rsidP="00BD5993">
            <w:pPr>
              <w:pStyle w:val="ListBullet"/>
            </w:pPr>
            <w:r w:rsidRPr="00BD5993">
              <w:t>sports betting</w:t>
            </w:r>
          </w:p>
          <w:p w:rsidR="00000000" w:rsidP="00BD5993">
            <w:pPr>
              <w:pStyle w:val="ListBullet"/>
              <w:rPr>
                <w:lang w:val="en-NZ"/>
              </w:rPr>
            </w:pPr>
            <w:r w:rsidRPr="00BD5993">
              <w:t>TAB.</w:t>
            </w:r>
          </w:p>
        </w:tc>
      </w:tr>
      <w:tr w:rsidTr="00D52C2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5993">
            <w:pPr>
              <w:pStyle w:val="BodyText"/>
              <w:rPr>
                <w:lang w:val="en-NZ"/>
              </w:rPr>
            </w:pPr>
            <w:r w:rsidRPr="00BD5993">
              <w:rPr>
                <w:rStyle w:val="BoldandItalics"/>
              </w:rPr>
              <w:t xml:space="preserve">Systems </w:t>
            </w:r>
            <w:r w:rsidRPr="00BD5993">
              <w:t>may include:</w:t>
            </w:r>
          </w:p>
        </w:tc>
        <w:tc>
          <w:tcPr>
            <w:tcW w:w="0" w:type="auto"/>
            <w:tcBorders>
              <w:top w:val="nil"/>
              <w:left w:val="nil"/>
              <w:bottom w:val="nil"/>
              <w:right w:val="nil"/>
            </w:tcBorders>
            <w:tcMar>
              <w:top w:w="0" w:type="dxa"/>
              <w:left w:w="62" w:type="dxa"/>
              <w:bottom w:w="0" w:type="dxa"/>
              <w:right w:w="62" w:type="dxa"/>
            </w:tcMar>
          </w:tcPr>
          <w:p w:rsidR="00000000" w:rsidRPr="00BD5993" w:rsidP="00BD5993">
            <w:pPr>
              <w:pStyle w:val="ListBullet"/>
            </w:pPr>
            <w:r w:rsidRPr="00BD5993">
              <w:t>cashcades</w:t>
            </w:r>
          </w:p>
          <w:p w:rsidR="00000000" w:rsidRPr="00BD5993" w:rsidP="00BD5993">
            <w:pPr>
              <w:pStyle w:val="ListBullet"/>
            </w:pPr>
            <w:r w:rsidRPr="00BD5993">
              <w:t>central monitoring</w:t>
            </w:r>
          </w:p>
          <w:p w:rsidR="00000000" w:rsidRPr="00BD5993" w:rsidP="00BD5993">
            <w:pPr>
              <w:pStyle w:val="ListBullet"/>
            </w:pPr>
            <w:r w:rsidRPr="00BD5993">
              <w:t>communication</w:t>
            </w:r>
          </w:p>
          <w:p w:rsidR="00000000" w:rsidRPr="00BD5993" w:rsidP="00BD5993">
            <w:pPr>
              <w:pStyle w:val="ListBullet"/>
            </w:pPr>
            <w:r w:rsidRPr="00BD5993">
              <w:t>data retrieval and promotion systems</w:t>
            </w:r>
          </w:p>
          <w:p w:rsidR="00000000" w:rsidRPr="00BD5993" w:rsidP="00BD5993">
            <w:pPr>
              <w:pStyle w:val="ListBullet"/>
            </w:pPr>
            <w:r w:rsidRPr="00BD5993">
              <w:t>linked progressive jackpot systems, including random and combination</w:t>
            </w:r>
            <w:r w:rsidRPr="00BD5993">
              <w:noBreakHyphen/>
              <w:t>specific jackpots</w:t>
            </w:r>
          </w:p>
          <w:p w:rsidR="00000000" w:rsidP="00BD5993">
            <w:pPr>
              <w:pStyle w:val="ListBullet"/>
              <w:rPr>
                <w:lang w:val="en-NZ"/>
              </w:rPr>
            </w:pPr>
            <w:r w:rsidRPr="00BD5993">
              <w:t>membership reward systems.</w:t>
            </w:r>
          </w:p>
        </w:tc>
      </w:tr>
      <w:tr w:rsidTr="00D52C2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5993">
            <w:pPr>
              <w:pStyle w:val="BodyText"/>
              <w:rPr>
                <w:lang w:val="en-NZ"/>
              </w:rPr>
            </w:pPr>
            <w:r w:rsidRPr="00BD5993">
              <w:rPr>
                <w:rStyle w:val="BoldandItalics"/>
              </w:rPr>
              <w:t>Furniture</w:t>
            </w:r>
            <w:r w:rsidRPr="00BD5993">
              <w:t xml:space="preserve">, </w:t>
            </w:r>
            <w:r w:rsidRPr="00BD5993">
              <w:rPr>
                <w:rStyle w:val="BoldandItalics"/>
              </w:rPr>
              <w:t>equipment and fittings</w:t>
            </w:r>
            <w:r w:rsidRPr="00BD5993">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BD5993" w:rsidP="00BD5993">
            <w:pPr>
              <w:pStyle w:val="ListBullet"/>
            </w:pPr>
            <w:r w:rsidRPr="00BD5993">
              <w:t>cabling</w:t>
            </w:r>
          </w:p>
          <w:p w:rsidR="00000000" w:rsidRPr="00BD5993" w:rsidP="00BD5993">
            <w:pPr>
              <w:pStyle w:val="ListBullet"/>
            </w:pPr>
            <w:r w:rsidRPr="00BD5993">
              <w:t>change machines</w:t>
            </w:r>
          </w:p>
          <w:p w:rsidR="00000000" w:rsidRPr="00BD5993" w:rsidP="00BD5993">
            <w:pPr>
              <w:pStyle w:val="ListBullet"/>
            </w:pPr>
            <w:r w:rsidRPr="00BD5993">
              <w:t>lighting and signage</w:t>
            </w:r>
          </w:p>
          <w:p w:rsidR="00000000" w:rsidRPr="00BD5993" w:rsidP="00BD5993">
            <w:pPr>
              <w:pStyle w:val="ListBullet"/>
            </w:pPr>
            <w:r w:rsidRPr="00BD5993">
              <w:t>power</w:t>
            </w:r>
          </w:p>
          <w:p w:rsidR="00000000" w:rsidRPr="00BD5993" w:rsidP="00BD5993">
            <w:pPr>
              <w:pStyle w:val="ListBullet"/>
            </w:pPr>
            <w:r w:rsidRPr="00BD5993">
              <w:t>seating</w:t>
            </w:r>
          </w:p>
          <w:p w:rsidR="00000000" w:rsidP="00BD5993">
            <w:pPr>
              <w:pStyle w:val="ListBullet"/>
              <w:rPr>
                <w:lang w:val="en-NZ"/>
              </w:rPr>
            </w:pPr>
            <w:r w:rsidRPr="00BD5993">
              <w:t>security systems.</w:t>
            </w:r>
          </w:p>
        </w:tc>
      </w:tr>
      <w:tr w:rsidTr="00D52C25">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BD5993">
            <w:pPr>
              <w:pStyle w:val="BodyText"/>
              <w:rPr>
                <w:lang w:val="en-NZ"/>
              </w:rPr>
            </w:pPr>
            <w:r w:rsidRPr="00BD5993">
              <w:rPr>
                <w:rStyle w:val="BoldandItalics"/>
              </w:rPr>
              <w:t>Key considerations</w:t>
            </w:r>
            <w:r w:rsidRPr="00BD5993">
              <w:t xml:space="preserve"> includes:</w:t>
            </w:r>
          </w:p>
        </w:tc>
        <w:tc>
          <w:tcPr>
            <w:tcW w:w="0" w:type="auto"/>
            <w:tcBorders>
              <w:top w:val="nil"/>
              <w:left w:val="nil"/>
              <w:bottom w:val="nil"/>
              <w:right w:val="nil"/>
            </w:tcBorders>
            <w:tcMar>
              <w:top w:w="0" w:type="dxa"/>
              <w:left w:w="62" w:type="dxa"/>
              <w:bottom w:w="0" w:type="dxa"/>
              <w:right w:w="62" w:type="dxa"/>
            </w:tcMar>
          </w:tcPr>
          <w:p w:rsidR="00000000" w:rsidRPr="00BD5993" w:rsidP="00BD5993">
            <w:pPr>
              <w:pStyle w:val="ListBullet"/>
            </w:pPr>
            <w:r w:rsidRPr="00BD5993">
              <w:t>customer considerations:</w:t>
            </w:r>
          </w:p>
          <w:p w:rsidR="00000000" w:rsidRPr="00BD5993" w:rsidP="00BD5993">
            <w:pPr>
              <w:pStyle w:val="ListBullet2"/>
            </w:pPr>
            <w:r w:rsidRPr="00BD5993">
              <w:t>accessibility</w:t>
            </w:r>
          </w:p>
          <w:p w:rsidR="00000000" w:rsidRPr="00BD5993" w:rsidP="00BD5993">
            <w:pPr>
              <w:pStyle w:val="ListBullet2"/>
            </w:pPr>
            <w:r w:rsidRPr="00BD5993">
              <w:t>gaming preferences</w:t>
            </w:r>
          </w:p>
          <w:p w:rsidR="00000000" w:rsidRPr="00BD5993" w:rsidP="00BD5993">
            <w:pPr>
              <w:pStyle w:val="ListBullet2"/>
            </w:pPr>
            <w:r w:rsidRPr="00BD5993">
              <w:t>player comfort</w:t>
            </w:r>
          </w:p>
          <w:p w:rsidR="00000000" w:rsidRPr="00BD5993" w:rsidP="00BD5993">
            <w:pPr>
              <w:pStyle w:val="ListBullet"/>
            </w:pPr>
            <w:r w:rsidRPr="00BD5993">
              <w:t>decor</w:t>
            </w:r>
          </w:p>
          <w:p w:rsidR="00000000" w:rsidRPr="00BD5993" w:rsidP="00BD5993">
            <w:pPr>
              <w:pStyle w:val="ListBullet"/>
            </w:pPr>
            <w:r w:rsidRPr="00BD5993">
              <w:t>legislative requirements</w:t>
            </w:r>
          </w:p>
          <w:p w:rsidR="00000000" w:rsidRPr="00BD5993" w:rsidP="00BD5993">
            <w:pPr>
              <w:pStyle w:val="ListBullet"/>
            </w:pPr>
            <w:r w:rsidRPr="00BD5993">
              <w:t>noise levels</w:t>
            </w:r>
          </w:p>
          <w:p w:rsidR="00000000" w:rsidRPr="00BD5993" w:rsidP="00BD5993">
            <w:pPr>
              <w:pStyle w:val="ListBullet"/>
            </w:pPr>
            <w:r w:rsidRPr="00BD5993">
              <w:t>theming</w:t>
            </w:r>
          </w:p>
          <w:p w:rsidR="00000000" w:rsidP="00BD5993">
            <w:pPr>
              <w:pStyle w:val="ListBullet"/>
              <w:rPr>
                <w:lang w:val="en-NZ"/>
              </w:rPr>
            </w:pPr>
            <w:r w:rsidRPr="00BD5993">
              <w:t>traffic and work flow.</w:t>
            </w:r>
          </w:p>
        </w:tc>
      </w:tr>
      <w:tr w:rsidTr="00D52C2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5993">
            <w:pPr>
              <w:pStyle w:val="BodyText"/>
              <w:rPr>
                <w:lang w:val="en-NZ"/>
              </w:rPr>
            </w:pPr>
            <w:r w:rsidRPr="00BD5993">
              <w:rPr>
                <w:rStyle w:val="BoldandItalics"/>
              </w:rPr>
              <w:t>Promotional activities</w:t>
            </w:r>
            <w:r w:rsidRPr="00BD5993">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BD5993" w:rsidP="00BD5993">
            <w:pPr>
              <w:pStyle w:val="ListBullet"/>
            </w:pPr>
            <w:r w:rsidRPr="00BD5993">
              <w:t>cross-promotional activities with other operational areas</w:t>
            </w:r>
          </w:p>
          <w:p w:rsidR="00000000" w:rsidRPr="00BD5993" w:rsidP="00BD5993">
            <w:pPr>
              <w:pStyle w:val="ListBullet"/>
            </w:pPr>
            <w:r w:rsidRPr="00BD5993">
              <w:t>member reward systems</w:t>
            </w:r>
          </w:p>
          <w:p w:rsidR="00000000" w:rsidRPr="00BD5993" w:rsidP="00BD5993">
            <w:pPr>
              <w:pStyle w:val="ListBullet"/>
            </w:pPr>
            <w:r w:rsidRPr="00BD5993">
              <w:t>player reward systems</w:t>
            </w:r>
          </w:p>
          <w:p w:rsidR="00000000" w:rsidP="00BD5993">
            <w:pPr>
              <w:pStyle w:val="ListBullet"/>
              <w:rPr>
                <w:lang w:val="en-NZ"/>
              </w:rPr>
            </w:pPr>
            <w:r w:rsidRPr="00BD5993">
              <w:t>promotional events.</w:t>
            </w:r>
          </w:p>
        </w:tc>
      </w:tr>
      <w:tr w:rsidTr="00D52C2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5993">
            <w:pPr>
              <w:pStyle w:val="BodyText"/>
              <w:rPr>
                <w:lang w:val="en-NZ"/>
              </w:rPr>
            </w:pPr>
            <w:r w:rsidRPr="00BD5993">
              <w:rPr>
                <w:rStyle w:val="BoldandItalics"/>
              </w:rPr>
              <w:t>Business and customer needs</w:t>
            </w:r>
            <w:r w:rsidRPr="00BD5993">
              <w:t xml:space="preserve"> includes:</w:t>
            </w:r>
          </w:p>
        </w:tc>
        <w:tc>
          <w:tcPr>
            <w:tcW w:w="0" w:type="auto"/>
            <w:tcBorders>
              <w:top w:val="nil"/>
              <w:left w:val="nil"/>
              <w:bottom w:val="nil"/>
              <w:right w:val="nil"/>
            </w:tcBorders>
            <w:tcMar>
              <w:top w:w="0" w:type="dxa"/>
              <w:left w:w="62" w:type="dxa"/>
              <w:bottom w:w="0" w:type="dxa"/>
              <w:right w:w="62" w:type="dxa"/>
            </w:tcMar>
          </w:tcPr>
          <w:p w:rsidR="00000000" w:rsidRPr="00BD5993" w:rsidP="00BD5993">
            <w:pPr>
              <w:pStyle w:val="ListBullet"/>
            </w:pPr>
            <w:r w:rsidRPr="00BD5993">
              <w:t>budgets</w:t>
            </w:r>
          </w:p>
          <w:p w:rsidR="00000000" w:rsidRPr="00BD5993" w:rsidP="00BD5993">
            <w:pPr>
              <w:pStyle w:val="ListBullet"/>
            </w:pPr>
            <w:r w:rsidRPr="00BD5993">
              <w:t>demographics</w:t>
            </w:r>
          </w:p>
          <w:p w:rsidR="00000000" w:rsidRPr="00BD5993" w:rsidP="00BD5993">
            <w:pPr>
              <w:pStyle w:val="ListBullet"/>
            </w:pPr>
            <w:r w:rsidRPr="00BD5993">
              <w:t>geography</w:t>
            </w:r>
          </w:p>
          <w:p w:rsidR="00000000" w:rsidRPr="00BD5993" w:rsidP="00BD5993">
            <w:pPr>
              <w:pStyle w:val="ListBullet"/>
            </w:pPr>
            <w:r w:rsidRPr="00BD5993">
              <w:t>industry trends</w:t>
            </w:r>
          </w:p>
          <w:p w:rsidR="00000000" w:rsidRPr="00BD5993" w:rsidP="00BD5993">
            <w:pPr>
              <w:pStyle w:val="ListBullet"/>
            </w:pPr>
            <w:r w:rsidRPr="00BD5993">
              <w:t>legislative requirements</w:t>
            </w:r>
          </w:p>
          <w:p w:rsidR="00000000" w:rsidRPr="00BD5993" w:rsidP="00BD5993">
            <w:pPr>
              <w:pStyle w:val="ListBullet"/>
            </w:pPr>
            <w:r w:rsidRPr="00BD5993">
              <w:t>player loyalty</w:t>
            </w:r>
          </w:p>
          <w:p w:rsidR="00000000" w:rsidRPr="00BD5993" w:rsidP="00BD5993">
            <w:pPr>
              <w:pStyle w:val="ListBullet"/>
            </w:pPr>
            <w:r w:rsidRPr="00BD5993">
              <w:t>responsible gaming</w:t>
            </w:r>
          </w:p>
          <w:p w:rsidR="00000000" w:rsidP="00BD5993">
            <w:pPr>
              <w:pStyle w:val="ListBullet"/>
              <w:rPr>
                <w:lang w:val="en-NZ"/>
              </w:rPr>
            </w:pPr>
            <w:r w:rsidRPr="00BD5993">
              <w:t>themes.</w:t>
            </w:r>
          </w:p>
        </w:tc>
      </w:tr>
      <w:tr w:rsidTr="00D52C2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5993">
            <w:pPr>
              <w:pStyle w:val="BodyText"/>
              <w:rPr>
                <w:lang w:val="en-NZ"/>
              </w:rPr>
            </w:pPr>
            <w:r w:rsidRPr="00BD5993">
              <w:rPr>
                <w:rStyle w:val="BoldandItalics"/>
              </w:rPr>
              <w:t>Security policies and procedures</w:t>
            </w:r>
            <w:r w:rsidRPr="00BD5993">
              <w:t xml:space="preserve"> relevant to gaming activities may include:</w:t>
            </w:r>
          </w:p>
        </w:tc>
        <w:tc>
          <w:tcPr>
            <w:tcW w:w="0" w:type="auto"/>
            <w:tcBorders>
              <w:top w:val="nil"/>
              <w:left w:val="nil"/>
              <w:bottom w:val="nil"/>
              <w:right w:val="nil"/>
            </w:tcBorders>
            <w:tcMar>
              <w:top w:w="0" w:type="dxa"/>
              <w:left w:w="62" w:type="dxa"/>
              <w:bottom w:w="0" w:type="dxa"/>
              <w:right w:w="62" w:type="dxa"/>
            </w:tcMar>
          </w:tcPr>
          <w:p w:rsidR="00000000" w:rsidRPr="00BD5993" w:rsidP="00BD5993">
            <w:pPr>
              <w:pStyle w:val="ListBullet"/>
            </w:pPr>
            <w:r w:rsidRPr="00BD5993">
              <w:t>cash control</w:t>
            </w:r>
          </w:p>
          <w:p w:rsidR="00000000" w:rsidRPr="00BD5993" w:rsidP="00BD5993">
            <w:pPr>
              <w:pStyle w:val="ListBullet"/>
            </w:pPr>
            <w:r w:rsidRPr="00BD5993">
              <w:t>closed-circuit television monitoring</w:t>
            </w:r>
          </w:p>
          <w:p w:rsidR="00000000" w:rsidRPr="00BD5993" w:rsidP="00BD5993">
            <w:pPr>
              <w:pStyle w:val="ListBullet"/>
            </w:pPr>
            <w:r w:rsidRPr="00BD5993">
              <w:t>investigation into discrepancies in reports and accounts</w:t>
            </w:r>
          </w:p>
          <w:p w:rsidR="00000000" w:rsidRPr="00BD5993" w:rsidP="00BD5993">
            <w:pPr>
              <w:pStyle w:val="ListBullet"/>
            </w:pPr>
            <w:r w:rsidRPr="00BD5993">
              <w:t>key access and control systems</w:t>
            </w:r>
          </w:p>
          <w:p w:rsidR="00000000" w:rsidRPr="00BD5993" w:rsidP="00BD5993">
            <w:pPr>
              <w:pStyle w:val="ListBullet"/>
            </w:pPr>
            <w:r w:rsidRPr="00BD5993">
              <w:t>security clea</w:t>
            </w:r>
            <w:r w:rsidRPr="00BD5993">
              <w:t>rance procedures, including security checks of staff and players</w:t>
            </w:r>
          </w:p>
          <w:p w:rsidR="00000000" w:rsidP="00BD5993">
            <w:pPr>
              <w:pStyle w:val="ListBullet"/>
              <w:rPr>
                <w:lang w:val="en-NZ"/>
              </w:rPr>
            </w:pPr>
            <w:r w:rsidRPr="00BD5993">
              <w:t>specialist security activities.</w:t>
            </w:r>
          </w:p>
        </w:tc>
      </w:tr>
      <w:tr w:rsidTr="00D52C2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D5993">
            <w:pPr>
              <w:pStyle w:val="BodyText"/>
              <w:rPr>
                <w:lang w:val="en-NZ"/>
              </w:rPr>
            </w:pPr>
            <w:r w:rsidRPr="00BD5993">
              <w:rPr>
                <w:rStyle w:val="BoldandItalics"/>
              </w:rPr>
              <w:t>Information and signage</w:t>
            </w:r>
            <w:r w:rsidRPr="00BD5993">
              <w:t xml:space="preserve"> on gaming activities to be provided may include:</w:t>
            </w:r>
          </w:p>
        </w:tc>
        <w:tc>
          <w:tcPr>
            <w:tcW w:w="0" w:type="auto"/>
            <w:tcBorders>
              <w:top w:val="nil"/>
              <w:left w:val="nil"/>
              <w:bottom w:val="nil"/>
              <w:right w:val="nil"/>
            </w:tcBorders>
            <w:tcMar>
              <w:top w:w="0" w:type="dxa"/>
              <w:left w:w="62" w:type="dxa"/>
              <w:bottom w:w="0" w:type="dxa"/>
              <w:right w:w="62" w:type="dxa"/>
            </w:tcMar>
          </w:tcPr>
          <w:p w:rsidR="00000000" w:rsidRPr="00BD5993" w:rsidP="00BD5993">
            <w:pPr>
              <w:pStyle w:val="ListBullet"/>
            </w:pPr>
            <w:r w:rsidRPr="00BD5993">
              <w:t>available games and game rules</w:t>
            </w:r>
          </w:p>
          <w:p w:rsidR="00000000" w:rsidRPr="00BD5993" w:rsidP="00BD5993">
            <w:pPr>
              <w:pStyle w:val="ListBullet"/>
            </w:pPr>
            <w:r w:rsidRPr="00BD5993">
              <w:t>available problem gambling support services</w:t>
            </w:r>
          </w:p>
          <w:p w:rsidR="00000000" w:rsidRPr="00BD5993" w:rsidP="00BD5993">
            <w:pPr>
              <w:pStyle w:val="ListBullet"/>
            </w:pPr>
            <w:r w:rsidRPr="00BD5993">
              <w:t>complaints resolution processes</w:t>
            </w:r>
          </w:p>
          <w:p w:rsidR="00000000" w:rsidRPr="00BD5993" w:rsidP="00BD5993">
            <w:pPr>
              <w:pStyle w:val="ListBullet"/>
            </w:pPr>
            <w:r w:rsidRPr="00BD5993">
              <w:t>exclusion provisions</w:t>
            </w:r>
          </w:p>
          <w:p w:rsidR="00000000" w:rsidRPr="00BD5993" w:rsidP="00BD5993">
            <w:pPr>
              <w:pStyle w:val="ListBullet"/>
            </w:pPr>
            <w:r w:rsidRPr="00BD5993">
              <w:t>hours of gambling services</w:t>
            </w:r>
          </w:p>
          <w:p w:rsidR="00000000" w:rsidRPr="00BD5993" w:rsidP="00BD5993">
            <w:pPr>
              <w:pStyle w:val="ListBullet"/>
            </w:pPr>
            <w:r w:rsidRPr="00BD5993">
              <w:t xml:space="preserve">policy and mission statement on responsible gambling </w:t>
            </w:r>
          </w:p>
          <w:p w:rsidR="00000000" w:rsidRPr="00BD5993" w:rsidP="00BD5993">
            <w:pPr>
              <w:pStyle w:val="ListBullet"/>
            </w:pPr>
            <w:r w:rsidRPr="00BD5993">
              <w:t>information on odds, win rates or return rates to player.</w:t>
            </w:r>
          </w:p>
        </w:tc>
      </w:tr>
    </w:tbl>
    <w:p w:rsidR="00000000" w:rsidRPr="00BD5993" w:rsidP="00BD5993">
      <w:pPr>
        <w:pStyle w:val="BodyText"/>
      </w:pPr>
    </w:p>
    <w:p w:rsidR="00000000" w:rsidRPr="00BD5993" w:rsidP="00BD5993">
      <w:pPr>
        <w:pStyle w:val="AllowPageBreak"/>
      </w:pPr>
    </w:p>
    <w:p w:rsidR="00000000" w:rsidRPr="00BD5993" w:rsidP="00BD5993">
      <w:pPr>
        <w:pStyle w:val="Heading1"/>
      </w:pPr>
      <w:bookmarkStart w:id="12" w:name="O_583605"/>
      <w:bookmarkEnd w:id="12"/>
      <w:r w:rsidRPr="00BD5993">
        <w:t>Unit Sector(s)</w:t>
      </w:r>
    </w:p>
    <w:p w:rsidR="00000000" w:rsidRPr="00BD5993" w:rsidP="00BD5993">
      <w:pPr>
        <w:pStyle w:val="BodyText"/>
      </w:pPr>
      <w:r w:rsidRPr="00BD5993">
        <w:t>Hospitality</w:t>
      </w:r>
    </w:p>
    <w:p w:rsidR="00000000" w:rsidRPr="00BD5993" w:rsidP="00BD5993">
      <w:pPr>
        <w:pStyle w:val="AllowPageBreak"/>
      </w:pPr>
    </w:p>
    <w:p w:rsidR="00000000" w:rsidRPr="00BD5993" w:rsidP="00BD5993">
      <w:pPr>
        <w:pStyle w:val="Heading1"/>
      </w:pPr>
      <w:bookmarkStart w:id="13" w:name="O_583604"/>
      <w:bookmarkEnd w:id="13"/>
      <w:r w:rsidRPr="00BD5993">
        <w:t>Competency Field</w:t>
      </w:r>
    </w:p>
    <w:p w:rsidR="00000000" w:rsidRPr="00BD5993" w:rsidP="00BD5993">
      <w:pPr>
        <w:pStyle w:val="BodyText"/>
      </w:pPr>
      <w:r w:rsidRPr="00BD5993">
        <w:t>Gaming</w:t>
      </w:r>
    </w:p>
    <w:p w:rsidR="00000000" w:rsidRPr="00BD5993" w:rsidP="00BD5993"/>
    <w:sectPr w:rsidSect="00BD599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9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993" w:rsidRPr="00D52C25" w:rsidP="00D52C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9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C25" w:rsidP="00BD59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D52C25" w:rsidP="00BD599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D52C25" w:rsidP="00BD59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9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993" w:rsidRPr="00D52C25" w:rsidP="00D52C2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9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C25" w:rsidRPr="002D2AF8" w:rsidP="00BD5993">
    <w:pPr>
      <w:pStyle w:val="Header"/>
      <w:framePr w:wrap="around"/>
    </w:pPr>
    <w:r>
      <w:fldChar w:fldCharType="begin"/>
    </w:r>
    <w:r>
      <w:instrText xml:space="preserve"> TITLE   \* MERGEFORMAT </w:instrText>
    </w:r>
    <w:r>
      <w:fldChar w:fldCharType="separate"/>
    </w:r>
    <w:r>
      <w:t>SITHGAM501 Manage gaming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July 2013</w:t>
    </w:r>
    <w:r>
      <w:fldChar w:fldCharType="end"/>
    </w:r>
  </w:p>
  <w:p w:rsidR="00D52C25" w:rsidP="00BD59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DC80E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9C878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E72E5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59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D5993"/>
    <w:pPr>
      <w:spacing w:before="360" w:after="60"/>
      <w:outlineLvl w:val="0"/>
    </w:pPr>
    <w:rPr>
      <w:sz w:val="32"/>
    </w:rPr>
  </w:style>
  <w:style w:type="paragraph" w:styleId="Heading2">
    <w:name w:val="heading 2"/>
    <w:basedOn w:val="HeadingBase"/>
    <w:next w:val="BodyText"/>
    <w:link w:val="Heading2Char"/>
    <w:qFormat/>
    <w:rsid w:val="00BD5993"/>
    <w:pPr>
      <w:keepLines/>
      <w:spacing w:before="240" w:after="120"/>
      <w:outlineLvl w:val="1"/>
    </w:pPr>
    <w:rPr>
      <w:sz w:val="28"/>
      <w:szCs w:val="40"/>
    </w:rPr>
  </w:style>
  <w:style w:type="paragraph" w:styleId="Heading3">
    <w:name w:val="heading 3"/>
    <w:basedOn w:val="HeadingBase"/>
    <w:next w:val="BodyText"/>
    <w:link w:val="Heading3Char"/>
    <w:qFormat/>
    <w:rsid w:val="00BD5993"/>
    <w:pPr>
      <w:spacing w:before="180" w:after="120"/>
      <w:outlineLvl w:val="2"/>
    </w:pPr>
    <w:rPr>
      <w:spacing w:val="-10"/>
      <w:kern w:val="32"/>
    </w:rPr>
  </w:style>
  <w:style w:type="paragraph" w:styleId="Heading4">
    <w:name w:val="heading 4"/>
    <w:basedOn w:val="HeadingBase"/>
    <w:next w:val="BodyText"/>
    <w:link w:val="Heading4Char"/>
    <w:qFormat/>
    <w:rsid w:val="00BD5993"/>
    <w:pPr>
      <w:spacing w:before="160" w:after="120"/>
      <w:outlineLvl w:val="3"/>
    </w:pPr>
    <w:rPr>
      <w:sz w:val="22"/>
    </w:rPr>
  </w:style>
  <w:style w:type="paragraph" w:styleId="Heading5">
    <w:name w:val="heading 5"/>
    <w:basedOn w:val="HeadingBase"/>
    <w:next w:val="Normal"/>
    <w:link w:val="Heading5Char"/>
    <w:qFormat/>
    <w:rsid w:val="00BD5993"/>
    <w:pPr>
      <w:spacing w:before="80"/>
      <w:outlineLvl w:val="4"/>
    </w:pPr>
    <w:rPr>
      <w:color w:val="918585"/>
      <w:sz w:val="20"/>
    </w:rPr>
  </w:style>
  <w:style w:type="paragraph" w:styleId="Heading6">
    <w:name w:val="heading 6"/>
    <w:basedOn w:val="HeadingBase"/>
    <w:next w:val="Normal"/>
    <w:link w:val="Heading6Char"/>
    <w:qFormat/>
    <w:rsid w:val="00BD5993"/>
    <w:pPr>
      <w:spacing w:before="60"/>
      <w:outlineLvl w:val="5"/>
    </w:pPr>
    <w:rPr>
      <w:color w:val="918585"/>
      <w:sz w:val="20"/>
    </w:rPr>
  </w:style>
  <w:style w:type="paragraph" w:styleId="Heading7">
    <w:name w:val="heading 7"/>
    <w:basedOn w:val="Normal"/>
    <w:next w:val="Normal"/>
    <w:link w:val="Heading7Char"/>
    <w:qFormat/>
    <w:rsid w:val="00BD5993"/>
    <w:pPr>
      <w:ind w:left="720"/>
      <w:outlineLvl w:val="6"/>
    </w:pPr>
    <w:rPr>
      <w:i/>
    </w:rPr>
  </w:style>
  <w:style w:type="paragraph" w:styleId="Heading8">
    <w:name w:val="heading 8"/>
    <w:basedOn w:val="Normal"/>
    <w:next w:val="Normal"/>
    <w:link w:val="Heading8Char"/>
    <w:qFormat/>
    <w:rsid w:val="00BD5993"/>
    <w:pPr>
      <w:ind w:left="720"/>
      <w:outlineLvl w:val="7"/>
    </w:pPr>
    <w:rPr>
      <w:i/>
    </w:rPr>
  </w:style>
  <w:style w:type="paragraph" w:styleId="Heading9">
    <w:name w:val="heading 9"/>
    <w:basedOn w:val="Normal"/>
    <w:next w:val="Normal"/>
    <w:link w:val="Heading9Char"/>
    <w:qFormat/>
    <w:rsid w:val="00BD5993"/>
    <w:pPr>
      <w:ind w:left="720"/>
      <w:outlineLvl w:val="8"/>
    </w:pPr>
    <w:rPr>
      <w:i/>
    </w:rPr>
  </w:style>
  <w:style w:type="character" w:default="1" w:styleId="DefaultParagraphFont">
    <w:name w:val="Default Paragraph Font"/>
    <w:uiPriority w:val="1"/>
    <w:unhideWhenUsed/>
    <w:rsid w:val="00BD59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D5993"/>
  </w:style>
  <w:style w:type="character" w:customStyle="1" w:styleId="Heading1Char">
    <w:name w:val="Heading 1 Char"/>
    <w:basedOn w:val="DefaultParagraphFont"/>
    <w:link w:val="Heading1"/>
    <w:rsid w:val="00BD5993"/>
    <w:rPr>
      <w:rFonts w:ascii="Times New Roman" w:eastAsia="Times New Roman" w:hAnsi="Times New Roman" w:cs="Times New Roman"/>
      <w:b/>
      <w:sz w:val="32"/>
      <w:szCs w:val="20"/>
      <w:lang w:eastAsia="en-US"/>
    </w:rPr>
  </w:style>
  <w:style w:type="paragraph" w:styleId="BodyText">
    <w:name w:val="Body Text"/>
    <w:basedOn w:val="Normal"/>
    <w:link w:val="BodyTextChar"/>
    <w:rsid w:val="00BD599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D5993"/>
    <w:rPr>
      <w:rFonts w:ascii="Times New Roman" w:eastAsia="Times New Roman" w:hAnsi="Times New Roman" w:cs="Times New Roman"/>
      <w:sz w:val="24"/>
      <w:lang w:eastAsia="en-US"/>
    </w:rPr>
  </w:style>
  <w:style w:type="paragraph" w:styleId="List">
    <w:name w:val="List"/>
    <w:basedOn w:val="BodyText"/>
    <w:next w:val="BodyText"/>
    <w:rsid w:val="00BD5993"/>
    <w:pPr>
      <w:tabs>
        <w:tab w:val="left" w:pos="340"/>
      </w:tabs>
      <w:spacing w:before="60" w:after="60"/>
      <w:ind w:left="340" w:hanging="340"/>
    </w:pPr>
  </w:style>
  <w:style w:type="paragraph" w:styleId="ListBullet">
    <w:name w:val="List Bullet"/>
    <w:basedOn w:val="List"/>
    <w:rsid w:val="00BD5993"/>
    <w:pPr>
      <w:numPr>
        <w:numId w:val="13"/>
      </w:numPr>
      <w:tabs>
        <w:tab w:val="clear" w:pos="340"/>
      </w:tabs>
      <w:spacing w:before="40" w:after="40"/>
    </w:pPr>
  </w:style>
  <w:style w:type="character" w:customStyle="1" w:styleId="SpecialBold">
    <w:name w:val="Special Bold"/>
    <w:basedOn w:val="DefaultParagraphFont"/>
    <w:rsid w:val="00BD5993"/>
    <w:rPr>
      <w:b/>
      <w:spacing w:val="0"/>
    </w:rPr>
  </w:style>
  <w:style w:type="paragraph" w:styleId="ListBullet2">
    <w:name w:val="List Bullet 2"/>
    <w:basedOn w:val="List2"/>
    <w:rsid w:val="00BD5993"/>
    <w:pPr>
      <w:numPr>
        <w:numId w:val="14"/>
      </w:numPr>
      <w:tabs>
        <w:tab w:val="clear" w:pos="680"/>
      </w:tabs>
    </w:pPr>
  </w:style>
  <w:style w:type="paragraph" w:customStyle="1" w:styleId="SuperHeading">
    <w:name w:val="SuperHeading"/>
    <w:basedOn w:val="Normal"/>
    <w:rsid w:val="00BD5993"/>
    <w:pPr>
      <w:spacing w:before="240" w:after="120"/>
      <w:outlineLvl w:val="0"/>
    </w:pPr>
    <w:rPr>
      <w:rFonts w:ascii="Times New Roman" w:hAnsi="Times New Roman"/>
      <w:b/>
      <w:sz w:val="32"/>
    </w:rPr>
  </w:style>
  <w:style w:type="paragraph" w:customStyle="1" w:styleId="AllowPageBreak">
    <w:name w:val="AllowPageBreak"/>
    <w:rsid w:val="00BD599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D5993"/>
    <w:pPr>
      <w:tabs>
        <w:tab w:val="left" w:pos="680"/>
      </w:tabs>
      <w:spacing w:before="60" w:after="60"/>
      <w:ind w:left="680" w:hanging="340"/>
    </w:pPr>
  </w:style>
  <w:style w:type="character" w:customStyle="1" w:styleId="BoldandItalics">
    <w:name w:val="Bold and Italics"/>
    <w:qFormat/>
    <w:rsid w:val="00BD5993"/>
    <w:rPr>
      <w:b/>
      <w:i/>
      <w:u w:val="none"/>
    </w:rPr>
  </w:style>
  <w:style w:type="character" w:customStyle="1" w:styleId="Heading2Char">
    <w:name w:val="Heading 2 Char"/>
    <w:basedOn w:val="DefaultParagraphFont"/>
    <w:link w:val="Heading2"/>
    <w:rsid w:val="00BD59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D59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D59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D59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D59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D59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D59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D5993"/>
    <w:rPr>
      <w:rFonts w:ascii="Courier New" w:eastAsia="Times New Roman" w:hAnsi="Courier New" w:cs="Times New Roman"/>
      <w:i/>
      <w:szCs w:val="20"/>
      <w:lang w:eastAsia="en-US"/>
    </w:rPr>
  </w:style>
  <w:style w:type="paragraph" w:customStyle="1" w:styleId="HeadingBase">
    <w:name w:val="Heading Base"/>
    <w:rsid w:val="00BD59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D5993"/>
    <w:pPr>
      <w:tabs>
        <w:tab w:val="right" w:leader="dot" w:pos="9072"/>
      </w:tabs>
      <w:ind w:left="567"/>
    </w:pPr>
    <w:rPr>
      <w:szCs w:val="22"/>
    </w:rPr>
  </w:style>
  <w:style w:type="paragraph" w:customStyle="1" w:styleId="TOCBase">
    <w:name w:val="TOC Base"/>
    <w:rsid w:val="00BD59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D5993"/>
    <w:pPr>
      <w:tabs>
        <w:tab w:val="right" w:leader="dot" w:pos="9072"/>
      </w:tabs>
      <w:spacing w:before="40" w:after="40"/>
      <w:ind w:left="284"/>
    </w:pPr>
    <w:rPr>
      <w:rFonts w:ascii="Times New Roman" w:hAnsi="Times New Roman"/>
    </w:rPr>
  </w:style>
  <w:style w:type="paragraph" w:styleId="TOC1">
    <w:name w:val="toc 1"/>
    <w:basedOn w:val="TOCBase"/>
    <w:next w:val="Normal"/>
    <w:rsid w:val="00BD59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D59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D5993"/>
    <w:rPr>
      <w:rFonts w:ascii="Times New Roman" w:eastAsia="Times New Roman" w:hAnsi="Times New Roman" w:cs="Times New Roman"/>
      <w:sz w:val="16"/>
      <w:lang w:eastAsia="en-US"/>
    </w:rPr>
  </w:style>
  <w:style w:type="paragraph" w:styleId="Title">
    <w:name w:val="Title"/>
    <w:basedOn w:val="HeadingBase"/>
    <w:link w:val="TitleChar"/>
    <w:qFormat/>
    <w:rsid w:val="00BD5993"/>
    <w:pPr>
      <w:spacing w:before="5040"/>
      <w:jc w:val="center"/>
    </w:pPr>
    <w:rPr>
      <w:sz w:val="48"/>
      <w:szCs w:val="72"/>
      <w:lang w:val="en-US"/>
    </w:rPr>
  </w:style>
  <w:style w:type="character" w:customStyle="1" w:styleId="TitleChar">
    <w:name w:val="Title Char"/>
    <w:basedOn w:val="DefaultParagraphFont"/>
    <w:link w:val="Title"/>
    <w:rsid w:val="00BD59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D5993"/>
    <w:pPr>
      <w:tabs>
        <w:tab w:val="left" w:pos="3600"/>
        <w:tab w:val="left" w:pos="3958"/>
      </w:tabs>
    </w:pPr>
  </w:style>
  <w:style w:type="paragraph" w:customStyle="1" w:styleId="Note">
    <w:name w:val="Note"/>
    <w:basedOn w:val="BodyText"/>
    <w:rsid w:val="00BD59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D5993"/>
    <w:pPr>
      <w:framePr w:wrap="auto" w:hAnchor="text" w:y="6049"/>
    </w:pPr>
    <w:rPr>
      <w:color w:val="000000"/>
      <w:sz w:val="40"/>
    </w:rPr>
  </w:style>
  <w:style w:type="paragraph" w:customStyle="1" w:styleId="TOCTitle">
    <w:name w:val="TOCTitle"/>
    <w:basedOn w:val="Heading1"/>
    <w:rsid w:val="00BD5993"/>
    <w:pPr>
      <w:spacing w:after="240"/>
      <w:jc w:val="center"/>
      <w:outlineLvl w:val="9"/>
    </w:pPr>
    <w:rPr>
      <w:caps/>
    </w:rPr>
  </w:style>
  <w:style w:type="paragraph" w:customStyle="1" w:styleId="Version">
    <w:name w:val="Version"/>
    <w:rsid w:val="00BD59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D5993"/>
    <w:pPr>
      <w:keepNext w:val="0"/>
      <w:tabs>
        <w:tab w:val="right" w:pos="4176"/>
      </w:tabs>
      <w:ind w:left="198" w:hanging="198"/>
    </w:pPr>
    <w:rPr>
      <w:rFonts w:ascii="Garamond" w:hAnsi="Garamond"/>
    </w:rPr>
  </w:style>
  <w:style w:type="paragraph" w:styleId="IndexHeading">
    <w:name w:val="index heading"/>
    <w:basedOn w:val="Normal"/>
    <w:next w:val="Index1"/>
    <w:semiHidden/>
    <w:rsid w:val="00BD5993"/>
    <w:pPr>
      <w:spacing w:before="120" w:after="120"/>
    </w:pPr>
    <w:rPr>
      <w:rFonts w:ascii="Arial" w:hAnsi="Arial"/>
      <w:b/>
      <w:color w:val="918585"/>
      <w:sz w:val="24"/>
    </w:rPr>
  </w:style>
  <w:style w:type="paragraph" w:styleId="Header">
    <w:name w:val="header"/>
    <w:basedOn w:val="Normal"/>
    <w:link w:val="HeaderChar"/>
    <w:rsid w:val="00BD59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D5993"/>
    <w:rPr>
      <w:rFonts w:ascii="Times New Roman" w:eastAsia="Times New Roman" w:hAnsi="Times New Roman" w:cs="Times New Roman"/>
      <w:sz w:val="16"/>
      <w:szCs w:val="20"/>
      <w:lang w:val="en-GB" w:eastAsia="en-US"/>
    </w:rPr>
  </w:style>
  <w:style w:type="paragraph" w:customStyle="1" w:styleId="Chapter">
    <w:name w:val="Chapter"/>
    <w:basedOn w:val="Normal"/>
    <w:rsid w:val="00BD5993"/>
    <w:pPr>
      <w:spacing w:before="240"/>
    </w:pPr>
    <w:rPr>
      <w:rFonts w:ascii="Times New Roman" w:hAnsi="Times New Roman"/>
      <w:smallCaps/>
      <w:spacing w:val="80"/>
      <w:sz w:val="28"/>
    </w:rPr>
  </w:style>
  <w:style w:type="paragraph" w:customStyle="1" w:styleId="InChapter">
    <w:name w:val="InChapter"/>
    <w:basedOn w:val="Heading3"/>
    <w:rsid w:val="00BD5993"/>
    <w:pPr>
      <w:spacing w:after="240"/>
      <w:outlineLvl w:val="9"/>
    </w:pPr>
    <w:rPr>
      <w:noProof/>
    </w:rPr>
  </w:style>
  <w:style w:type="paragraph" w:styleId="Index2">
    <w:name w:val="index 2"/>
    <w:basedOn w:val="Normal"/>
    <w:next w:val="Normal"/>
    <w:semiHidden/>
    <w:rsid w:val="00BD5993"/>
    <w:pPr>
      <w:tabs>
        <w:tab w:val="right" w:pos="4176"/>
      </w:tabs>
      <w:ind w:left="568" w:hanging="284"/>
    </w:pPr>
    <w:rPr>
      <w:rFonts w:ascii="Garamond" w:hAnsi="Garamond"/>
    </w:rPr>
  </w:style>
  <w:style w:type="paragraph" w:customStyle="1" w:styleId="Byline">
    <w:name w:val="Byline"/>
    <w:rsid w:val="00BD59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D5993"/>
    <w:pPr>
      <w:tabs>
        <w:tab w:val="clear" w:pos="3600"/>
        <w:tab w:val="clear" w:pos="3958"/>
      </w:tabs>
      <w:jc w:val="right"/>
    </w:pPr>
  </w:style>
  <w:style w:type="character" w:styleId="Emphasis">
    <w:name w:val="Emphasis"/>
    <w:basedOn w:val="DefaultParagraphFont"/>
    <w:qFormat/>
    <w:rsid w:val="00BD5993"/>
    <w:rPr>
      <w:i/>
    </w:rPr>
  </w:style>
  <w:style w:type="paragraph" w:styleId="Caption">
    <w:name w:val="caption"/>
    <w:basedOn w:val="BodyText"/>
    <w:next w:val="Normal"/>
    <w:qFormat/>
    <w:rsid w:val="00BD5993"/>
    <w:pPr>
      <w:framePr w:w="2268" w:hSpace="181" w:vSpace="181" w:wrap="around" w:vAnchor="text" w:hAnchor="page" w:x="1135" w:y="285" w:anchorLock="1"/>
    </w:pPr>
    <w:rPr>
      <w:i/>
    </w:rPr>
  </w:style>
  <w:style w:type="paragraph" w:customStyle="1" w:styleId="MiniTOCTitle">
    <w:name w:val="MiniTOCTitle"/>
    <w:basedOn w:val="Heading4"/>
    <w:rsid w:val="00BD5993"/>
    <w:pPr>
      <w:spacing w:before="240"/>
      <w:outlineLvl w:val="9"/>
    </w:pPr>
    <w:rPr>
      <w:noProof/>
      <w:sz w:val="24"/>
    </w:rPr>
  </w:style>
  <w:style w:type="paragraph" w:customStyle="1" w:styleId="MiniTOCItem">
    <w:name w:val="MiniTOCItem"/>
    <w:basedOn w:val="ListBullet"/>
    <w:rsid w:val="00BD5993"/>
    <w:pPr>
      <w:numPr>
        <w:numId w:val="0"/>
      </w:numPr>
      <w:tabs>
        <w:tab w:val="right" w:leader="dot" w:pos="6521"/>
      </w:tabs>
      <w:spacing w:before="0" w:after="0"/>
    </w:pPr>
  </w:style>
  <w:style w:type="paragraph" w:customStyle="1" w:styleId="TOFTitle">
    <w:name w:val="TOFTitle"/>
    <w:basedOn w:val="TOCTitle"/>
    <w:rsid w:val="00BD5993"/>
  </w:style>
  <w:style w:type="paragraph" w:styleId="TableofFigures">
    <w:name w:val="table of figures"/>
    <w:basedOn w:val="Normal"/>
    <w:next w:val="Normal"/>
    <w:semiHidden/>
    <w:rsid w:val="00BD5993"/>
    <w:pPr>
      <w:tabs>
        <w:tab w:val="right" w:leader="dot" w:pos="9072"/>
      </w:tabs>
      <w:ind w:left="970" w:hanging="403"/>
    </w:pPr>
    <w:rPr>
      <w:rFonts w:ascii="Times New Roman" w:hAnsi="Times New Roman"/>
      <w:b/>
    </w:rPr>
  </w:style>
  <w:style w:type="paragraph" w:styleId="ListNumber">
    <w:name w:val="List Number"/>
    <w:basedOn w:val="List"/>
    <w:rsid w:val="00BD5993"/>
    <w:pPr>
      <w:numPr>
        <w:numId w:val="11"/>
      </w:numPr>
    </w:pPr>
  </w:style>
  <w:style w:type="character" w:customStyle="1" w:styleId="WingdingSymbols">
    <w:name w:val="Wingding Symbols"/>
    <w:rsid w:val="00BD5993"/>
    <w:rPr>
      <w:rFonts w:ascii="Wingdings" w:hAnsi="Wingdings"/>
    </w:rPr>
  </w:style>
  <w:style w:type="paragraph" w:customStyle="1" w:styleId="TableHeading">
    <w:name w:val="Table Heading"/>
    <w:basedOn w:val="HeadingBase"/>
    <w:rsid w:val="00BD5993"/>
    <w:pPr>
      <w:keepLines/>
      <w:pBdr>
        <w:bottom w:val="single" w:sz="6" w:space="1" w:color="918585"/>
      </w:pBdr>
      <w:spacing w:before="240"/>
    </w:pPr>
  </w:style>
  <w:style w:type="character" w:customStyle="1" w:styleId="HotSpot">
    <w:name w:val="HotSpot"/>
    <w:rsid w:val="00BD5993"/>
    <w:rPr>
      <w:color w:val="0033CC"/>
      <w:u w:val="none"/>
    </w:rPr>
  </w:style>
  <w:style w:type="paragraph" w:customStyle="1" w:styleId="BodyTextRight">
    <w:name w:val="Body Text Right"/>
    <w:basedOn w:val="BodyText"/>
    <w:rsid w:val="00BD5993"/>
    <w:pPr>
      <w:spacing w:before="0" w:after="0"/>
      <w:jc w:val="right"/>
    </w:pPr>
  </w:style>
  <w:style w:type="paragraph" w:styleId="Index3">
    <w:name w:val="index 3"/>
    <w:basedOn w:val="ListNumber2"/>
    <w:next w:val="Normal"/>
    <w:semiHidden/>
    <w:rsid w:val="00BD5993"/>
    <w:pPr>
      <w:numPr>
        <w:numId w:val="0"/>
      </w:numPr>
      <w:tabs>
        <w:tab w:val="right" w:leader="dot" w:pos="4176"/>
      </w:tabs>
    </w:pPr>
  </w:style>
  <w:style w:type="paragraph" w:styleId="ListNumber2">
    <w:name w:val="List Number 2"/>
    <w:basedOn w:val="List2"/>
    <w:rsid w:val="00BD5993"/>
    <w:pPr>
      <w:numPr>
        <w:numId w:val="10"/>
      </w:numPr>
      <w:tabs>
        <w:tab w:val="clear" w:pos="1060"/>
      </w:tabs>
    </w:pPr>
  </w:style>
  <w:style w:type="paragraph" w:customStyle="1" w:styleId="MarginNote">
    <w:name w:val="Margin Note"/>
    <w:basedOn w:val="BodyText"/>
    <w:rsid w:val="00BD59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D59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D59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D5993"/>
    <w:rPr>
      <w:sz w:val="32"/>
    </w:rPr>
  </w:style>
  <w:style w:type="paragraph" w:customStyle="1" w:styleId="HeadingProcedure">
    <w:name w:val="Heading Procedure"/>
    <w:basedOn w:val="HeadingBase"/>
    <w:next w:val="Normal"/>
    <w:rsid w:val="00BD5993"/>
    <w:pPr>
      <w:tabs>
        <w:tab w:val="left" w:pos="0"/>
      </w:tabs>
      <w:spacing w:before="120" w:after="60"/>
    </w:pPr>
    <w:rPr>
      <w:i/>
      <w:color w:val="918585"/>
      <w:sz w:val="22"/>
    </w:rPr>
  </w:style>
  <w:style w:type="paragraph" w:customStyle="1" w:styleId="TableBodyText">
    <w:name w:val="Table Body Text"/>
    <w:basedOn w:val="BodyText"/>
    <w:rsid w:val="00BD5993"/>
    <w:pPr>
      <w:spacing w:before="60" w:after="60"/>
    </w:pPr>
  </w:style>
  <w:style w:type="paragraph" w:styleId="ListContinue">
    <w:name w:val="List Continue"/>
    <w:basedOn w:val="List"/>
    <w:rsid w:val="00BD5993"/>
    <w:pPr>
      <w:ind w:firstLine="0"/>
    </w:pPr>
  </w:style>
  <w:style w:type="paragraph" w:customStyle="1" w:styleId="ListNote">
    <w:name w:val="List Note"/>
    <w:basedOn w:val="List"/>
    <w:rsid w:val="00BD5993"/>
    <w:pPr>
      <w:pBdr>
        <w:top w:val="single" w:sz="6" w:space="2" w:color="918585"/>
        <w:bottom w:val="single" w:sz="6" w:space="2" w:color="918585"/>
      </w:pBdr>
      <w:tabs>
        <w:tab w:val="left" w:pos="1021"/>
      </w:tabs>
      <w:ind w:firstLine="0"/>
    </w:pPr>
  </w:style>
  <w:style w:type="paragraph" w:customStyle="1" w:styleId="Warning">
    <w:name w:val="Warning"/>
    <w:basedOn w:val="BodyText"/>
    <w:rsid w:val="00BD5993"/>
    <w:pPr>
      <w:shd w:val="clear" w:color="auto" w:fill="D9D9D9"/>
      <w:tabs>
        <w:tab w:val="left" w:pos="992"/>
      </w:tabs>
      <w:ind w:left="119" w:right="119"/>
    </w:pPr>
    <w:rPr>
      <w:sz w:val="20"/>
    </w:rPr>
  </w:style>
  <w:style w:type="paragraph" w:customStyle="1" w:styleId="MarginIcons">
    <w:name w:val="Margin Icons"/>
    <w:basedOn w:val="BodyText"/>
    <w:rsid w:val="00BD59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D5993"/>
    <w:rPr>
      <w:rFonts w:ascii="Courier New" w:hAnsi="Courier New"/>
    </w:rPr>
  </w:style>
  <w:style w:type="paragraph" w:customStyle="1" w:styleId="NoteBullet">
    <w:name w:val="Note Bullet"/>
    <w:basedOn w:val="Note"/>
    <w:rsid w:val="00BD5993"/>
    <w:pPr>
      <w:tabs>
        <w:tab w:val="clear" w:pos="680"/>
      </w:tabs>
      <w:spacing w:before="60" w:after="60"/>
    </w:pPr>
  </w:style>
  <w:style w:type="paragraph" w:customStyle="1" w:styleId="SubHeading2">
    <w:name w:val="SubHeading2"/>
    <w:basedOn w:val="HeadingBase"/>
    <w:rsid w:val="00BD5993"/>
    <w:pPr>
      <w:spacing w:before="240" w:after="60"/>
    </w:pPr>
    <w:rPr>
      <w:sz w:val="20"/>
    </w:rPr>
  </w:style>
  <w:style w:type="paragraph" w:customStyle="1" w:styleId="SubHeading1">
    <w:name w:val="SubHeading1"/>
    <w:basedOn w:val="HeadingBase"/>
    <w:rsid w:val="00BD5993"/>
    <w:pPr>
      <w:spacing w:before="240" w:after="60"/>
    </w:pPr>
    <w:rPr>
      <w:color w:val="918585"/>
      <w:sz w:val="22"/>
    </w:rPr>
  </w:style>
  <w:style w:type="paragraph" w:customStyle="1" w:styleId="SideHeading">
    <w:name w:val="Side Heading"/>
    <w:basedOn w:val="HeadingBase"/>
    <w:rsid w:val="00BD59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D5993"/>
    <w:pPr>
      <w:numPr>
        <w:numId w:val="12"/>
      </w:numPr>
    </w:pPr>
  </w:style>
  <w:style w:type="paragraph" w:styleId="PlainText">
    <w:name w:val="Plain Text"/>
    <w:basedOn w:val="Normal"/>
    <w:link w:val="PlainTextChar"/>
    <w:rsid w:val="00BD5993"/>
    <w:rPr>
      <w:sz w:val="20"/>
    </w:rPr>
  </w:style>
  <w:style w:type="character" w:customStyle="1" w:styleId="PlainTextChar">
    <w:name w:val="Plain Text Char"/>
    <w:basedOn w:val="DefaultParagraphFont"/>
    <w:link w:val="PlainText"/>
    <w:rsid w:val="00BD5993"/>
    <w:rPr>
      <w:rFonts w:ascii="Courier New" w:eastAsia="Times New Roman" w:hAnsi="Courier New" w:cs="Times New Roman"/>
      <w:sz w:val="20"/>
      <w:szCs w:val="20"/>
      <w:lang w:eastAsia="en-US"/>
    </w:rPr>
  </w:style>
  <w:style w:type="character" w:customStyle="1" w:styleId="MenuOption">
    <w:name w:val="Menu Option"/>
    <w:basedOn w:val="DefaultParagraphFont"/>
    <w:rsid w:val="00BD5993"/>
    <w:rPr>
      <w:b/>
      <w:smallCaps/>
    </w:rPr>
  </w:style>
  <w:style w:type="paragraph" w:customStyle="1" w:styleId="TableListNumber">
    <w:name w:val="Table List Number"/>
    <w:basedOn w:val="ListNumber"/>
    <w:rsid w:val="00BD5993"/>
    <w:pPr>
      <w:numPr>
        <w:numId w:val="0"/>
      </w:numPr>
    </w:pPr>
  </w:style>
  <w:style w:type="paragraph" w:styleId="TOC4">
    <w:name w:val="toc 4"/>
    <w:basedOn w:val="TOCBase"/>
    <w:next w:val="Normal"/>
    <w:semiHidden/>
    <w:rsid w:val="00BD5993"/>
    <w:pPr>
      <w:tabs>
        <w:tab w:val="right" w:leader="dot" w:pos="9071"/>
      </w:tabs>
      <w:ind w:left="1701"/>
    </w:pPr>
  </w:style>
  <w:style w:type="paragraph" w:customStyle="1" w:styleId="ListAlpha">
    <w:name w:val="List Alpha"/>
    <w:basedOn w:val="List"/>
    <w:rsid w:val="00BD5993"/>
    <w:pPr>
      <w:numPr>
        <w:numId w:val="9"/>
      </w:numPr>
    </w:pPr>
  </w:style>
  <w:style w:type="paragraph" w:customStyle="1" w:styleId="ListAlpha2">
    <w:name w:val="List Alpha 2"/>
    <w:basedOn w:val="List2"/>
    <w:rsid w:val="00BD5993"/>
    <w:pPr>
      <w:numPr>
        <w:numId w:val="8"/>
      </w:numPr>
    </w:pPr>
  </w:style>
  <w:style w:type="paragraph" w:styleId="List3">
    <w:name w:val="List 3"/>
    <w:basedOn w:val="BodyText"/>
    <w:rsid w:val="00BD5993"/>
    <w:pPr>
      <w:tabs>
        <w:tab w:val="left" w:pos="1021"/>
      </w:tabs>
      <w:spacing w:before="60" w:after="60"/>
      <w:ind w:left="1020" w:hanging="340"/>
    </w:pPr>
  </w:style>
  <w:style w:type="paragraph" w:styleId="List4">
    <w:name w:val="List 4"/>
    <w:basedOn w:val="BodyText"/>
    <w:rsid w:val="00BD5993"/>
    <w:pPr>
      <w:tabs>
        <w:tab w:val="left" w:pos="1361"/>
      </w:tabs>
      <w:spacing w:before="60" w:after="60"/>
      <w:ind w:left="1361" w:hanging="340"/>
    </w:pPr>
  </w:style>
  <w:style w:type="paragraph" w:styleId="List5">
    <w:name w:val="List 5"/>
    <w:basedOn w:val="BodyText"/>
    <w:rsid w:val="00BD5993"/>
    <w:pPr>
      <w:tabs>
        <w:tab w:val="left" w:pos="1701"/>
      </w:tabs>
      <w:spacing w:before="60" w:after="60"/>
      <w:ind w:left="1701" w:hanging="340"/>
    </w:pPr>
  </w:style>
  <w:style w:type="paragraph" w:styleId="ListBullet3">
    <w:name w:val="List Bullet 3"/>
    <w:basedOn w:val="List3"/>
    <w:rsid w:val="00BD5993"/>
    <w:pPr>
      <w:numPr>
        <w:numId w:val="15"/>
      </w:numPr>
      <w:tabs>
        <w:tab w:val="clear" w:pos="1021"/>
      </w:tabs>
      <w:ind w:left="1037" w:hanging="357"/>
    </w:pPr>
  </w:style>
  <w:style w:type="paragraph" w:styleId="ListBullet4">
    <w:name w:val="List Bullet 4"/>
    <w:basedOn w:val="List4"/>
    <w:rsid w:val="00BD5993"/>
    <w:pPr>
      <w:numPr>
        <w:numId w:val="3"/>
      </w:numPr>
    </w:pPr>
  </w:style>
  <w:style w:type="paragraph" w:styleId="ListBullet5">
    <w:name w:val="List Bullet 5"/>
    <w:basedOn w:val="List5"/>
    <w:rsid w:val="00BD5993"/>
    <w:pPr>
      <w:numPr>
        <w:numId w:val="4"/>
      </w:numPr>
    </w:pPr>
  </w:style>
  <w:style w:type="paragraph" w:styleId="ListContinue2">
    <w:name w:val="List Continue 2"/>
    <w:basedOn w:val="List2"/>
    <w:rsid w:val="00BD5993"/>
    <w:pPr>
      <w:ind w:firstLine="0"/>
    </w:pPr>
  </w:style>
  <w:style w:type="paragraph" w:styleId="ListContinue3">
    <w:name w:val="List Continue 3"/>
    <w:basedOn w:val="List3"/>
    <w:rsid w:val="00BD5993"/>
    <w:pPr>
      <w:ind w:left="1021" w:firstLine="0"/>
    </w:pPr>
  </w:style>
  <w:style w:type="paragraph" w:styleId="ListContinue4">
    <w:name w:val="List Continue 4"/>
    <w:basedOn w:val="List4"/>
    <w:rsid w:val="00BD5993"/>
    <w:pPr>
      <w:ind w:firstLine="0"/>
    </w:pPr>
  </w:style>
  <w:style w:type="paragraph" w:styleId="ListContinue5">
    <w:name w:val="List Continue 5"/>
    <w:basedOn w:val="List5"/>
    <w:rsid w:val="00BD5993"/>
    <w:pPr>
      <w:ind w:firstLine="0"/>
    </w:pPr>
  </w:style>
  <w:style w:type="paragraph" w:styleId="ListNumber3">
    <w:name w:val="List Number 3"/>
    <w:basedOn w:val="List3"/>
    <w:rsid w:val="00BD5993"/>
    <w:pPr>
      <w:numPr>
        <w:numId w:val="5"/>
      </w:numPr>
    </w:pPr>
  </w:style>
  <w:style w:type="paragraph" w:styleId="ListNumber4">
    <w:name w:val="List Number 4"/>
    <w:basedOn w:val="List4"/>
    <w:rsid w:val="00BD5993"/>
    <w:pPr>
      <w:numPr>
        <w:numId w:val="6"/>
      </w:numPr>
    </w:pPr>
  </w:style>
  <w:style w:type="paragraph" w:styleId="ListNumber5">
    <w:name w:val="List Number 5"/>
    <w:basedOn w:val="List5"/>
    <w:rsid w:val="00BD5993"/>
    <w:pPr>
      <w:numPr>
        <w:numId w:val="7"/>
      </w:numPr>
    </w:pPr>
  </w:style>
  <w:style w:type="paragraph" w:styleId="BlockText">
    <w:name w:val="Block Text"/>
    <w:basedOn w:val="Normal"/>
    <w:rsid w:val="00BD5993"/>
    <w:pPr>
      <w:spacing w:after="120"/>
      <w:ind w:left="1440" w:right="1440"/>
    </w:pPr>
  </w:style>
  <w:style w:type="character" w:customStyle="1" w:styleId="Subscript">
    <w:name w:val="Subscript"/>
    <w:basedOn w:val="DefaultParagraphFont"/>
    <w:rsid w:val="00BD5993"/>
    <w:rPr>
      <w:sz w:val="16"/>
      <w:vertAlign w:val="subscript"/>
    </w:rPr>
  </w:style>
  <w:style w:type="character" w:customStyle="1" w:styleId="Superscript">
    <w:name w:val="Superscript"/>
    <w:basedOn w:val="DefaultParagraphFont"/>
    <w:rsid w:val="00BD5993"/>
    <w:rPr>
      <w:sz w:val="16"/>
      <w:vertAlign w:val="superscript"/>
    </w:rPr>
  </w:style>
  <w:style w:type="character" w:customStyle="1" w:styleId="Symbols">
    <w:name w:val="Symbols"/>
    <w:basedOn w:val="DefaultParagraphFont"/>
    <w:rsid w:val="00BD5993"/>
    <w:rPr>
      <w:rFonts w:ascii="Symbol" w:hAnsi="Symbol"/>
    </w:rPr>
  </w:style>
  <w:style w:type="character" w:customStyle="1" w:styleId="MenuOptions">
    <w:name w:val="Menu Options"/>
    <w:basedOn w:val="DefaultParagraphFont"/>
    <w:rsid w:val="00BD5993"/>
    <w:rPr>
      <w:rFonts w:ascii="Arial Narrow" w:hAnsi="Arial Narrow"/>
      <w:smallCaps/>
    </w:rPr>
  </w:style>
  <w:style w:type="character" w:customStyle="1" w:styleId="Buttons">
    <w:name w:val="Buttons"/>
    <w:basedOn w:val="DefaultParagraphFont"/>
    <w:rsid w:val="00BD5993"/>
    <w:rPr>
      <w:b/>
    </w:rPr>
  </w:style>
  <w:style w:type="character" w:customStyle="1" w:styleId="Underlined">
    <w:name w:val="Underlined"/>
    <w:basedOn w:val="DefaultParagraphFont"/>
    <w:rsid w:val="00BD5993"/>
    <w:rPr>
      <w:u w:val="single"/>
    </w:rPr>
  </w:style>
  <w:style w:type="paragraph" w:customStyle="1" w:styleId="TableBodyTextRight">
    <w:name w:val="Table Body Text Right"/>
    <w:basedOn w:val="TableBodyText"/>
    <w:rsid w:val="00BD5993"/>
    <w:pPr>
      <w:widowControl w:val="0"/>
      <w:autoSpaceDE w:val="0"/>
      <w:autoSpaceDN w:val="0"/>
      <w:adjustRightInd w:val="0"/>
      <w:jc w:val="right"/>
    </w:pPr>
    <w:rPr>
      <w:rFonts w:cs="Arial"/>
      <w:szCs w:val="18"/>
    </w:rPr>
  </w:style>
  <w:style w:type="paragraph" w:customStyle="1" w:styleId="CopyrightText">
    <w:name w:val="Copyright Text"/>
    <w:basedOn w:val="BodyText"/>
    <w:rsid w:val="00BD5993"/>
    <w:rPr>
      <w:sz w:val="18"/>
    </w:rPr>
  </w:style>
  <w:style w:type="paragraph" w:customStyle="1" w:styleId="BodySmallRight">
    <w:name w:val="Body Small Right"/>
    <w:basedOn w:val="BodyTextRight"/>
    <w:rsid w:val="00BD5993"/>
    <w:rPr>
      <w:sz w:val="18"/>
      <w:szCs w:val="18"/>
    </w:rPr>
  </w:style>
  <w:style w:type="paragraph" w:customStyle="1" w:styleId="MarginEdition">
    <w:name w:val="Margin Edition"/>
    <w:basedOn w:val="MarginNote"/>
    <w:rsid w:val="00BD5993"/>
    <w:pPr>
      <w:spacing w:before="0" w:after="0"/>
    </w:pPr>
    <w:rPr>
      <w:rFonts w:ascii="Times New Roman" w:hAnsi="Times New Roman"/>
      <w:color w:val="999999"/>
    </w:rPr>
  </w:style>
  <w:style w:type="paragraph" w:customStyle="1" w:styleId="Spacer">
    <w:name w:val="Spacer"/>
    <w:basedOn w:val="Normal"/>
    <w:rsid w:val="00BD5993"/>
    <w:rPr>
      <w:sz w:val="2"/>
      <w:szCs w:val="2"/>
    </w:rPr>
  </w:style>
  <w:style w:type="character" w:customStyle="1" w:styleId="Small">
    <w:name w:val="Small"/>
    <w:basedOn w:val="DefaultParagraphFont"/>
    <w:rsid w:val="00BD5993"/>
    <w:rPr>
      <w:sz w:val="16"/>
    </w:rPr>
  </w:style>
  <w:style w:type="paragraph" w:customStyle="1" w:styleId="WideTable">
    <w:name w:val="Wide Table"/>
    <w:basedOn w:val="Normal"/>
    <w:rsid w:val="00BD5993"/>
    <w:pPr>
      <w:ind w:left="-1418"/>
    </w:pPr>
    <w:rPr>
      <w:sz w:val="2"/>
      <w:szCs w:val="2"/>
    </w:rPr>
  </w:style>
  <w:style w:type="character" w:styleId="PageNumber">
    <w:name w:val="page number"/>
    <w:basedOn w:val="DefaultParagraphFont"/>
    <w:rsid w:val="00BD5993"/>
  </w:style>
  <w:style w:type="paragraph" w:styleId="Quote">
    <w:name w:val="Quote"/>
    <w:basedOn w:val="Heading1"/>
    <w:link w:val="QuoteChar"/>
    <w:qFormat/>
    <w:rsid w:val="00BD5993"/>
    <w:rPr>
      <w:b w:val="0"/>
      <w:sz w:val="72"/>
      <w:szCs w:val="72"/>
      <w:lang w:val="en-NZ"/>
    </w:rPr>
  </w:style>
  <w:style w:type="character" w:customStyle="1" w:styleId="QuoteChar">
    <w:name w:val="Quote Char"/>
    <w:basedOn w:val="DefaultParagraphFont"/>
    <w:link w:val="Quote"/>
    <w:rsid w:val="00BD59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D5993"/>
    <w:pPr>
      <w:pageBreakBefore/>
    </w:pPr>
  </w:style>
  <w:style w:type="paragraph" w:customStyle="1" w:styleId="Border">
    <w:name w:val="Border"/>
    <w:basedOn w:val="Normal"/>
    <w:qFormat/>
    <w:rsid w:val="00BD59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D5993"/>
    <w:rPr>
      <w:b/>
      <w:bCs/>
      <w:i/>
      <w:iCs/>
      <w:color w:val="auto"/>
    </w:rPr>
  </w:style>
  <w:style w:type="paragraph" w:styleId="IntenseQuote">
    <w:name w:val="Intense Quote"/>
    <w:basedOn w:val="Normal"/>
    <w:next w:val="Normal"/>
    <w:link w:val="IntenseQuoteChar"/>
    <w:uiPriority w:val="30"/>
    <w:qFormat/>
    <w:rsid w:val="00BD59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D59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D5993"/>
    <w:rPr>
      <w:smallCaps/>
      <w:color w:val="auto"/>
      <w:u w:val="single"/>
    </w:rPr>
  </w:style>
  <w:style w:type="character" w:styleId="IntenseReference">
    <w:name w:val="Intense Reference"/>
    <w:basedOn w:val="DefaultParagraphFont"/>
    <w:uiPriority w:val="32"/>
    <w:qFormat/>
    <w:rsid w:val="00BD5993"/>
    <w:rPr>
      <w:b/>
      <w:bCs/>
      <w:smallCaps/>
      <w:color w:val="auto"/>
      <w:spacing w:val="5"/>
      <w:u w:val="single"/>
    </w:rPr>
  </w:style>
  <w:style w:type="paragraph" w:customStyle="1" w:styleId="2ColumnHeading">
    <w:name w:val="2Column Heading"/>
    <w:basedOn w:val="BodyText"/>
    <w:qFormat/>
    <w:rsid w:val="00BD5993"/>
    <w:pPr>
      <w:spacing w:after="60"/>
      <w:ind w:left="-2268"/>
    </w:pPr>
    <w:rPr>
      <w:b/>
    </w:rPr>
  </w:style>
  <w:style w:type="paragraph" w:customStyle="1" w:styleId="Heading1TOC">
    <w:name w:val="Heading1 TOC"/>
    <w:basedOn w:val="Normal"/>
    <w:qFormat/>
    <w:rsid w:val="00BD5993"/>
    <w:pPr>
      <w:spacing w:before="240" w:after="120"/>
    </w:pPr>
    <w:rPr>
      <w:rFonts w:ascii="Times New Roman" w:hAnsi="Times New Roman"/>
      <w:b/>
      <w:sz w:val="32"/>
    </w:rPr>
  </w:style>
  <w:style w:type="paragraph" w:customStyle="1" w:styleId="Heading2TOC">
    <w:name w:val="Heading2 TOC"/>
    <w:basedOn w:val="Normal"/>
    <w:qFormat/>
    <w:rsid w:val="00BD5993"/>
    <w:pPr>
      <w:spacing w:before="240" w:after="60"/>
    </w:pPr>
    <w:rPr>
      <w:rFonts w:ascii="Times New Roman" w:hAnsi="Times New Roman"/>
      <w:b/>
      <w:sz w:val="28"/>
    </w:rPr>
  </w:style>
  <w:style w:type="character" w:customStyle="1" w:styleId="Underline">
    <w:name w:val="Underline"/>
    <w:basedOn w:val="DefaultParagraphFont"/>
    <w:qFormat/>
    <w:rsid w:val="00BD5993"/>
    <w:rPr>
      <w:u w:val="single"/>
    </w:rPr>
  </w:style>
  <w:style w:type="paragraph" w:styleId="BalloonText">
    <w:name w:val="Balloon Text"/>
    <w:basedOn w:val="Normal"/>
    <w:link w:val="BalloonTextChar"/>
    <w:rsid w:val="00BD5993"/>
    <w:rPr>
      <w:rFonts w:ascii="Tahoma" w:hAnsi="Tahoma" w:cs="Tahoma"/>
      <w:sz w:val="16"/>
      <w:szCs w:val="16"/>
    </w:rPr>
  </w:style>
  <w:style w:type="character" w:customStyle="1" w:styleId="BalloonTextChar">
    <w:name w:val="Balloon Text Char"/>
    <w:basedOn w:val="DefaultParagraphFont"/>
    <w:link w:val="BalloonText"/>
    <w:rsid w:val="00BD59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D599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D59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D5993"/>
    <w:rPr>
      <w:b/>
      <w:color w:val="660033"/>
      <w:spacing w:val="0"/>
    </w:rPr>
  </w:style>
  <w:style w:type="paragraph" w:customStyle="1" w:styleId="Nameditemlist">
    <w:name w:val="Named item list"/>
    <w:basedOn w:val="BodyText"/>
    <w:qFormat/>
    <w:rsid w:val="00BD599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1384</Words>
  <Characters>8983</Characters>
  <Application>Microsoft Office Word</Application>
  <DocSecurity>0</DocSecurity>
  <Lines>242</Lines>
  <Paragraphs>183</Paragraphs>
  <ScaleCrop>false</ScaleCrop>
  <Company>Author-it Software Corporation Ltd.</Company>
  <LinksUpToDate>false</LinksUpToDate>
  <CharactersWithSpaces>10283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SITHGAM501 Manage gaming activities</dc:title>
  <dc:subject>Approved</dc:subject>
  <dc:creator>Service Skills Australia</dc:creator>
  <cp:keywords>Release 2</cp:keywords>
  <dc:description>Review Date: 12 April 2008</dc:description>
  <cp:lastModifiedBy>HSD_TPCMSd.prod</cp:lastModifiedBy>
  <cp:revision>3</cp:revision>
  <dcterms:created xsi:type="dcterms:W3CDTF">2013-07-29T05:28:00Z</dcterms:created>
  <dcterms:modified xsi:type="dcterms:W3CDTF">2013-07-29T05:28:00Z</dcterms:modified>
</cp:coreProperties>
</file>