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2AA" w:rsidP="006B22AA">
      <w:pPr>
        <w:pStyle w:val="Title"/>
      </w:pPr>
      <w:r>
        <w:fldChar w:fldCharType="begin"/>
      </w:r>
      <w:r>
        <w:instrText xml:space="preserve"> TITLE   \* MERGEFORMAT </w:instrText>
      </w:r>
      <w:r>
        <w:fldChar w:fldCharType="separate"/>
      </w:r>
      <w:r>
        <w:t>SITHGAM301 Analyse and report on gaming machine data</w:t>
      </w:r>
      <w:r>
        <w:fldChar w:fldCharType="end"/>
      </w:r>
    </w:p>
    <w:p w:rsidR="006B22AA" w:rsidP="006B22AA">
      <w:pPr>
        <w:pStyle w:val="Version"/>
        <w:sectPr w:rsidSect="00B17A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7A8D" w:rsidP="00B17A8D">
      <w:pPr>
        <w:pStyle w:val="SuperHeading"/>
      </w:pPr>
      <w:r w:rsidRPr="00B17A8D">
        <w:t>SITHGAM301 Analyse and report on gaming machine data</w:t>
      </w:r>
    </w:p>
    <w:p w:rsidR="00000000" w:rsidRPr="00B17A8D" w:rsidP="00B17A8D">
      <w:pPr>
        <w:pStyle w:val="Heading1"/>
      </w:pPr>
      <w:bookmarkStart w:id="1" w:name="O_583602"/>
      <w:bookmarkEnd w:id="1"/>
      <w:r w:rsidRPr="00B17A8D">
        <w:t>Modification History</w:t>
      </w:r>
    </w:p>
    <w:p w:rsidR="00000000" w:rsidRPr="00B17A8D" w:rsidP="00B17A8D">
      <w:pPr>
        <w:pStyle w:val="BodyText"/>
      </w:pPr>
      <w:r w:rsidRPr="00B17A8D">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6B22A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8D" w:rsidP="00B17A8D">
            <w:pPr>
              <w:pStyle w:val="BodyText"/>
            </w:pPr>
            <w:r w:rsidRPr="00B17A8D">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8D">
            <w:pPr>
              <w:pStyle w:val="BodyText"/>
              <w:rPr>
                <w:lang w:val="en-NZ"/>
              </w:rPr>
            </w:pPr>
            <w:r w:rsidRPr="00B17A8D">
              <w:rPr>
                <w:rStyle w:val="SpecialBold"/>
              </w:rPr>
              <w:t>Comments</w:t>
            </w:r>
          </w:p>
        </w:tc>
      </w:tr>
      <w:tr w:rsidTr="006B22A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8D">
            <w:pPr>
              <w:pStyle w:val="BodyText"/>
              <w:rPr>
                <w:lang w:val="en-NZ"/>
              </w:rPr>
            </w:pPr>
            <w:r w:rsidRPr="00B17A8D">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8D">
            <w:pPr>
              <w:pStyle w:val="BodyText"/>
              <w:rPr>
                <w:lang w:val="en-NZ"/>
              </w:rPr>
            </w:pPr>
            <w:r w:rsidRPr="00B17A8D">
              <w:t>Correction to mapping to show equivalence.</w:t>
            </w:r>
          </w:p>
        </w:tc>
      </w:tr>
      <w:tr w:rsidTr="006B22A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8D">
            <w:pPr>
              <w:pStyle w:val="BodyText"/>
              <w:rPr>
                <w:lang w:val="en-NZ"/>
              </w:rPr>
            </w:pPr>
            <w:r w:rsidRPr="00B17A8D">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8D" w:rsidP="00B17A8D">
            <w:pPr>
              <w:pStyle w:val="BodyText"/>
            </w:pPr>
            <w:r w:rsidRPr="00B17A8D">
              <w:t>E</w:t>
            </w:r>
          </w:p>
          <w:p w:rsidR="00000000" w:rsidRPr="00B17A8D" w:rsidP="00B17A8D">
            <w:pPr>
              <w:pStyle w:val="BodyText"/>
            </w:pPr>
            <w:r w:rsidRPr="00B17A8D">
              <w:t>Replaces and is equivalent to SIT</w:t>
            </w:r>
            <w:r w:rsidRPr="00B17A8D">
              <w:t>HGAM004B Analyse and report on gaming machine data.</w:t>
            </w:r>
          </w:p>
          <w:p w:rsidR="00000000" w:rsidRPr="00B17A8D" w:rsidP="00B17A8D">
            <w:pPr>
              <w:pStyle w:val="BodyText"/>
            </w:pPr>
            <w:r w:rsidRPr="00B17A8D">
              <w:t xml:space="preserve">Minor adjustments to expression of content to streamline and improve unit. Two prerequisite units removed. SITHGAM201 Provide responsible gambling services added as a prerequisite. </w:t>
            </w:r>
          </w:p>
        </w:tc>
      </w:tr>
    </w:tbl>
    <w:p w:rsidR="00000000" w:rsidRPr="00B17A8D" w:rsidP="00B17A8D">
      <w:pPr>
        <w:pStyle w:val="BodyText"/>
      </w:pPr>
    </w:p>
    <w:p w:rsidR="00000000" w:rsidRPr="00B17A8D" w:rsidP="00B17A8D">
      <w:pPr>
        <w:pStyle w:val="AllowPageBreak"/>
      </w:pPr>
    </w:p>
    <w:p w:rsidR="00000000" w:rsidRPr="00B17A8D" w:rsidP="00B17A8D">
      <w:pPr>
        <w:pStyle w:val="Heading1"/>
      </w:pPr>
      <w:bookmarkStart w:id="2" w:name="O_583601"/>
      <w:bookmarkEnd w:id="2"/>
      <w:r w:rsidRPr="00B17A8D">
        <w:t>Uni</w:t>
      </w:r>
      <w:r w:rsidRPr="00B17A8D">
        <w:t>t Descriptor</w:t>
      </w:r>
    </w:p>
    <w:p w:rsidR="00000000" w:rsidRPr="00B17A8D" w:rsidP="00B17A8D">
      <w:pPr>
        <w:pStyle w:val="BodyText"/>
      </w:pPr>
      <w:r w:rsidRPr="00B17A8D">
        <w:t>This unit describes the performance outcomes, skills and knowledge required to retrieve and analyse gaming machine data and prepare reports for management.</w:t>
      </w:r>
    </w:p>
    <w:p w:rsidR="00000000" w:rsidRPr="00B17A8D" w:rsidP="00B17A8D">
      <w:pPr>
        <w:pStyle w:val="AllowPageBreak"/>
      </w:pPr>
    </w:p>
    <w:p w:rsidR="00000000" w:rsidRPr="00B17A8D" w:rsidP="00B17A8D">
      <w:pPr>
        <w:pStyle w:val="Heading1"/>
      </w:pPr>
      <w:bookmarkStart w:id="3" w:name="O_583600"/>
      <w:bookmarkEnd w:id="3"/>
      <w:r w:rsidRPr="00B17A8D">
        <w:t>Application of the Unit</w:t>
      </w:r>
    </w:p>
    <w:p w:rsidR="00000000" w:rsidRPr="00B17A8D" w:rsidP="00B17A8D">
      <w:pPr>
        <w:pStyle w:val="BodyText"/>
      </w:pPr>
      <w:r w:rsidRPr="00B17A8D">
        <w:t xml:space="preserve">This unit applies to all gaming venues and to </w:t>
      </w:r>
      <w:r w:rsidRPr="00B17A8D">
        <w:t>senior gaming attendants and supervisors.</w:t>
      </w:r>
    </w:p>
    <w:p w:rsidR="00000000" w:rsidRPr="00B17A8D" w:rsidP="00B17A8D">
      <w:pPr>
        <w:pStyle w:val="AllowPageBreak"/>
      </w:pPr>
    </w:p>
    <w:p w:rsidR="00000000" w:rsidRPr="00B17A8D" w:rsidP="00B17A8D">
      <w:pPr>
        <w:pStyle w:val="Heading1"/>
      </w:pPr>
      <w:bookmarkStart w:id="4" w:name="O_583599"/>
      <w:bookmarkEnd w:id="4"/>
      <w:r w:rsidRPr="00B17A8D">
        <w:t>Licensing/Regulatory Information</w:t>
      </w:r>
    </w:p>
    <w:p w:rsidR="00000000" w:rsidRPr="00B17A8D" w:rsidP="00B17A8D">
      <w:pPr>
        <w:pStyle w:val="BodyText"/>
      </w:pPr>
      <w:r w:rsidRPr="00B17A8D">
        <w:t xml:space="preserve">In many States and Territories, legislation stipulates that all gaming workers must receive training in the responsible conduct of gambling. This </w:t>
      </w:r>
      <w:r w:rsidRPr="00B17A8D">
        <w:t>content is addressed in SITHGAM201 Provide responsible gambling services.</w:t>
      </w:r>
    </w:p>
    <w:p w:rsidR="00000000" w:rsidRPr="00B17A8D" w:rsidP="00B17A8D">
      <w:pPr>
        <w:pStyle w:val="AllowPageBreak"/>
      </w:pPr>
    </w:p>
    <w:p w:rsidR="00000000" w:rsidRPr="00B17A8D" w:rsidP="00B17A8D">
      <w:pPr>
        <w:pStyle w:val="Heading1"/>
      </w:pPr>
      <w:bookmarkStart w:id="5" w:name="O_583598"/>
      <w:bookmarkEnd w:id="5"/>
      <w:r w:rsidRPr="00B17A8D">
        <w:t>Pre-Requisites</w:t>
      </w:r>
    </w:p>
    <w:tbl>
      <w:tblPr>
        <w:tblW w:w="0" w:type="auto"/>
        <w:tblLayout w:type="fixed"/>
        <w:tblCellMar>
          <w:left w:w="62" w:type="dxa"/>
          <w:right w:w="62" w:type="dxa"/>
        </w:tblCellMar>
        <w:tblLook w:val="0000"/>
      </w:tblPr>
      <w:tblGrid>
        <w:gridCol w:w="1890"/>
        <w:gridCol w:w="4668"/>
      </w:tblGrid>
      <w:tr w:rsidTr="00B17A8D">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8D">
            <w:pPr>
              <w:pStyle w:val="BodyText"/>
              <w:rPr>
                <w:lang w:val="en-NZ"/>
              </w:rPr>
            </w:pPr>
            <w:r w:rsidRPr="00B17A8D">
              <w:t>This unit must be assessed after the following prerequisite unit:</w:t>
            </w:r>
          </w:p>
        </w:tc>
      </w:tr>
      <w:tr w:rsidTr="00B17A8D">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8D">
            <w:pPr>
              <w:pStyle w:val="BodyText"/>
              <w:rPr>
                <w:lang w:val="en-NZ"/>
              </w:rPr>
            </w:pPr>
            <w:r w:rsidRPr="00B17A8D">
              <w:t>SITHGAM201</w:t>
            </w:r>
          </w:p>
        </w:tc>
        <w:tc>
          <w:tcPr>
            <w:tcW w:w="4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A8D" w:rsidP="00B17A8D">
            <w:pPr>
              <w:pStyle w:val="BodyText"/>
            </w:pPr>
            <w:r w:rsidRPr="00B17A8D">
              <w:t>Provide responsible gambling services</w:t>
            </w:r>
          </w:p>
        </w:tc>
      </w:tr>
    </w:tbl>
    <w:p w:rsidR="00000000" w:rsidRPr="00B17A8D" w:rsidP="00B17A8D">
      <w:pPr>
        <w:pStyle w:val="BodyText"/>
      </w:pPr>
    </w:p>
    <w:p w:rsidR="00000000" w:rsidRPr="00B17A8D" w:rsidP="00B17A8D">
      <w:pPr>
        <w:pStyle w:val="AllowPageBreak"/>
      </w:pPr>
    </w:p>
    <w:p w:rsidR="00000000" w:rsidRPr="00B17A8D" w:rsidP="00B17A8D">
      <w:pPr>
        <w:pStyle w:val="Heading1"/>
      </w:pPr>
      <w:bookmarkStart w:id="6" w:name="O_583597"/>
      <w:bookmarkEnd w:id="6"/>
      <w:r w:rsidRPr="00B17A8D">
        <w:t xml:space="preserve">Employability </w:t>
      </w:r>
      <w:r w:rsidRPr="00B17A8D">
        <w:t>Skills Information</w:t>
      </w:r>
    </w:p>
    <w:p w:rsidR="00000000" w:rsidRPr="00B17A8D" w:rsidP="00B17A8D">
      <w:pPr>
        <w:pStyle w:val="BodyText"/>
      </w:pPr>
      <w:r w:rsidRPr="00B17A8D">
        <w:t>This unit contains employability skills.</w:t>
      </w:r>
    </w:p>
    <w:p w:rsidR="00000000" w:rsidRPr="00B17A8D" w:rsidP="00B17A8D">
      <w:pPr>
        <w:pStyle w:val="AllowPageBreak"/>
      </w:pPr>
    </w:p>
    <w:p w:rsidR="00000000" w:rsidRPr="00B17A8D" w:rsidP="00B17A8D">
      <w:pPr>
        <w:pStyle w:val="Heading1"/>
      </w:pPr>
      <w:bookmarkStart w:id="7" w:name="O_583596"/>
      <w:bookmarkEnd w:id="7"/>
      <w:r w:rsidRPr="00B17A8D">
        <w:t>Elements and Performance Criteria Pre-Content</w:t>
      </w:r>
    </w:p>
    <w:p w:rsidR="00000000" w:rsidRPr="00B17A8D" w:rsidP="00B17A8D">
      <w:pPr>
        <w:pStyle w:val="BodyText"/>
      </w:pPr>
      <w:r w:rsidRPr="00B17A8D">
        <w:t>Not applicable.</w:t>
      </w:r>
    </w:p>
    <w:p w:rsidR="00000000" w:rsidRPr="00B17A8D" w:rsidP="00B17A8D">
      <w:pPr>
        <w:pStyle w:val="AllowPageBreak"/>
      </w:pPr>
    </w:p>
    <w:p w:rsidR="00000000" w:rsidRPr="00B17A8D" w:rsidP="00B17A8D">
      <w:pPr>
        <w:pStyle w:val="Heading1"/>
      </w:pPr>
      <w:bookmarkStart w:id="8" w:name="O_583595"/>
      <w:bookmarkEnd w:id="8"/>
      <w:r w:rsidRPr="00B17A8D">
        <w:t>Elements and Performance Criteria</w:t>
      </w:r>
    </w:p>
    <w:tbl>
      <w:tblPr>
        <w:tblW w:w="0" w:type="auto"/>
        <w:tblCellMar>
          <w:left w:w="62" w:type="dxa"/>
          <w:right w:w="62" w:type="dxa"/>
        </w:tblCellMar>
        <w:tblLook w:val="0000"/>
      </w:tblPr>
      <w:tblGrid>
        <w:gridCol w:w="2817"/>
        <w:gridCol w:w="6379"/>
      </w:tblGrid>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t>Performance criteria describe the performance needed to demonstrate achievement of the element. Where bold italicised text is used, further information is detailed in the required skills and knowledge section and the range statement. Assessment of performa</w:t>
            </w:r>
            <w:r w:rsidRPr="00B17A8D">
              <w:t>nce is to be consistent with the evidence guide.</w:t>
            </w:r>
          </w:p>
        </w:tc>
      </w:tr>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A8D">
            <w:pPr>
              <w:pStyle w:val="List"/>
              <w:rPr>
                <w:lang w:val="en-NZ"/>
              </w:rPr>
            </w:pPr>
            <w:r w:rsidRPr="00B17A8D">
              <w:t>1.</w:t>
            </w:r>
            <w:r w:rsidRPr="00B17A8D">
              <w:tab/>
              <w:t>Obtain gaming machine data.</w:t>
            </w:r>
          </w:p>
        </w:tc>
        <w:tc>
          <w:tcPr>
            <w:tcW w:w="0" w:type="auto"/>
            <w:tcBorders>
              <w:top w:val="nil"/>
              <w:left w:val="nil"/>
              <w:bottom w:val="nil"/>
              <w:right w:val="nil"/>
            </w:tcBorders>
            <w:tcMar>
              <w:top w:w="0" w:type="dxa"/>
              <w:left w:w="62" w:type="dxa"/>
              <w:bottom w:w="0" w:type="dxa"/>
              <w:right w:w="62" w:type="dxa"/>
            </w:tcMar>
          </w:tcPr>
          <w:p w:rsidR="00000000" w:rsidRPr="00B17A8D" w:rsidP="00B17A8D">
            <w:pPr>
              <w:pStyle w:val="List2"/>
            </w:pPr>
            <w:r w:rsidRPr="00B17A8D">
              <w:t>1.1</w:t>
            </w:r>
            <w:r w:rsidRPr="00B17A8D">
              <w:tab/>
              <w:t xml:space="preserve">Retrieve data from </w:t>
            </w:r>
            <w:r w:rsidRPr="00B17A8D">
              <w:rPr>
                <w:rStyle w:val="BoldandItalics"/>
              </w:rPr>
              <w:t>gaming machine and system</w:t>
            </w:r>
            <w:r w:rsidRPr="00B17A8D">
              <w:t xml:space="preserve"> using </w:t>
            </w:r>
            <w:r w:rsidRPr="00B17A8D">
              <w:rPr>
                <w:rStyle w:val="BoldandItalics"/>
              </w:rPr>
              <w:t>retrieval system</w:t>
            </w:r>
            <w:r w:rsidRPr="00B17A8D">
              <w:t xml:space="preserve"> according to legislative requirements and organisational procedures.</w:t>
            </w:r>
          </w:p>
          <w:p w:rsidR="00000000" w:rsidP="00B17A8D">
            <w:pPr>
              <w:pStyle w:val="List2"/>
              <w:rPr>
                <w:lang w:val="en-NZ"/>
              </w:rPr>
            </w:pPr>
            <w:r w:rsidRPr="00B17A8D">
              <w:t>1.2</w:t>
            </w:r>
            <w:r w:rsidRPr="00B17A8D">
              <w:tab/>
              <w:t xml:space="preserve">Record </w:t>
            </w:r>
            <w:r w:rsidRPr="00B17A8D">
              <w:rPr>
                <w:rStyle w:val="BoldandItalics"/>
              </w:rPr>
              <w:t xml:space="preserve">data </w:t>
            </w:r>
            <w:r w:rsidRPr="00B17A8D">
              <w:t>using correct meth</w:t>
            </w:r>
            <w:r w:rsidRPr="00B17A8D">
              <w:t>ods and terminology according to legislative requirements and organisational procedures.</w:t>
            </w:r>
          </w:p>
        </w:tc>
      </w:tr>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A8D">
            <w:pPr>
              <w:pStyle w:val="List"/>
              <w:rPr>
                <w:lang w:val="en-NZ"/>
              </w:rPr>
            </w:pPr>
            <w:r w:rsidRPr="00B17A8D">
              <w:t>2.</w:t>
            </w:r>
            <w:r w:rsidRPr="00B17A8D">
              <w:tab/>
              <w:t>Analyse data.</w:t>
            </w:r>
          </w:p>
        </w:tc>
        <w:tc>
          <w:tcPr>
            <w:tcW w:w="0" w:type="auto"/>
            <w:tcBorders>
              <w:top w:val="nil"/>
              <w:left w:val="nil"/>
              <w:bottom w:val="nil"/>
              <w:right w:val="nil"/>
            </w:tcBorders>
            <w:tcMar>
              <w:top w:w="0" w:type="dxa"/>
              <w:left w:w="62" w:type="dxa"/>
              <w:bottom w:w="0" w:type="dxa"/>
              <w:right w:w="62" w:type="dxa"/>
            </w:tcMar>
          </w:tcPr>
          <w:p w:rsidR="00000000" w:rsidRPr="00B17A8D" w:rsidP="00B17A8D">
            <w:pPr>
              <w:pStyle w:val="List2"/>
            </w:pPr>
            <w:r w:rsidRPr="00B17A8D">
              <w:t>2.1</w:t>
            </w:r>
            <w:r w:rsidRPr="00B17A8D">
              <w:tab/>
              <w:t>Analyse data according to legislative requirements and organisational procedures.</w:t>
            </w:r>
          </w:p>
          <w:p w:rsidR="00000000" w:rsidRPr="00B17A8D" w:rsidP="00B17A8D">
            <w:pPr>
              <w:pStyle w:val="List2"/>
            </w:pPr>
            <w:r w:rsidRPr="00B17A8D">
              <w:t>2.2</w:t>
            </w:r>
            <w:r w:rsidRPr="00B17A8D">
              <w:tab/>
              <w:t>Perform cash flow analysis according to the correct mathema</w:t>
            </w:r>
            <w:r w:rsidRPr="00B17A8D">
              <w:t>tical equation, including analysis of metered information and cash data.</w:t>
            </w:r>
          </w:p>
          <w:p w:rsidR="00000000" w:rsidP="00B17A8D">
            <w:pPr>
              <w:pStyle w:val="List2"/>
              <w:rPr>
                <w:lang w:val="en-NZ"/>
              </w:rPr>
            </w:pPr>
            <w:r w:rsidRPr="00B17A8D">
              <w:t>2.3</w:t>
            </w:r>
            <w:r w:rsidRPr="00B17A8D">
              <w:tab/>
              <w:t>Identify variances and determine possible causes.</w:t>
            </w:r>
          </w:p>
        </w:tc>
      </w:tr>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A8D">
            <w:pPr>
              <w:pStyle w:val="List"/>
              <w:rPr>
                <w:lang w:val="en-NZ"/>
              </w:rPr>
            </w:pPr>
            <w:r w:rsidRPr="00B17A8D">
              <w:t>3.</w:t>
            </w:r>
            <w:r w:rsidRPr="00B17A8D">
              <w:tab/>
              <w:t>Prepare reports.</w:t>
            </w:r>
          </w:p>
        </w:tc>
        <w:tc>
          <w:tcPr>
            <w:tcW w:w="0" w:type="auto"/>
            <w:tcBorders>
              <w:top w:val="nil"/>
              <w:left w:val="nil"/>
              <w:bottom w:val="nil"/>
              <w:right w:val="nil"/>
            </w:tcBorders>
            <w:tcMar>
              <w:top w:w="0" w:type="dxa"/>
              <w:left w:w="62" w:type="dxa"/>
              <w:bottom w:w="0" w:type="dxa"/>
              <w:right w:w="62" w:type="dxa"/>
            </w:tcMar>
          </w:tcPr>
          <w:p w:rsidR="00000000" w:rsidRPr="00B17A8D" w:rsidP="00B17A8D">
            <w:pPr>
              <w:pStyle w:val="List2"/>
            </w:pPr>
            <w:r w:rsidRPr="00B17A8D">
              <w:t>3.1</w:t>
            </w:r>
            <w:r w:rsidRPr="00B17A8D">
              <w:tab/>
              <w:t xml:space="preserve">Prepare </w:t>
            </w:r>
            <w:r w:rsidRPr="00B17A8D">
              <w:rPr>
                <w:rStyle w:val="BoldandItalics"/>
              </w:rPr>
              <w:t xml:space="preserve">reports </w:t>
            </w:r>
            <w:r w:rsidRPr="00B17A8D">
              <w:t>and present them to the appropriate person.</w:t>
            </w:r>
          </w:p>
          <w:p w:rsidR="00000000" w:rsidRPr="00B17A8D" w:rsidP="00B17A8D">
            <w:pPr>
              <w:pStyle w:val="List2"/>
            </w:pPr>
            <w:r w:rsidRPr="00B17A8D">
              <w:t>3.2</w:t>
            </w:r>
            <w:r w:rsidRPr="00B17A8D">
              <w:tab/>
              <w:t>Minimise waste in preparing reports.</w:t>
            </w:r>
          </w:p>
        </w:tc>
      </w:tr>
    </w:tbl>
    <w:p w:rsidR="00000000" w:rsidRPr="00B17A8D" w:rsidP="00B17A8D">
      <w:pPr>
        <w:pStyle w:val="List"/>
      </w:pPr>
    </w:p>
    <w:p w:rsidR="00000000" w:rsidRPr="00B17A8D" w:rsidP="00B17A8D">
      <w:pPr>
        <w:pStyle w:val="AllowPageBreak"/>
      </w:pPr>
    </w:p>
    <w:p w:rsidR="00000000" w:rsidRPr="00B17A8D" w:rsidP="00B17A8D">
      <w:pPr>
        <w:pStyle w:val="Heading1"/>
      </w:pPr>
      <w:bookmarkStart w:id="9" w:name="O_583594"/>
      <w:bookmarkEnd w:id="9"/>
      <w:r w:rsidRPr="00B17A8D">
        <w:t>Required Skills and Knowledge</w:t>
      </w:r>
    </w:p>
    <w:tbl>
      <w:tblPr>
        <w:tblW w:w="0" w:type="auto"/>
        <w:tblCellMar>
          <w:left w:w="62" w:type="dxa"/>
          <w:right w:w="62" w:type="dxa"/>
        </w:tblCellMar>
        <w:tblLook w:val="0000"/>
      </w:tblPr>
      <w:tblGrid>
        <w:gridCol w:w="9196"/>
      </w:tblGrid>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t>This section describes the skills and knowledge required for this unit.</w:t>
            </w:r>
          </w:p>
        </w:tc>
      </w:tr>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rPr>
                <w:rStyle w:val="SpecialBold"/>
              </w:rPr>
              <w:t>Required skills</w:t>
            </w:r>
          </w:p>
        </w:tc>
      </w:tr>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7A8D" w:rsidP="00B17A8D">
            <w:pPr>
              <w:pStyle w:val="ListBullet"/>
            </w:pPr>
            <w:r w:rsidRPr="00B17A8D">
              <w:t>literacy skills to:</w:t>
            </w:r>
          </w:p>
          <w:p w:rsidR="00000000" w:rsidRPr="00B17A8D" w:rsidP="00B17A8D">
            <w:pPr>
              <w:pStyle w:val="ListBullet2"/>
            </w:pPr>
            <w:r w:rsidRPr="00B17A8D">
              <w:t>read and interpret data against key performance indicators and identify variances</w:t>
            </w:r>
          </w:p>
          <w:p w:rsidR="00000000" w:rsidRPr="00B17A8D" w:rsidP="00B17A8D">
            <w:pPr>
              <w:pStyle w:val="ListBullet2"/>
            </w:pPr>
            <w:r w:rsidRPr="00B17A8D">
              <w:t>complete reports on gaming machine data or outcomes</w:t>
            </w:r>
          </w:p>
          <w:p w:rsidR="00000000" w:rsidRPr="00B17A8D" w:rsidP="00B17A8D">
            <w:pPr>
              <w:pStyle w:val="ListBullet"/>
            </w:pPr>
            <w:r w:rsidRPr="00B17A8D">
              <w:t>problem</w:t>
            </w:r>
            <w:r w:rsidRPr="00B17A8D">
              <w:noBreakHyphen/>
              <w:t>solving skills to identify variances in data analysis, determine reasons and rectify problem</w:t>
            </w:r>
          </w:p>
          <w:p w:rsidR="00000000" w:rsidP="00B17A8D">
            <w:pPr>
              <w:pStyle w:val="ListBullet"/>
              <w:rPr>
                <w:lang w:val="en-NZ"/>
              </w:rPr>
            </w:pPr>
            <w:r w:rsidRPr="00B17A8D">
              <w:t>numeracy skills to check and analyse data.</w:t>
            </w:r>
          </w:p>
        </w:tc>
      </w:tr>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rPr>
                <w:rStyle w:val="SpecialBold"/>
              </w:rPr>
              <w:t>Required knowledge</w:t>
            </w:r>
          </w:p>
        </w:tc>
      </w:tr>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7A8D" w:rsidP="00B17A8D">
            <w:pPr>
              <w:pStyle w:val="ListBullet"/>
            </w:pPr>
            <w:r w:rsidRPr="00B17A8D">
              <w:t>requirements of relevant state and territory gaming legislation, including those related to:</w:t>
            </w:r>
          </w:p>
          <w:p w:rsidR="00000000" w:rsidRPr="00B17A8D" w:rsidP="00B17A8D">
            <w:pPr>
              <w:pStyle w:val="ListBullet2"/>
            </w:pPr>
            <w:r w:rsidRPr="00B17A8D">
              <w:t>record keeping, analysing and reporting on the operation of gaming machines and subsidiary equipment</w:t>
            </w:r>
          </w:p>
          <w:p w:rsidR="00000000" w:rsidRPr="00B17A8D" w:rsidP="00B17A8D">
            <w:pPr>
              <w:pStyle w:val="ListBullet2"/>
            </w:pPr>
            <w:r w:rsidRPr="00B17A8D">
              <w:t>responsible provision of gambling services, including procedu</w:t>
            </w:r>
            <w:r w:rsidRPr="00B17A8D">
              <w:t>res for self</w:t>
            </w:r>
            <w:r w:rsidRPr="00B17A8D">
              <w:noBreakHyphen/>
              <w:t>exclusion of problem gamblers</w:t>
            </w:r>
          </w:p>
          <w:p w:rsidR="00000000" w:rsidRPr="00B17A8D" w:rsidP="00B17A8D">
            <w:pPr>
              <w:pStyle w:val="ListBullet2"/>
            </w:pPr>
            <w:r w:rsidRPr="00B17A8D">
              <w:t>licence requirements</w:t>
            </w:r>
          </w:p>
          <w:p w:rsidR="00000000" w:rsidRPr="00B17A8D" w:rsidP="00B17A8D">
            <w:pPr>
              <w:pStyle w:val="ListBullet2"/>
            </w:pPr>
            <w:r w:rsidRPr="00B17A8D">
              <w:t>licensing of repairers, service consultants and machine managers</w:t>
            </w:r>
          </w:p>
          <w:p w:rsidR="00000000" w:rsidRPr="00B17A8D" w:rsidP="00B17A8D">
            <w:pPr>
              <w:pStyle w:val="ListBullet2"/>
            </w:pPr>
            <w:r w:rsidRPr="00B17A8D">
              <w:t>general accounting requirements</w:t>
            </w:r>
          </w:p>
          <w:p w:rsidR="00000000" w:rsidRPr="00B17A8D" w:rsidP="00B17A8D">
            <w:pPr>
              <w:pStyle w:val="ListBullet2"/>
            </w:pPr>
            <w:r w:rsidRPr="00B17A8D">
              <w:t xml:space="preserve">fees, taxes and levies </w:t>
            </w:r>
          </w:p>
          <w:p w:rsidR="00000000" w:rsidRPr="00B17A8D" w:rsidP="00B17A8D">
            <w:pPr>
              <w:pStyle w:val="ListBullet"/>
            </w:pPr>
            <w:r w:rsidRPr="00B17A8D">
              <w:t>mathematical design and reconciliation of all linked systems as it imp</w:t>
            </w:r>
            <w:r w:rsidRPr="00B17A8D">
              <w:t>acts on day-to-day machine operations</w:t>
            </w:r>
          </w:p>
          <w:p w:rsidR="00000000" w:rsidRPr="00B17A8D" w:rsidP="00B17A8D">
            <w:pPr>
              <w:pStyle w:val="ListBullet"/>
            </w:pPr>
            <w:r w:rsidRPr="00B17A8D">
              <w:t>mathematical and analytical concepts relevant to gambling at an operational level</w:t>
            </w:r>
          </w:p>
          <w:p w:rsidR="00000000" w:rsidRPr="00B17A8D" w:rsidP="00B17A8D">
            <w:pPr>
              <w:pStyle w:val="ListBullet"/>
            </w:pPr>
            <w:r w:rsidRPr="00B17A8D">
              <w:t>key features of computerised gaming machine programs.</w:t>
            </w:r>
          </w:p>
        </w:tc>
      </w:tr>
    </w:tbl>
    <w:p w:rsidR="00000000" w:rsidRPr="00B17A8D" w:rsidP="00B17A8D">
      <w:pPr>
        <w:pStyle w:val="BodyText"/>
      </w:pPr>
    </w:p>
    <w:p w:rsidR="00000000" w:rsidRPr="00B17A8D" w:rsidP="00B17A8D">
      <w:pPr>
        <w:pStyle w:val="AllowPageBreak"/>
      </w:pPr>
    </w:p>
    <w:p w:rsidR="00000000" w:rsidRPr="00B17A8D" w:rsidP="00B17A8D">
      <w:pPr>
        <w:pStyle w:val="Heading1"/>
      </w:pPr>
      <w:bookmarkStart w:id="10" w:name="O_583593"/>
      <w:bookmarkEnd w:id="10"/>
      <w:r w:rsidRPr="00B17A8D">
        <w:t>Evidence Guide</w:t>
      </w:r>
    </w:p>
    <w:tbl>
      <w:tblPr>
        <w:tblW w:w="0" w:type="auto"/>
        <w:tblCellMar>
          <w:left w:w="62" w:type="dxa"/>
          <w:right w:w="62" w:type="dxa"/>
        </w:tblCellMar>
        <w:tblLook w:val="0000"/>
      </w:tblPr>
      <w:tblGrid>
        <w:gridCol w:w="2637"/>
        <w:gridCol w:w="6559"/>
      </w:tblGrid>
      <w:tr w:rsidTr="006B22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t>The evidence guide provides advice on assessment and must be read in conjunction with the performance criteria, required skills and knowledge, range statement and the Assessment Guidelines for the Training Package.</w:t>
            </w:r>
          </w:p>
        </w:tc>
      </w:tr>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17A8D">
            <w:pPr>
              <w:pStyle w:val="BodyText"/>
              <w:rPr>
                <w:lang w:val="en-NZ"/>
              </w:rPr>
            </w:pPr>
          </w:p>
        </w:tc>
      </w:tr>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17A8D" w:rsidP="00B17A8D">
            <w:pPr>
              <w:pStyle w:val="BodyText"/>
            </w:pPr>
            <w:r w:rsidRPr="00B17A8D">
              <w:t>Evidence of the ability to:</w:t>
            </w:r>
          </w:p>
          <w:p w:rsidR="00000000" w:rsidRPr="00B17A8D" w:rsidP="00B17A8D">
            <w:pPr>
              <w:pStyle w:val="ListBullet"/>
            </w:pPr>
            <w:r w:rsidRPr="00B17A8D">
              <w:t xml:space="preserve">analyse and report on gaming machine data accurately for a range of different games and machines on multiple occasions </w:t>
            </w:r>
          </w:p>
          <w:p w:rsidR="00000000" w:rsidRPr="00B17A8D" w:rsidP="00B17A8D">
            <w:pPr>
              <w:pStyle w:val="ListBullet"/>
            </w:pPr>
            <w:r w:rsidRPr="00B17A8D">
              <w:t>comply with le</w:t>
            </w:r>
            <w:r w:rsidRPr="00B17A8D">
              <w:t>gislative and licensing requirements</w:t>
            </w:r>
          </w:p>
          <w:p w:rsidR="00000000" w:rsidP="00B17A8D">
            <w:pPr>
              <w:pStyle w:val="ListBullet"/>
              <w:rPr>
                <w:lang w:val="en-NZ"/>
              </w:rPr>
            </w:pPr>
            <w:r w:rsidRPr="00B17A8D">
              <w:t>integrate knowledge of security issues and compliance requirements.</w:t>
            </w:r>
          </w:p>
        </w:tc>
      </w:tr>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17A8D" w:rsidP="00B17A8D">
            <w:pPr>
              <w:pStyle w:val="BodyText"/>
            </w:pPr>
            <w:r w:rsidRPr="00B17A8D">
              <w:t xml:space="preserve">Assessment must ensure use of: </w:t>
            </w:r>
          </w:p>
          <w:p w:rsidR="00000000" w:rsidRPr="00B17A8D" w:rsidP="00B17A8D">
            <w:pPr>
              <w:pStyle w:val="ListBullet"/>
            </w:pPr>
            <w:r w:rsidRPr="00B17A8D">
              <w:t>operational gaming venue with machines and equipment such as poker machines, approved amusement devices, slot machines, multi-terminal gaming machines, progressive or stand-alone machines, stand-alone games, linked machines and linked progressive jackpot s</w:t>
            </w:r>
            <w:r w:rsidRPr="00B17A8D">
              <w:t>ystems</w:t>
            </w:r>
          </w:p>
          <w:p w:rsidR="00000000" w:rsidRPr="00B17A8D" w:rsidP="00B17A8D">
            <w:pPr>
              <w:pStyle w:val="ListBullet"/>
            </w:pPr>
            <w:r w:rsidRPr="00B17A8D">
              <w:t>the venue may be a real industry workplace or simulated industry environment</w:t>
            </w:r>
          </w:p>
          <w:p w:rsidR="00000000" w:rsidRPr="00B17A8D" w:rsidP="00B17A8D">
            <w:pPr>
              <w:pStyle w:val="ListBullet"/>
            </w:pPr>
            <w:r w:rsidRPr="00B17A8D">
              <w:t>applicable header systems</w:t>
            </w:r>
          </w:p>
          <w:p w:rsidR="00000000" w:rsidRPr="00B17A8D" w:rsidP="00B17A8D">
            <w:pPr>
              <w:pStyle w:val="ListBullet"/>
            </w:pPr>
            <w:r w:rsidRPr="00B17A8D">
              <w:t>data retrieval system</w:t>
            </w:r>
          </w:p>
          <w:p w:rsidR="00000000" w:rsidP="00B17A8D">
            <w:pPr>
              <w:pStyle w:val="ListBullet"/>
              <w:rPr>
                <w:lang w:val="en-NZ"/>
              </w:rPr>
            </w:pPr>
            <w:r w:rsidRPr="00B17A8D">
              <w:t>gaming machine reporting software.</w:t>
            </w:r>
          </w:p>
        </w:tc>
      </w:tr>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17A8D" w:rsidP="00B17A8D">
            <w:pPr>
              <w:pStyle w:val="BodyText"/>
            </w:pPr>
            <w:r w:rsidRPr="00B17A8D">
              <w:t>A range of assessment methods should be used to assess practical sk</w:t>
            </w:r>
            <w:r w:rsidRPr="00B17A8D">
              <w:t xml:space="preserve">ills and knowledge. The following examples are appropriate for this unit: </w:t>
            </w:r>
          </w:p>
          <w:p w:rsidR="00000000" w:rsidRPr="00B17A8D" w:rsidP="00B17A8D">
            <w:pPr>
              <w:pStyle w:val="ListBullet"/>
            </w:pPr>
            <w:r w:rsidRPr="00B17A8D">
              <w:t>evaluation of reports and gaming data analysis completed by the individual</w:t>
            </w:r>
          </w:p>
          <w:p w:rsidR="00000000" w:rsidRPr="00B17A8D" w:rsidP="00B17A8D">
            <w:pPr>
              <w:pStyle w:val="ListBullet"/>
            </w:pPr>
            <w:r w:rsidRPr="00B17A8D">
              <w:t>oral or written questioning to assess knowledge of gaming legislation and organisational procedures</w:t>
            </w:r>
          </w:p>
          <w:p w:rsidR="00000000" w:rsidP="00B17A8D">
            <w:pPr>
              <w:pStyle w:val="ListBullet"/>
              <w:rPr>
                <w:lang w:val="en-NZ"/>
              </w:rPr>
            </w:pPr>
            <w:r w:rsidRPr="00B17A8D">
              <w:t>revie</w:t>
            </w:r>
            <w:r w:rsidRPr="00B17A8D">
              <w:t>w of portfolios of evidence and third</w:t>
            </w:r>
            <w:r w:rsidRPr="00B17A8D">
              <w:noBreakHyphen/>
              <w:t>party workplace reports of on</w:t>
            </w:r>
            <w:r w:rsidRPr="00B17A8D">
              <w:noBreakHyphen/>
              <w:t>the</w:t>
            </w:r>
            <w:r w:rsidRPr="00B17A8D">
              <w:noBreakHyphen/>
              <w:t>job performance by the individual.</w:t>
            </w:r>
          </w:p>
        </w:tc>
      </w:tr>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17A8D" w:rsidP="00B17A8D">
            <w:pPr>
              <w:pStyle w:val="BodyText"/>
            </w:pPr>
            <w:r w:rsidRPr="00B17A8D">
              <w:t>The assessor should design integrated assessment activities to holistically</w:t>
            </w:r>
            <w:r w:rsidRPr="00B17A8D">
              <w:t xml:space="preserve"> assess this unit with other units relevant to the industry sector, workplace and job role, for example:</w:t>
            </w:r>
          </w:p>
          <w:p w:rsidR="00000000" w:rsidRPr="00B17A8D" w:rsidP="00B17A8D">
            <w:pPr>
              <w:pStyle w:val="ListBullet"/>
            </w:pPr>
            <w:r w:rsidRPr="00B17A8D">
              <w:t>SITHGAM202 Attend gaming machines.</w:t>
            </w:r>
          </w:p>
        </w:tc>
      </w:tr>
    </w:tbl>
    <w:p w:rsidR="00000000" w:rsidRPr="00B17A8D" w:rsidP="00B17A8D">
      <w:pPr>
        <w:pStyle w:val="BodyText"/>
      </w:pPr>
    </w:p>
    <w:p w:rsidR="00000000" w:rsidRPr="00B17A8D" w:rsidP="00B17A8D">
      <w:pPr>
        <w:pStyle w:val="AllowPageBreak"/>
      </w:pPr>
    </w:p>
    <w:p w:rsidR="00000000" w:rsidRPr="00B17A8D" w:rsidP="00B17A8D">
      <w:pPr>
        <w:pStyle w:val="Heading1"/>
      </w:pPr>
      <w:bookmarkStart w:id="11" w:name="O_583592"/>
      <w:bookmarkEnd w:id="11"/>
      <w:r w:rsidRPr="00B17A8D">
        <w:t>Range Statement</w:t>
      </w:r>
    </w:p>
    <w:tbl>
      <w:tblPr>
        <w:tblW w:w="0" w:type="auto"/>
        <w:tblCellMar>
          <w:left w:w="62" w:type="dxa"/>
          <w:right w:w="62" w:type="dxa"/>
        </w:tblCellMar>
        <w:tblLook w:val="0000"/>
      </w:tblPr>
      <w:tblGrid>
        <w:gridCol w:w="2690"/>
        <w:gridCol w:w="6506"/>
      </w:tblGrid>
      <w:tr w:rsidTr="006B22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t xml:space="preserve">The range statement relates to the unit of competency as a whole. It allows for </w:t>
            </w:r>
            <w:r w:rsidRPr="00B17A8D">
              <w:t xml:space="preserve">different work environments and situations that may affect performance. Bold italicised wording, if used in the performance criteria, is detailed below. Essential operating conditions that may be present with training and assessment (depending on the work </w:t>
            </w:r>
            <w:r w:rsidRPr="00B17A8D">
              <w:t>situation, needs of the candidate, accessibility of the item, and local industry and regional contexts) may also be included.</w:t>
            </w:r>
          </w:p>
        </w:tc>
      </w:tr>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rPr>
                <w:rStyle w:val="BoldandItalics"/>
              </w:rPr>
              <w:t>Gaming machine and system</w:t>
            </w:r>
            <w:r w:rsidRPr="00B17A8D">
              <w:t xml:space="preserve"> includes:</w:t>
            </w:r>
          </w:p>
        </w:tc>
        <w:tc>
          <w:tcPr>
            <w:tcW w:w="0" w:type="auto"/>
            <w:tcBorders>
              <w:top w:val="nil"/>
              <w:left w:val="nil"/>
              <w:bottom w:val="nil"/>
              <w:right w:val="nil"/>
            </w:tcBorders>
            <w:tcMar>
              <w:top w:w="0" w:type="dxa"/>
              <w:left w:w="62" w:type="dxa"/>
              <w:bottom w:w="0" w:type="dxa"/>
              <w:right w:w="62" w:type="dxa"/>
            </w:tcMar>
          </w:tcPr>
          <w:p w:rsidR="00000000" w:rsidRPr="00B17A8D" w:rsidP="00B17A8D">
            <w:pPr>
              <w:pStyle w:val="ListBullet"/>
            </w:pPr>
            <w:r w:rsidRPr="00B17A8D">
              <w:t>data retrieval systems</w:t>
            </w:r>
          </w:p>
          <w:p w:rsidR="00000000" w:rsidRPr="00B17A8D" w:rsidP="00B17A8D">
            <w:pPr>
              <w:pStyle w:val="ListBullet"/>
            </w:pPr>
            <w:r w:rsidRPr="00B17A8D">
              <w:t>linked progressive systems, including:</w:t>
            </w:r>
          </w:p>
          <w:p w:rsidR="00000000" w:rsidRPr="00B17A8D" w:rsidP="00B17A8D">
            <w:pPr>
              <w:pStyle w:val="ListBullet2"/>
            </w:pPr>
            <w:r w:rsidRPr="00B17A8D">
              <w:t>bonus (random) link systems</w:t>
            </w:r>
          </w:p>
          <w:p w:rsidR="00000000" w:rsidRPr="00B17A8D" w:rsidP="00B17A8D">
            <w:pPr>
              <w:pStyle w:val="ListBullet2"/>
            </w:pPr>
            <w:r w:rsidRPr="00B17A8D">
              <w:t>combination dependent systems</w:t>
            </w:r>
          </w:p>
          <w:p w:rsidR="00000000" w:rsidRPr="00B17A8D" w:rsidP="00B17A8D">
            <w:pPr>
              <w:pStyle w:val="ListBullet2"/>
            </w:pPr>
            <w:r w:rsidRPr="00B17A8D">
              <w:t>Hyperlink</w:t>
            </w:r>
          </w:p>
          <w:p w:rsidR="00000000" w:rsidRPr="00B17A8D" w:rsidP="00B17A8D">
            <w:pPr>
              <w:pStyle w:val="ListBullet2"/>
            </w:pPr>
            <w:r w:rsidRPr="00B17A8D">
              <w:t>progressive and stand-alone jackpot systems where appropriate</w:t>
            </w:r>
          </w:p>
          <w:p w:rsidR="00000000" w:rsidRPr="00B17A8D" w:rsidP="00B17A8D">
            <w:pPr>
              <w:pStyle w:val="ListBullet2"/>
            </w:pPr>
            <w:r w:rsidRPr="00B17A8D">
              <w:t>inter</w:t>
            </w:r>
            <w:r w:rsidRPr="00B17A8D">
              <w:noBreakHyphen/>
              <w:t>venue progressive jackpot link systems</w:t>
            </w:r>
          </w:p>
          <w:p w:rsidR="00000000" w:rsidRPr="00B17A8D" w:rsidP="00B17A8D">
            <w:pPr>
              <w:pStyle w:val="ListBullet"/>
            </w:pPr>
            <w:r w:rsidRPr="00B17A8D">
              <w:t>multi</w:t>
            </w:r>
            <w:r w:rsidRPr="00B17A8D">
              <w:noBreakHyphen/>
              <w:t>terminal machines</w:t>
            </w:r>
          </w:p>
          <w:p w:rsidR="00000000" w:rsidRPr="00B17A8D" w:rsidP="00B17A8D">
            <w:pPr>
              <w:pStyle w:val="ListBullet"/>
            </w:pPr>
            <w:r w:rsidRPr="00B17A8D">
              <w:t>player loyalty systems</w:t>
            </w:r>
          </w:p>
          <w:p w:rsidR="00000000" w:rsidRPr="00B17A8D" w:rsidP="00B17A8D">
            <w:pPr>
              <w:pStyle w:val="ListBullet"/>
            </w:pPr>
            <w:r w:rsidRPr="00B17A8D">
              <w:t>stand</w:t>
            </w:r>
            <w:r w:rsidRPr="00B17A8D">
              <w:noBreakHyphen/>
              <w:t>alone gaming machines</w:t>
            </w:r>
          </w:p>
          <w:p w:rsidR="00000000" w:rsidP="00B17A8D">
            <w:pPr>
              <w:pStyle w:val="ListBullet"/>
              <w:rPr>
                <w:lang w:val="en-NZ"/>
              </w:rPr>
            </w:pPr>
            <w:r w:rsidRPr="00B17A8D">
              <w:t>stand</w:t>
            </w:r>
            <w:r w:rsidRPr="00B17A8D">
              <w:noBreakHyphen/>
            </w:r>
            <w:r w:rsidRPr="00B17A8D">
              <w:t>alone progressive jackpot machines.</w:t>
            </w:r>
          </w:p>
        </w:tc>
      </w:tr>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rPr>
                <w:rStyle w:val="BoldandItalics"/>
              </w:rPr>
              <w:t>Retrieval system</w:t>
            </w:r>
            <w:r w:rsidRPr="00B17A8D">
              <w:t xml:space="preserve"> may be:</w:t>
            </w:r>
          </w:p>
        </w:tc>
        <w:tc>
          <w:tcPr>
            <w:tcW w:w="0" w:type="auto"/>
            <w:tcBorders>
              <w:top w:val="nil"/>
              <w:left w:val="nil"/>
              <w:bottom w:val="nil"/>
              <w:right w:val="nil"/>
            </w:tcBorders>
            <w:tcMar>
              <w:top w:w="0" w:type="dxa"/>
              <w:left w:w="62" w:type="dxa"/>
              <w:bottom w:w="0" w:type="dxa"/>
              <w:right w:w="62" w:type="dxa"/>
            </w:tcMar>
          </w:tcPr>
          <w:p w:rsidR="00000000" w:rsidRPr="00B17A8D" w:rsidP="00B17A8D">
            <w:pPr>
              <w:pStyle w:val="ListBullet"/>
            </w:pPr>
            <w:r w:rsidRPr="00B17A8D">
              <w:t>accounting, including header and venue-specific</w:t>
            </w:r>
          </w:p>
          <w:p w:rsidR="00000000" w:rsidRPr="00B17A8D" w:rsidP="00B17A8D">
            <w:pPr>
              <w:pStyle w:val="ListBullet"/>
            </w:pPr>
            <w:r w:rsidRPr="00B17A8D">
              <w:t>electronic</w:t>
            </w:r>
          </w:p>
          <w:p w:rsidR="00000000" w:rsidRPr="00B17A8D" w:rsidP="00B17A8D">
            <w:pPr>
              <w:pStyle w:val="ListBullet"/>
            </w:pPr>
            <w:r w:rsidRPr="00B17A8D">
              <w:t>manual</w:t>
            </w:r>
          </w:p>
          <w:p w:rsidR="00000000" w:rsidP="00B17A8D">
            <w:pPr>
              <w:pStyle w:val="ListBullet"/>
              <w:rPr>
                <w:lang w:val="en-NZ"/>
              </w:rPr>
            </w:pPr>
            <w:r w:rsidRPr="00B17A8D">
              <w:t>promotional.</w:t>
            </w:r>
          </w:p>
        </w:tc>
      </w:tr>
      <w:tr w:rsidTr="006B22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rPr>
                <w:rStyle w:val="BoldandItalics"/>
              </w:rPr>
              <w:t xml:space="preserve">Data </w:t>
            </w:r>
            <w:r w:rsidRPr="00B17A8D">
              <w:t>includes:</w:t>
            </w:r>
          </w:p>
        </w:tc>
        <w:tc>
          <w:tcPr>
            <w:tcW w:w="0" w:type="auto"/>
            <w:tcBorders>
              <w:top w:val="nil"/>
              <w:left w:val="nil"/>
              <w:bottom w:val="nil"/>
              <w:right w:val="nil"/>
            </w:tcBorders>
            <w:tcMar>
              <w:top w:w="0" w:type="dxa"/>
              <w:left w:w="62" w:type="dxa"/>
              <w:bottom w:w="0" w:type="dxa"/>
              <w:right w:w="62" w:type="dxa"/>
            </w:tcMar>
          </w:tcPr>
          <w:p w:rsidR="00000000" w:rsidRPr="00B17A8D" w:rsidP="00B17A8D">
            <w:pPr>
              <w:pStyle w:val="ListBullet"/>
            </w:pPr>
            <w:r w:rsidRPr="00B17A8D">
              <w:t>cash flow, including machine specifications and linked progressive jackpot configurations</w:t>
            </w:r>
          </w:p>
          <w:p w:rsidR="00000000" w:rsidRPr="00B17A8D" w:rsidP="00B17A8D">
            <w:pPr>
              <w:pStyle w:val="ListBullet"/>
            </w:pPr>
            <w:r w:rsidRPr="00B17A8D">
              <w:t>gross results of a gaming machine’s operation, including meter readings and their increments</w:t>
            </w:r>
          </w:p>
          <w:p w:rsidR="00000000" w:rsidP="00B17A8D">
            <w:pPr>
              <w:pStyle w:val="ListBullet"/>
              <w:rPr>
                <w:lang w:val="en-NZ"/>
              </w:rPr>
            </w:pPr>
            <w:r w:rsidRPr="00B17A8D">
              <w:t>operational data of a gaming machine, including clearances, payouts and hopper weigh amounts.</w:t>
            </w:r>
          </w:p>
        </w:tc>
      </w:tr>
      <w:tr w:rsidTr="006B22A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17A8D">
            <w:pPr>
              <w:pStyle w:val="BodyText"/>
              <w:rPr>
                <w:lang w:val="en-NZ"/>
              </w:rPr>
            </w:pPr>
            <w:r w:rsidRPr="00B17A8D">
              <w:rPr>
                <w:rStyle w:val="BoldandItalics"/>
              </w:rPr>
              <w:t xml:space="preserve">Reports </w:t>
            </w:r>
            <w:r w:rsidRPr="00B17A8D">
              <w:t>include:</w:t>
            </w:r>
          </w:p>
        </w:tc>
        <w:tc>
          <w:tcPr>
            <w:tcW w:w="0" w:type="auto"/>
            <w:tcBorders>
              <w:top w:val="nil"/>
              <w:left w:val="nil"/>
              <w:bottom w:val="nil"/>
              <w:right w:val="nil"/>
            </w:tcBorders>
            <w:tcMar>
              <w:top w:w="0" w:type="dxa"/>
              <w:left w:w="62" w:type="dxa"/>
              <w:bottom w:w="0" w:type="dxa"/>
              <w:right w:w="62" w:type="dxa"/>
            </w:tcMar>
          </w:tcPr>
          <w:p w:rsidR="00000000" w:rsidRPr="00B17A8D" w:rsidP="00B17A8D">
            <w:pPr>
              <w:pStyle w:val="ListBullet"/>
            </w:pPr>
            <w:r w:rsidRPr="00B17A8D">
              <w:t>cash flow analysis</w:t>
            </w:r>
          </w:p>
          <w:p w:rsidR="00000000" w:rsidRPr="00B17A8D" w:rsidP="00B17A8D">
            <w:pPr>
              <w:pStyle w:val="ListBullet"/>
            </w:pPr>
            <w:r w:rsidRPr="00B17A8D">
              <w:t>duty calculations and returns</w:t>
            </w:r>
          </w:p>
          <w:p w:rsidR="00000000" w:rsidRPr="00B17A8D" w:rsidP="00B17A8D">
            <w:pPr>
              <w:pStyle w:val="ListBullet"/>
            </w:pPr>
            <w:r w:rsidRPr="00B17A8D">
              <w:t>h</w:t>
            </w:r>
            <w:r w:rsidRPr="00B17A8D">
              <w:t>istory reports:</w:t>
            </w:r>
          </w:p>
          <w:p w:rsidR="00000000" w:rsidRPr="00B17A8D" w:rsidP="00B17A8D">
            <w:pPr>
              <w:pStyle w:val="ListBullet2"/>
            </w:pPr>
            <w:r w:rsidRPr="00B17A8D">
              <w:t>net revenue analysis</w:t>
            </w:r>
          </w:p>
          <w:p w:rsidR="00000000" w:rsidRPr="00B17A8D" w:rsidP="00B17A8D">
            <w:pPr>
              <w:pStyle w:val="ListBullet2"/>
            </w:pPr>
            <w:r w:rsidRPr="00B17A8D">
              <w:t>profit variance</w:t>
            </w:r>
          </w:p>
          <w:p w:rsidR="00000000" w:rsidRPr="00B17A8D" w:rsidP="00B17A8D">
            <w:pPr>
              <w:pStyle w:val="ListBullet"/>
            </w:pPr>
            <w:r w:rsidRPr="00B17A8D">
              <w:t>meter comparison report</w:t>
            </w:r>
          </w:p>
          <w:p w:rsidR="00000000" w:rsidRPr="00B17A8D" w:rsidP="00B17A8D">
            <w:pPr>
              <w:pStyle w:val="ListBullet"/>
            </w:pPr>
            <w:r w:rsidRPr="00B17A8D">
              <w:t>paper-based or electronically transmitted materials</w:t>
            </w:r>
          </w:p>
          <w:p w:rsidR="00000000" w:rsidRPr="00B17A8D" w:rsidP="00B17A8D">
            <w:pPr>
              <w:pStyle w:val="ListBullet"/>
            </w:pPr>
            <w:r w:rsidRPr="00B17A8D">
              <w:t>profit reports and declarations</w:t>
            </w:r>
          </w:p>
          <w:p w:rsidR="00000000" w:rsidRPr="00B17A8D" w:rsidP="00B17A8D">
            <w:pPr>
              <w:pStyle w:val="ListBullet"/>
            </w:pPr>
            <w:r w:rsidRPr="00B17A8D">
              <w:t>reports to organisation management</w:t>
            </w:r>
          </w:p>
          <w:p w:rsidR="00000000" w:rsidRPr="00B17A8D" w:rsidP="00B17A8D">
            <w:pPr>
              <w:pStyle w:val="ListBullet"/>
            </w:pPr>
            <w:r w:rsidRPr="00B17A8D">
              <w:t>stand-alone progressive and link-progressive jackpot system reconciliations.</w:t>
            </w:r>
          </w:p>
        </w:tc>
      </w:tr>
    </w:tbl>
    <w:p w:rsidR="00000000" w:rsidRPr="00B17A8D" w:rsidP="00B17A8D">
      <w:pPr>
        <w:pStyle w:val="BodyText"/>
      </w:pPr>
    </w:p>
    <w:p w:rsidR="00000000" w:rsidRPr="00B17A8D" w:rsidP="00B17A8D">
      <w:pPr>
        <w:pStyle w:val="AllowPageBreak"/>
      </w:pPr>
    </w:p>
    <w:p w:rsidR="00000000" w:rsidRPr="00B17A8D" w:rsidP="00B17A8D">
      <w:pPr>
        <w:pStyle w:val="Heading1"/>
      </w:pPr>
      <w:bookmarkStart w:id="12" w:name="O_583591"/>
      <w:bookmarkEnd w:id="12"/>
      <w:r w:rsidRPr="00B17A8D">
        <w:t>Unit Sector(s)</w:t>
      </w:r>
    </w:p>
    <w:p w:rsidR="00000000" w:rsidRPr="00B17A8D" w:rsidP="00B17A8D">
      <w:pPr>
        <w:pStyle w:val="BodyText"/>
      </w:pPr>
      <w:r w:rsidRPr="00B17A8D">
        <w:t>Hospitality</w:t>
      </w:r>
    </w:p>
    <w:p w:rsidR="00000000" w:rsidRPr="00B17A8D" w:rsidP="00B17A8D">
      <w:pPr>
        <w:pStyle w:val="AllowPageBreak"/>
      </w:pPr>
    </w:p>
    <w:p w:rsidR="00000000" w:rsidRPr="00B17A8D" w:rsidP="00B17A8D">
      <w:pPr>
        <w:pStyle w:val="Heading1"/>
      </w:pPr>
      <w:bookmarkStart w:id="13" w:name="O_583590"/>
      <w:bookmarkEnd w:id="13"/>
      <w:r w:rsidRPr="00B17A8D">
        <w:t>Competency Field</w:t>
      </w:r>
    </w:p>
    <w:p w:rsidR="00000000" w:rsidRPr="00B17A8D" w:rsidP="00B17A8D">
      <w:pPr>
        <w:pStyle w:val="BodyText"/>
      </w:pPr>
      <w:r w:rsidRPr="00B17A8D">
        <w:t>Gaming</w:t>
      </w:r>
    </w:p>
    <w:p w:rsidR="00000000" w:rsidRPr="00B17A8D" w:rsidP="00B17A8D"/>
    <w:sectPr w:rsidSect="00B17A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8D" w:rsidRPr="006B22AA" w:rsidP="006B22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AA" w:rsidP="00B17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B22AA" w:rsidP="00B17A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B22AA" w:rsidP="00B17A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8D" w:rsidRPr="006B22AA" w:rsidP="006B22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AA" w:rsidRPr="002D2AF8" w:rsidP="00B17A8D">
    <w:pPr>
      <w:pStyle w:val="Header"/>
      <w:framePr w:wrap="around"/>
    </w:pPr>
    <w:r>
      <w:fldChar w:fldCharType="begin"/>
    </w:r>
    <w:r>
      <w:instrText xml:space="preserve"> TITLE   \* MERGEFORMAT </w:instrText>
    </w:r>
    <w:r>
      <w:fldChar w:fldCharType="separate"/>
    </w:r>
    <w:r>
      <w:t>SITHGAM301 Analyse and report on gaming machine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6B22AA" w:rsidP="00B17A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E25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E03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34B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A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A8D"/>
    <w:pPr>
      <w:spacing w:before="360" w:after="60"/>
      <w:outlineLvl w:val="0"/>
    </w:pPr>
    <w:rPr>
      <w:sz w:val="32"/>
    </w:rPr>
  </w:style>
  <w:style w:type="paragraph" w:styleId="Heading2">
    <w:name w:val="heading 2"/>
    <w:basedOn w:val="HeadingBase"/>
    <w:next w:val="BodyText"/>
    <w:link w:val="Heading2Char"/>
    <w:qFormat/>
    <w:rsid w:val="00B17A8D"/>
    <w:pPr>
      <w:keepLines/>
      <w:spacing w:before="240" w:after="120"/>
      <w:outlineLvl w:val="1"/>
    </w:pPr>
    <w:rPr>
      <w:sz w:val="28"/>
      <w:szCs w:val="40"/>
    </w:rPr>
  </w:style>
  <w:style w:type="paragraph" w:styleId="Heading3">
    <w:name w:val="heading 3"/>
    <w:basedOn w:val="HeadingBase"/>
    <w:next w:val="BodyText"/>
    <w:link w:val="Heading3Char"/>
    <w:qFormat/>
    <w:rsid w:val="00B17A8D"/>
    <w:pPr>
      <w:spacing w:before="180" w:after="120"/>
      <w:outlineLvl w:val="2"/>
    </w:pPr>
    <w:rPr>
      <w:spacing w:val="-10"/>
      <w:kern w:val="32"/>
    </w:rPr>
  </w:style>
  <w:style w:type="paragraph" w:styleId="Heading4">
    <w:name w:val="heading 4"/>
    <w:basedOn w:val="HeadingBase"/>
    <w:next w:val="BodyText"/>
    <w:link w:val="Heading4Char"/>
    <w:qFormat/>
    <w:rsid w:val="00B17A8D"/>
    <w:pPr>
      <w:spacing w:before="160" w:after="120"/>
      <w:outlineLvl w:val="3"/>
    </w:pPr>
    <w:rPr>
      <w:sz w:val="22"/>
    </w:rPr>
  </w:style>
  <w:style w:type="paragraph" w:styleId="Heading5">
    <w:name w:val="heading 5"/>
    <w:basedOn w:val="HeadingBase"/>
    <w:next w:val="Normal"/>
    <w:link w:val="Heading5Char"/>
    <w:qFormat/>
    <w:rsid w:val="00B17A8D"/>
    <w:pPr>
      <w:spacing w:before="80"/>
      <w:outlineLvl w:val="4"/>
    </w:pPr>
    <w:rPr>
      <w:color w:val="918585"/>
      <w:sz w:val="20"/>
    </w:rPr>
  </w:style>
  <w:style w:type="paragraph" w:styleId="Heading6">
    <w:name w:val="heading 6"/>
    <w:basedOn w:val="HeadingBase"/>
    <w:next w:val="Normal"/>
    <w:link w:val="Heading6Char"/>
    <w:qFormat/>
    <w:rsid w:val="00B17A8D"/>
    <w:pPr>
      <w:spacing w:before="60"/>
      <w:outlineLvl w:val="5"/>
    </w:pPr>
    <w:rPr>
      <w:color w:val="918585"/>
      <w:sz w:val="20"/>
    </w:rPr>
  </w:style>
  <w:style w:type="paragraph" w:styleId="Heading7">
    <w:name w:val="heading 7"/>
    <w:basedOn w:val="Normal"/>
    <w:next w:val="Normal"/>
    <w:link w:val="Heading7Char"/>
    <w:qFormat/>
    <w:rsid w:val="00B17A8D"/>
    <w:pPr>
      <w:ind w:left="720"/>
      <w:outlineLvl w:val="6"/>
    </w:pPr>
    <w:rPr>
      <w:i/>
    </w:rPr>
  </w:style>
  <w:style w:type="paragraph" w:styleId="Heading8">
    <w:name w:val="heading 8"/>
    <w:basedOn w:val="Normal"/>
    <w:next w:val="Normal"/>
    <w:link w:val="Heading8Char"/>
    <w:qFormat/>
    <w:rsid w:val="00B17A8D"/>
    <w:pPr>
      <w:ind w:left="720"/>
      <w:outlineLvl w:val="7"/>
    </w:pPr>
    <w:rPr>
      <w:i/>
    </w:rPr>
  </w:style>
  <w:style w:type="paragraph" w:styleId="Heading9">
    <w:name w:val="heading 9"/>
    <w:basedOn w:val="Normal"/>
    <w:next w:val="Normal"/>
    <w:link w:val="Heading9Char"/>
    <w:qFormat/>
    <w:rsid w:val="00B17A8D"/>
    <w:pPr>
      <w:ind w:left="720"/>
      <w:outlineLvl w:val="8"/>
    </w:pPr>
    <w:rPr>
      <w:i/>
    </w:rPr>
  </w:style>
  <w:style w:type="character" w:default="1" w:styleId="DefaultParagraphFont">
    <w:name w:val="Default Paragraph Font"/>
    <w:uiPriority w:val="1"/>
    <w:unhideWhenUsed/>
    <w:rsid w:val="00B17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A8D"/>
  </w:style>
  <w:style w:type="character" w:customStyle="1" w:styleId="Heading1Char">
    <w:name w:val="Heading 1 Char"/>
    <w:basedOn w:val="DefaultParagraphFont"/>
    <w:link w:val="Heading1"/>
    <w:rsid w:val="00B17A8D"/>
    <w:rPr>
      <w:rFonts w:ascii="Times New Roman" w:eastAsia="Times New Roman" w:hAnsi="Times New Roman" w:cs="Times New Roman"/>
      <w:b/>
      <w:sz w:val="32"/>
      <w:szCs w:val="20"/>
      <w:lang w:eastAsia="en-US"/>
    </w:rPr>
  </w:style>
  <w:style w:type="paragraph" w:styleId="BodyText">
    <w:name w:val="Body Text"/>
    <w:basedOn w:val="Normal"/>
    <w:link w:val="BodyTextChar"/>
    <w:rsid w:val="00B17A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7A8D"/>
    <w:rPr>
      <w:rFonts w:ascii="Times New Roman" w:eastAsia="Times New Roman" w:hAnsi="Times New Roman" w:cs="Times New Roman"/>
      <w:sz w:val="24"/>
      <w:lang w:eastAsia="en-US"/>
    </w:rPr>
  </w:style>
  <w:style w:type="paragraph" w:styleId="List">
    <w:name w:val="List"/>
    <w:basedOn w:val="BodyText"/>
    <w:next w:val="BodyText"/>
    <w:rsid w:val="00B17A8D"/>
    <w:pPr>
      <w:tabs>
        <w:tab w:val="left" w:pos="340"/>
      </w:tabs>
      <w:spacing w:before="60" w:after="60"/>
      <w:ind w:left="340" w:hanging="340"/>
    </w:pPr>
  </w:style>
  <w:style w:type="paragraph" w:styleId="ListBullet">
    <w:name w:val="List Bullet"/>
    <w:basedOn w:val="List"/>
    <w:rsid w:val="00B17A8D"/>
    <w:pPr>
      <w:numPr>
        <w:numId w:val="13"/>
      </w:numPr>
      <w:tabs>
        <w:tab w:val="clear" w:pos="340"/>
      </w:tabs>
      <w:spacing w:before="40" w:after="40"/>
    </w:pPr>
  </w:style>
  <w:style w:type="character" w:customStyle="1" w:styleId="SpecialBold">
    <w:name w:val="Special Bold"/>
    <w:basedOn w:val="DefaultParagraphFont"/>
    <w:rsid w:val="00B17A8D"/>
    <w:rPr>
      <w:b/>
      <w:spacing w:val="0"/>
    </w:rPr>
  </w:style>
  <w:style w:type="paragraph" w:styleId="ListBullet2">
    <w:name w:val="List Bullet 2"/>
    <w:basedOn w:val="List2"/>
    <w:rsid w:val="00B17A8D"/>
    <w:pPr>
      <w:numPr>
        <w:numId w:val="14"/>
      </w:numPr>
      <w:tabs>
        <w:tab w:val="clear" w:pos="680"/>
      </w:tabs>
    </w:pPr>
  </w:style>
  <w:style w:type="paragraph" w:customStyle="1" w:styleId="SuperHeading">
    <w:name w:val="SuperHeading"/>
    <w:basedOn w:val="Normal"/>
    <w:rsid w:val="00B17A8D"/>
    <w:pPr>
      <w:spacing w:before="240" w:after="120"/>
      <w:outlineLvl w:val="0"/>
    </w:pPr>
    <w:rPr>
      <w:rFonts w:ascii="Times New Roman" w:hAnsi="Times New Roman"/>
      <w:b/>
      <w:sz w:val="32"/>
    </w:rPr>
  </w:style>
  <w:style w:type="paragraph" w:customStyle="1" w:styleId="AllowPageBreak">
    <w:name w:val="AllowPageBreak"/>
    <w:rsid w:val="00B17A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7A8D"/>
    <w:pPr>
      <w:tabs>
        <w:tab w:val="left" w:pos="680"/>
      </w:tabs>
      <w:spacing w:before="60" w:after="60"/>
      <w:ind w:left="680" w:hanging="340"/>
    </w:pPr>
  </w:style>
  <w:style w:type="character" w:customStyle="1" w:styleId="BoldandItalics">
    <w:name w:val="Bold and Italics"/>
    <w:qFormat/>
    <w:rsid w:val="00B17A8D"/>
    <w:rPr>
      <w:b/>
      <w:i/>
      <w:u w:val="none"/>
    </w:rPr>
  </w:style>
  <w:style w:type="character" w:customStyle="1" w:styleId="Heading2Char">
    <w:name w:val="Heading 2 Char"/>
    <w:basedOn w:val="DefaultParagraphFont"/>
    <w:link w:val="Heading2"/>
    <w:rsid w:val="00B17A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A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A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A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A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A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A8D"/>
    <w:rPr>
      <w:rFonts w:ascii="Courier New" w:eastAsia="Times New Roman" w:hAnsi="Courier New" w:cs="Times New Roman"/>
      <w:i/>
      <w:szCs w:val="20"/>
      <w:lang w:eastAsia="en-US"/>
    </w:rPr>
  </w:style>
  <w:style w:type="paragraph" w:customStyle="1" w:styleId="HeadingBase">
    <w:name w:val="Heading Base"/>
    <w:rsid w:val="00B17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A8D"/>
    <w:pPr>
      <w:tabs>
        <w:tab w:val="right" w:leader="dot" w:pos="9072"/>
      </w:tabs>
      <w:ind w:left="567"/>
    </w:pPr>
    <w:rPr>
      <w:szCs w:val="22"/>
    </w:rPr>
  </w:style>
  <w:style w:type="paragraph" w:customStyle="1" w:styleId="TOCBase">
    <w:name w:val="TOC Base"/>
    <w:rsid w:val="00B17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A8D"/>
    <w:pPr>
      <w:tabs>
        <w:tab w:val="right" w:leader="dot" w:pos="9072"/>
      </w:tabs>
      <w:spacing w:before="40" w:after="40"/>
      <w:ind w:left="284"/>
    </w:pPr>
    <w:rPr>
      <w:rFonts w:ascii="Times New Roman" w:hAnsi="Times New Roman"/>
    </w:rPr>
  </w:style>
  <w:style w:type="paragraph" w:styleId="TOC1">
    <w:name w:val="toc 1"/>
    <w:basedOn w:val="TOCBase"/>
    <w:next w:val="Normal"/>
    <w:rsid w:val="00B17A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A8D"/>
    <w:rPr>
      <w:rFonts w:ascii="Times New Roman" w:eastAsia="Times New Roman" w:hAnsi="Times New Roman" w:cs="Times New Roman"/>
      <w:sz w:val="16"/>
      <w:lang w:eastAsia="en-US"/>
    </w:rPr>
  </w:style>
  <w:style w:type="paragraph" w:styleId="Title">
    <w:name w:val="Title"/>
    <w:basedOn w:val="HeadingBase"/>
    <w:link w:val="TitleChar"/>
    <w:qFormat/>
    <w:rsid w:val="00B17A8D"/>
    <w:pPr>
      <w:spacing w:before="5040"/>
      <w:jc w:val="center"/>
    </w:pPr>
    <w:rPr>
      <w:sz w:val="48"/>
      <w:szCs w:val="72"/>
      <w:lang w:val="en-US"/>
    </w:rPr>
  </w:style>
  <w:style w:type="character" w:customStyle="1" w:styleId="TitleChar">
    <w:name w:val="Title Char"/>
    <w:basedOn w:val="DefaultParagraphFont"/>
    <w:link w:val="Title"/>
    <w:rsid w:val="00B17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A8D"/>
    <w:pPr>
      <w:tabs>
        <w:tab w:val="left" w:pos="3600"/>
        <w:tab w:val="left" w:pos="3958"/>
      </w:tabs>
    </w:pPr>
  </w:style>
  <w:style w:type="paragraph" w:customStyle="1" w:styleId="Note">
    <w:name w:val="Note"/>
    <w:basedOn w:val="BodyText"/>
    <w:rsid w:val="00B17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A8D"/>
    <w:pPr>
      <w:framePr w:wrap="auto" w:hAnchor="text" w:y="6049"/>
    </w:pPr>
    <w:rPr>
      <w:color w:val="000000"/>
      <w:sz w:val="40"/>
    </w:rPr>
  </w:style>
  <w:style w:type="paragraph" w:customStyle="1" w:styleId="TOCTitle">
    <w:name w:val="TOCTitle"/>
    <w:basedOn w:val="Heading1"/>
    <w:rsid w:val="00B17A8D"/>
    <w:pPr>
      <w:spacing w:after="240"/>
      <w:jc w:val="center"/>
      <w:outlineLvl w:val="9"/>
    </w:pPr>
    <w:rPr>
      <w:caps/>
    </w:rPr>
  </w:style>
  <w:style w:type="paragraph" w:customStyle="1" w:styleId="Version">
    <w:name w:val="Version"/>
    <w:rsid w:val="00B17A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A8D"/>
    <w:pPr>
      <w:keepNext w:val="0"/>
      <w:tabs>
        <w:tab w:val="right" w:pos="4176"/>
      </w:tabs>
      <w:ind w:left="198" w:hanging="198"/>
    </w:pPr>
    <w:rPr>
      <w:rFonts w:ascii="Garamond" w:hAnsi="Garamond"/>
    </w:rPr>
  </w:style>
  <w:style w:type="paragraph" w:styleId="IndexHeading">
    <w:name w:val="index heading"/>
    <w:basedOn w:val="Normal"/>
    <w:next w:val="Index1"/>
    <w:semiHidden/>
    <w:rsid w:val="00B17A8D"/>
    <w:pPr>
      <w:spacing w:before="120" w:after="120"/>
    </w:pPr>
    <w:rPr>
      <w:rFonts w:ascii="Arial" w:hAnsi="Arial"/>
      <w:b/>
      <w:color w:val="918585"/>
      <w:sz w:val="24"/>
    </w:rPr>
  </w:style>
  <w:style w:type="paragraph" w:styleId="Header">
    <w:name w:val="header"/>
    <w:basedOn w:val="Normal"/>
    <w:link w:val="HeaderChar"/>
    <w:rsid w:val="00B17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A8D"/>
    <w:rPr>
      <w:rFonts w:ascii="Times New Roman" w:eastAsia="Times New Roman" w:hAnsi="Times New Roman" w:cs="Times New Roman"/>
      <w:sz w:val="16"/>
      <w:szCs w:val="20"/>
      <w:lang w:val="en-GB" w:eastAsia="en-US"/>
    </w:rPr>
  </w:style>
  <w:style w:type="paragraph" w:customStyle="1" w:styleId="Chapter">
    <w:name w:val="Chapter"/>
    <w:basedOn w:val="Normal"/>
    <w:rsid w:val="00B17A8D"/>
    <w:pPr>
      <w:spacing w:before="240"/>
    </w:pPr>
    <w:rPr>
      <w:rFonts w:ascii="Times New Roman" w:hAnsi="Times New Roman"/>
      <w:smallCaps/>
      <w:spacing w:val="80"/>
      <w:sz w:val="28"/>
    </w:rPr>
  </w:style>
  <w:style w:type="paragraph" w:customStyle="1" w:styleId="InChapter">
    <w:name w:val="InChapter"/>
    <w:basedOn w:val="Heading3"/>
    <w:rsid w:val="00B17A8D"/>
    <w:pPr>
      <w:spacing w:after="240"/>
      <w:outlineLvl w:val="9"/>
    </w:pPr>
    <w:rPr>
      <w:noProof/>
    </w:rPr>
  </w:style>
  <w:style w:type="paragraph" w:styleId="Index2">
    <w:name w:val="index 2"/>
    <w:basedOn w:val="Normal"/>
    <w:next w:val="Normal"/>
    <w:semiHidden/>
    <w:rsid w:val="00B17A8D"/>
    <w:pPr>
      <w:tabs>
        <w:tab w:val="right" w:pos="4176"/>
      </w:tabs>
      <w:ind w:left="568" w:hanging="284"/>
    </w:pPr>
    <w:rPr>
      <w:rFonts w:ascii="Garamond" w:hAnsi="Garamond"/>
    </w:rPr>
  </w:style>
  <w:style w:type="paragraph" w:customStyle="1" w:styleId="Byline">
    <w:name w:val="Byline"/>
    <w:rsid w:val="00B17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A8D"/>
    <w:pPr>
      <w:tabs>
        <w:tab w:val="clear" w:pos="3600"/>
        <w:tab w:val="clear" w:pos="3958"/>
      </w:tabs>
      <w:jc w:val="right"/>
    </w:pPr>
  </w:style>
  <w:style w:type="character" w:styleId="Emphasis">
    <w:name w:val="Emphasis"/>
    <w:basedOn w:val="DefaultParagraphFont"/>
    <w:qFormat/>
    <w:rsid w:val="00B17A8D"/>
    <w:rPr>
      <w:i/>
    </w:rPr>
  </w:style>
  <w:style w:type="paragraph" w:styleId="Caption">
    <w:name w:val="caption"/>
    <w:basedOn w:val="BodyText"/>
    <w:next w:val="Normal"/>
    <w:qFormat/>
    <w:rsid w:val="00B17A8D"/>
    <w:pPr>
      <w:framePr w:w="2268" w:hSpace="181" w:vSpace="181" w:wrap="around" w:vAnchor="text" w:hAnchor="page" w:x="1135" w:y="285" w:anchorLock="1"/>
    </w:pPr>
    <w:rPr>
      <w:i/>
    </w:rPr>
  </w:style>
  <w:style w:type="paragraph" w:customStyle="1" w:styleId="MiniTOCTitle">
    <w:name w:val="MiniTOCTitle"/>
    <w:basedOn w:val="Heading4"/>
    <w:rsid w:val="00B17A8D"/>
    <w:pPr>
      <w:spacing w:before="240"/>
      <w:outlineLvl w:val="9"/>
    </w:pPr>
    <w:rPr>
      <w:noProof/>
      <w:sz w:val="24"/>
    </w:rPr>
  </w:style>
  <w:style w:type="paragraph" w:customStyle="1" w:styleId="MiniTOCItem">
    <w:name w:val="MiniTOCItem"/>
    <w:basedOn w:val="ListBullet"/>
    <w:rsid w:val="00B17A8D"/>
    <w:pPr>
      <w:numPr>
        <w:numId w:val="0"/>
      </w:numPr>
      <w:tabs>
        <w:tab w:val="right" w:leader="dot" w:pos="6521"/>
      </w:tabs>
      <w:spacing w:before="0" w:after="0"/>
    </w:pPr>
  </w:style>
  <w:style w:type="paragraph" w:customStyle="1" w:styleId="TOFTitle">
    <w:name w:val="TOFTitle"/>
    <w:basedOn w:val="TOCTitle"/>
    <w:rsid w:val="00B17A8D"/>
  </w:style>
  <w:style w:type="paragraph" w:styleId="TableofFigures">
    <w:name w:val="table of figures"/>
    <w:basedOn w:val="Normal"/>
    <w:next w:val="Normal"/>
    <w:semiHidden/>
    <w:rsid w:val="00B17A8D"/>
    <w:pPr>
      <w:tabs>
        <w:tab w:val="right" w:leader="dot" w:pos="9072"/>
      </w:tabs>
      <w:ind w:left="970" w:hanging="403"/>
    </w:pPr>
    <w:rPr>
      <w:rFonts w:ascii="Times New Roman" w:hAnsi="Times New Roman"/>
      <w:b/>
    </w:rPr>
  </w:style>
  <w:style w:type="paragraph" w:styleId="ListNumber">
    <w:name w:val="List Number"/>
    <w:basedOn w:val="List"/>
    <w:rsid w:val="00B17A8D"/>
    <w:pPr>
      <w:numPr>
        <w:numId w:val="11"/>
      </w:numPr>
    </w:pPr>
  </w:style>
  <w:style w:type="character" w:customStyle="1" w:styleId="WingdingSymbols">
    <w:name w:val="Wingding Symbols"/>
    <w:rsid w:val="00B17A8D"/>
    <w:rPr>
      <w:rFonts w:ascii="Wingdings" w:hAnsi="Wingdings"/>
    </w:rPr>
  </w:style>
  <w:style w:type="paragraph" w:customStyle="1" w:styleId="TableHeading">
    <w:name w:val="Table Heading"/>
    <w:basedOn w:val="HeadingBase"/>
    <w:rsid w:val="00B17A8D"/>
    <w:pPr>
      <w:keepLines/>
      <w:pBdr>
        <w:bottom w:val="single" w:sz="6" w:space="1" w:color="918585"/>
      </w:pBdr>
      <w:spacing w:before="240"/>
    </w:pPr>
  </w:style>
  <w:style w:type="character" w:customStyle="1" w:styleId="HotSpot">
    <w:name w:val="HotSpot"/>
    <w:rsid w:val="00B17A8D"/>
    <w:rPr>
      <w:color w:val="0033CC"/>
      <w:u w:val="none"/>
    </w:rPr>
  </w:style>
  <w:style w:type="paragraph" w:customStyle="1" w:styleId="BodyTextRight">
    <w:name w:val="Body Text Right"/>
    <w:basedOn w:val="BodyText"/>
    <w:rsid w:val="00B17A8D"/>
    <w:pPr>
      <w:spacing w:before="0" w:after="0"/>
      <w:jc w:val="right"/>
    </w:pPr>
  </w:style>
  <w:style w:type="paragraph" w:styleId="Index3">
    <w:name w:val="index 3"/>
    <w:basedOn w:val="ListNumber2"/>
    <w:next w:val="Normal"/>
    <w:semiHidden/>
    <w:rsid w:val="00B17A8D"/>
    <w:pPr>
      <w:numPr>
        <w:numId w:val="0"/>
      </w:numPr>
      <w:tabs>
        <w:tab w:val="right" w:leader="dot" w:pos="4176"/>
      </w:tabs>
    </w:pPr>
  </w:style>
  <w:style w:type="paragraph" w:styleId="ListNumber2">
    <w:name w:val="List Number 2"/>
    <w:basedOn w:val="List2"/>
    <w:rsid w:val="00B17A8D"/>
    <w:pPr>
      <w:numPr>
        <w:numId w:val="10"/>
      </w:numPr>
      <w:tabs>
        <w:tab w:val="clear" w:pos="1060"/>
      </w:tabs>
    </w:pPr>
  </w:style>
  <w:style w:type="paragraph" w:customStyle="1" w:styleId="MarginNote">
    <w:name w:val="Margin Note"/>
    <w:basedOn w:val="BodyText"/>
    <w:rsid w:val="00B17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A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A8D"/>
    <w:rPr>
      <w:sz w:val="32"/>
    </w:rPr>
  </w:style>
  <w:style w:type="paragraph" w:customStyle="1" w:styleId="HeadingProcedure">
    <w:name w:val="Heading Procedure"/>
    <w:basedOn w:val="HeadingBase"/>
    <w:next w:val="Normal"/>
    <w:rsid w:val="00B17A8D"/>
    <w:pPr>
      <w:tabs>
        <w:tab w:val="left" w:pos="0"/>
      </w:tabs>
      <w:spacing w:before="120" w:after="60"/>
    </w:pPr>
    <w:rPr>
      <w:i/>
      <w:color w:val="918585"/>
      <w:sz w:val="22"/>
    </w:rPr>
  </w:style>
  <w:style w:type="paragraph" w:customStyle="1" w:styleId="TableBodyText">
    <w:name w:val="Table Body Text"/>
    <w:basedOn w:val="BodyText"/>
    <w:rsid w:val="00B17A8D"/>
    <w:pPr>
      <w:spacing w:before="60" w:after="60"/>
    </w:pPr>
  </w:style>
  <w:style w:type="paragraph" w:styleId="ListContinue">
    <w:name w:val="List Continue"/>
    <w:basedOn w:val="List"/>
    <w:rsid w:val="00B17A8D"/>
    <w:pPr>
      <w:ind w:firstLine="0"/>
    </w:pPr>
  </w:style>
  <w:style w:type="paragraph" w:customStyle="1" w:styleId="ListNote">
    <w:name w:val="List Note"/>
    <w:basedOn w:val="List"/>
    <w:rsid w:val="00B17A8D"/>
    <w:pPr>
      <w:pBdr>
        <w:top w:val="single" w:sz="6" w:space="2" w:color="918585"/>
        <w:bottom w:val="single" w:sz="6" w:space="2" w:color="918585"/>
      </w:pBdr>
      <w:tabs>
        <w:tab w:val="left" w:pos="1021"/>
      </w:tabs>
      <w:ind w:firstLine="0"/>
    </w:pPr>
  </w:style>
  <w:style w:type="paragraph" w:customStyle="1" w:styleId="Warning">
    <w:name w:val="Warning"/>
    <w:basedOn w:val="BodyText"/>
    <w:rsid w:val="00B17A8D"/>
    <w:pPr>
      <w:shd w:val="clear" w:color="auto" w:fill="D9D9D9"/>
      <w:tabs>
        <w:tab w:val="left" w:pos="992"/>
      </w:tabs>
      <w:ind w:left="119" w:right="119"/>
    </w:pPr>
    <w:rPr>
      <w:sz w:val="20"/>
    </w:rPr>
  </w:style>
  <w:style w:type="paragraph" w:customStyle="1" w:styleId="MarginIcons">
    <w:name w:val="Margin Icons"/>
    <w:basedOn w:val="BodyText"/>
    <w:rsid w:val="00B17A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A8D"/>
    <w:rPr>
      <w:rFonts w:ascii="Courier New" w:hAnsi="Courier New"/>
    </w:rPr>
  </w:style>
  <w:style w:type="paragraph" w:customStyle="1" w:styleId="NoteBullet">
    <w:name w:val="Note Bullet"/>
    <w:basedOn w:val="Note"/>
    <w:rsid w:val="00B17A8D"/>
    <w:pPr>
      <w:tabs>
        <w:tab w:val="clear" w:pos="680"/>
      </w:tabs>
      <w:spacing w:before="60" w:after="60"/>
    </w:pPr>
  </w:style>
  <w:style w:type="paragraph" w:customStyle="1" w:styleId="SubHeading2">
    <w:name w:val="SubHeading2"/>
    <w:basedOn w:val="HeadingBase"/>
    <w:rsid w:val="00B17A8D"/>
    <w:pPr>
      <w:spacing w:before="240" w:after="60"/>
    </w:pPr>
    <w:rPr>
      <w:sz w:val="20"/>
    </w:rPr>
  </w:style>
  <w:style w:type="paragraph" w:customStyle="1" w:styleId="SubHeading1">
    <w:name w:val="SubHeading1"/>
    <w:basedOn w:val="HeadingBase"/>
    <w:rsid w:val="00B17A8D"/>
    <w:pPr>
      <w:spacing w:before="240" w:after="60"/>
    </w:pPr>
    <w:rPr>
      <w:color w:val="918585"/>
      <w:sz w:val="22"/>
    </w:rPr>
  </w:style>
  <w:style w:type="paragraph" w:customStyle="1" w:styleId="SideHeading">
    <w:name w:val="Side Heading"/>
    <w:basedOn w:val="HeadingBase"/>
    <w:rsid w:val="00B17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A8D"/>
    <w:pPr>
      <w:numPr>
        <w:numId w:val="12"/>
      </w:numPr>
    </w:pPr>
  </w:style>
  <w:style w:type="paragraph" w:styleId="PlainText">
    <w:name w:val="Plain Text"/>
    <w:basedOn w:val="Normal"/>
    <w:link w:val="PlainTextChar"/>
    <w:rsid w:val="00B17A8D"/>
    <w:rPr>
      <w:sz w:val="20"/>
    </w:rPr>
  </w:style>
  <w:style w:type="character" w:customStyle="1" w:styleId="PlainTextChar">
    <w:name w:val="Plain Text Char"/>
    <w:basedOn w:val="DefaultParagraphFont"/>
    <w:link w:val="PlainText"/>
    <w:rsid w:val="00B17A8D"/>
    <w:rPr>
      <w:rFonts w:ascii="Courier New" w:eastAsia="Times New Roman" w:hAnsi="Courier New" w:cs="Times New Roman"/>
      <w:sz w:val="20"/>
      <w:szCs w:val="20"/>
      <w:lang w:eastAsia="en-US"/>
    </w:rPr>
  </w:style>
  <w:style w:type="character" w:customStyle="1" w:styleId="MenuOption">
    <w:name w:val="Menu Option"/>
    <w:basedOn w:val="DefaultParagraphFont"/>
    <w:rsid w:val="00B17A8D"/>
    <w:rPr>
      <w:b/>
      <w:smallCaps/>
    </w:rPr>
  </w:style>
  <w:style w:type="paragraph" w:customStyle="1" w:styleId="TableListNumber">
    <w:name w:val="Table List Number"/>
    <w:basedOn w:val="ListNumber"/>
    <w:rsid w:val="00B17A8D"/>
    <w:pPr>
      <w:numPr>
        <w:numId w:val="0"/>
      </w:numPr>
    </w:pPr>
  </w:style>
  <w:style w:type="paragraph" w:styleId="TOC4">
    <w:name w:val="toc 4"/>
    <w:basedOn w:val="TOCBase"/>
    <w:next w:val="Normal"/>
    <w:semiHidden/>
    <w:rsid w:val="00B17A8D"/>
    <w:pPr>
      <w:tabs>
        <w:tab w:val="right" w:leader="dot" w:pos="9071"/>
      </w:tabs>
      <w:ind w:left="1701"/>
    </w:pPr>
  </w:style>
  <w:style w:type="paragraph" w:customStyle="1" w:styleId="ListAlpha">
    <w:name w:val="List Alpha"/>
    <w:basedOn w:val="List"/>
    <w:rsid w:val="00B17A8D"/>
    <w:pPr>
      <w:numPr>
        <w:numId w:val="9"/>
      </w:numPr>
    </w:pPr>
  </w:style>
  <w:style w:type="paragraph" w:customStyle="1" w:styleId="ListAlpha2">
    <w:name w:val="List Alpha 2"/>
    <w:basedOn w:val="List2"/>
    <w:rsid w:val="00B17A8D"/>
    <w:pPr>
      <w:numPr>
        <w:numId w:val="8"/>
      </w:numPr>
    </w:pPr>
  </w:style>
  <w:style w:type="paragraph" w:styleId="List3">
    <w:name w:val="List 3"/>
    <w:basedOn w:val="BodyText"/>
    <w:rsid w:val="00B17A8D"/>
    <w:pPr>
      <w:tabs>
        <w:tab w:val="left" w:pos="1021"/>
      </w:tabs>
      <w:spacing w:before="60" w:after="60"/>
      <w:ind w:left="1020" w:hanging="340"/>
    </w:pPr>
  </w:style>
  <w:style w:type="paragraph" w:styleId="List4">
    <w:name w:val="List 4"/>
    <w:basedOn w:val="BodyText"/>
    <w:rsid w:val="00B17A8D"/>
    <w:pPr>
      <w:tabs>
        <w:tab w:val="left" w:pos="1361"/>
      </w:tabs>
      <w:spacing w:before="60" w:after="60"/>
      <w:ind w:left="1361" w:hanging="340"/>
    </w:pPr>
  </w:style>
  <w:style w:type="paragraph" w:styleId="List5">
    <w:name w:val="List 5"/>
    <w:basedOn w:val="BodyText"/>
    <w:rsid w:val="00B17A8D"/>
    <w:pPr>
      <w:tabs>
        <w:tab w:val="left" w:pos="1701"/>
      </w:tabs>
      <w:spacing w:before="60" w:after="60"/>
      <w:ind w:left="1701" w:hanging="340"/>
    </w:pPr>
  </w:style>
  <w:style w:type="paragraph" w:styleId="ListBullet3">
    <w:name w:val="List Bullet 3"/>
    <w:basedOn w:val="List3"/>
    <w:rsid w:val="00B17A8D"/>
    <w:pPr>
      <w:numPr>
        <w:numId w:val="15"/>
      </w:numPr>
      <w:tabs>
        <w:tab w:val="clear" w:pos="1021"/>
      </w:tabs>
      <w:ind w:left="1037" w:hanging="357"/>
    </w:pPr>
  </w:style>
  <w:style w:type="paragraph" w:styleId="ListBullet4">
    <w:name w:val="List Bullet 4"/>
    <w:basedOn w:val="List4"/>
    <w:rsid w:val="00B17A8D"/>
    <w:pPr>
      <w:numPr>
        <w:numId w:val="3"/>
      </w:numPr>
    </w:pPr>
  </w:style>
  <w:style w:type="paragraph" w:styleId="ListBullet5">
    <w:name w:val="List Bullet 5"/>
    <w:basedOn w:val="List5"/>
    <w:rsid w:val="00B17A8D"/>
    <w:pPr>
      <w:numPr>
        <w:numId w:val="4"/>
      </w:numPr>
    </w:pPr>
  </w:style>
  <w:style w:type="paragraph" w:styleId="ListContinue2">
    <w:name w:val="List Continue 2"/>
    <w:basedOn w:val="List2"/>
    <w:rsid w:val="00B17A8D"/>
    <w:pPr>
      <w:ind w:firstLine="0"/>
    </w:pPr>
  </w:style>
  <w:style w:type="paragraph" w:styleId="ListContinue3">
    <w:name w:val="List Continue 3"/>
    <w:basedOn w:val="List3"/>
    <w:rsid w:val="00B17A8D"/>
    <w:pPr>
      <w:ind w:left="1021" w:firstLine="0"/>
    </w:pPr>
  </w:style>
  <w:style w:type="paragraph" w:styleId="ListContinue4">
    <w:name w:val="List Continue 4"/>
    <w:basedOn w:val="List4"/>
    <w:rsid w:val="00B17A8D"/>
    <w:pPr>
      <w:ind w:firstLine="0"/>
    </w:pPr>
  </w:style>
  <w:style w:type="paragraph" w:styleId="ListContinue5">
    <w:name w:val="List Continue 5"/>
    <w:basedOn w:val="List5"/>
    <w:rsid w:val="00B17A8D"/>
    <w:pPr>
      <w:ind w:firstLine="0"/>
    </w:pPr>
  </w:style>
  <w:style w:type="paragraph" w:styleId="ListNumber3">
    <w:name w:val="List Number 3"/>
    <w:basedOn w:val="List3"/>
    <w:rsid w:val="00B17A8D"/>
    <w:pPr>
      <w:numPr>
        <w:numId w:val="5"/>
      </w:numPr>
    </w:pPr>
  </w:style>
  <w:style w:type="paragraph" w:styleId="ListNumber4">
    <w:name w:val="List Number 4"/>
    <w:basedOn w:val="List4"/>
    <w:rsid w:val="00B17A8D"/>
    <w:pPr>
      <w:numPr>
        <w:numId w:val="6"/>
      </w:numPr>
    </w:pPr>
  </w:style>
  <w:style w:type="paragraph" w:styleId="ListNumber5">
    <w:name w:val="List Number 5"/>
    <w:basedOn w:val="List5"/>
    <w:rsid w:val="00B17A8D"/>
    <w:pPr>
      <w:numPr>
        <w:numId w:val="7"/>
      </w:numPr>
    </w:pPr>
  </w:style>
  <w:style w:type="paragraph" w:styleId="BlockText">
    <w:name w:val="Block Text"/>
    <w:basedOn w:val="Normal"/>
    <w:rsid w:val="00B17A8D"/>
    <w:pPr>
      <w:spacing w:after="120"/>
      <w:ind w:left="1440" w:right="1440"/>
    </w:pPr>
  </w:style>
  <w:style w:type="character" w:customStyle="1" w:styleId="Subscript">
    <w:name w:val="Subscript"/>
    <w:basedOn w:val="DefaultParagraphFont"/>
    <w:rsid w:val="00B17A8D"/>
    <w:rPr>
      <w:sz w:val="16"/>
      <w:vertAlign w:val="subscript"/>
    </w:rPr>
  </w:style>
  <w:style w:type="character" w:customStyle="1" w:styleId="Superscript">
    <w:name w:val="Superscript"/>
    <w:basedOn w:val="DefaultParagraphFont"/>
    <w:rsid w:val="00B17A8D"/>
    <w:rPr>
      <w:sz w:val="16"/>
      <w:vertAlign w:val="superscript"/>
    </w:rPr>
  </w:style>
  <w:style w:type="character" w:customStyle="1" w:styleId="Symbols">
    <w:name w:val="Symbols"/>
    <w:basedOn w:val="DefaultParagraphFont"/>
    <w:rsid w:val="00B17A8D"/>
    <w:rPr>
      <w:rFonts w:ascii="Symbol" w:hAnsi="Symbol"/>
    </w:rPr>
  </w:style>
  <w:style w:type="character" w:customStyle="1" w:styleId="MenuOptions">
    <w:name w:val="Menu Options"/>
    <w:basedOn w:val="DefaultParagraphFont"/>
    <w:rsid w:val="00B17A8D"/>
    <w:rPr>
      <w:rFonts w:ascii="Arial Narrow" w:hAnsi="Arial Narrow"/>
      <w:smallCaps/>
    </w:rPr>
  </w:style>
  <w:style w:type="character" w:customStyle="1" w:styleId="Buttons">
    <w:name w:val="Buttons"/>
    <w:basedOn w:val="DefaultParagraphFont"/>
    <w:rsid w:val="00B17A8D"/>
    <w:rPr>
      <w:b/>
    </w:rPr>
  </w:style>
  <w:style w:type="character" w:customStyle="1" w:styleId="Underlined">
    <w:name w:val="Underlined"/>
    <w:basedOn w:val="DefaultParagraphFont"/>
    <w:rsid w:val="00B17A8D"/>
    <w:rPr>
      <w:u w:val="single"/>
    </w:rPr>
  </w:style>
  <w:style w:type="paragraph" w:customStyle="1" w:styleId="TableBodyTextRight">
    <w:name w:val="Table Body Text Right"/>
    <w:basedOn w:val="TableBodyText"/>
    <w:rsid w:val="00B17A8D"/>
    <w:pPr>
      <w:widowControl w:val="0"/>
      <w:autoSpaceDE w:val="0"/>
      <w:autoSpaceDN w:val="0"/>
      <w:adjustRightInd w:val="0"/>
      <w:jc w:val="right"/>
    </w:pPr>
    <w:rPr>
      <w:rFonts w:cs="Arial"/>
      <w:szCs w:val="18"/>
    </w:rPr>
  </w:style>
  <w:style w:type="paragraph" w:customStyle="1" w:styleId="CopyrightText">
    <w:name w:val="Copyright Text"/>
    <w:basedOn w:val="BodyText"/>
    <w:rsid w:val="00B17A8D"/>
    <w:rPr>
      <w:sz w:val="18"/>
    </w:rPr>
  </w:style>
  <w:style w:type="paragraph" w:customStyle="1" w:styleId="BodySmallRight">
    <w:name w:val="Body Small Right"/>
    <w:basedOn w:val="BodyTextRight"/>
    <w:rsid w:val="00B17A8D"/>
    <w:rPr>
      <w:sz w:val="18"/>
      <w:szCs w:val="18"/>
    </w:rPr>
  </w:style>
  <w:style w:type="paragraph" w:customStyle="1" w:styleId="MarginEdition">
    <w:name w:val="Margin Edition"/>
    <w:basedOn w:val="MarginNote"/>
    <w:rsid w:val="00B17A8D"/>
    <w:pPr>
      <w:spacing w:before="0" w:after="0"/>
    </w:pPr>
    <w:rPr>
      <w:rFonts w:ascii="Times New Roman" w:hAnsi="Times New Roman"/>
      <w:color w:val="999999"/>
    </w:rPr>
  </w:style>
  <w:style w:type="paragraph" w:customStyle="1" w:styleId="Spacer">
    <w:name w:val="Spacer"/>
    <w:basedOn w:val="Normal"/>
    <w:rsid w:val="00B17A8D"/>
    <w:rPr>
      <w:sz w:val="2"/>
      <w:szCs w:val="2"/>
    </w:rPr>
  </w:style>
  <w:style w:type="character" w:customStyle="1" w:styleId="Small">
    <w:name w:val="Small"/>
    <w:basedOn w:val="DefaultParagraphFont"/>
    <w:rsid w:val="00B17A8D"/>
    <w:rPr>
      <w:sz w:val="16"/>
    </w:rPr>
  </w:style>
  <w:style w:type="paragraph" w:customStyle="1" w:styleId="WideTable">
    <w:name w:val="Wide Table"/>
    <w:basedOn w:val="Normal"/>
    <w:rsid w:val="00B17A8D"/>
    <w:pPr>
      <w:ind w:left="-1418"/>
    </w:pPr>
    <w:rPr>
      <w:sz w:val="2"/>
      <w:szCs w:val="2"/>
    </w:rPr>
  </w:style>
  <w:style w:type="character" w:styleId="PageNumber">
    <w:name w:val="page number"/>
    <w:basedOn w:val="DefaultParagraphFont"/>
    <w:rsid w:val="00B17A8D"/>
  </w:style>
  <w:style w:type="paragraph" w:styleId="Quote">
    <w:name w:val="Quote"/>
    <w:basedOn w:val="Heading1"/>
    <w:link w:val="QuoteChar"/>
    <w:qFormat/>
    <w:rsid w:val="00B17A8D"/>
    <w:rPr>
      <w:b w:val="0"/>
      <w:sz w:val="72"/>
      <w:szCs w:val="72"/>
      <w:lang w:val="en-NZ"/>
    </w:rPr>
  </w:style>
  <w:style w:type="character" w:customStyle="1" w:styleId="QuoteChar">
    <w:name w:val="Quote Char"/>
    <w:basedOn w:val="DefaultParagraphFont"/>
    <w:link w:val="Quote"/>
    <w:rsid w:val="00B17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A8D"/>
    <w:pPr>
      <w:pageBreakBefore/>
    </w:pPr>
  </w:style>
  <w:style w:type="paragraph" w:customStyle="1" w:styleId="Border">
    <w:name w:val="Border"/>
    <w:basedOn w:val="Normal"/>
    <w:qFormat/>
    <w:rsid w:val="00B17A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A8D"/>
    <w:rPr>
      <w:b/>
      <w:bCs/>
      <w:i/>
      <w:iCs/>
      <w:color w:val="auto"/>
    </w:rPr>
  </w:style>
  <w:style w:type="paragraph" w:styleId="IntenseQuote">
    <w:name w:val="Intense Quote"/>
    <w:basedOn w:val="Normal"/>
    <w:next w:val="Normal"/>
    <w:link w:val="IntenseQuoteChar"/>
    <w:uiPriority w:val="30"/>
    <w:qFormat/>
    <w:rsid w:val="00B17A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A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A8D"/>
    <w:rPr>
      <w:smallCaps/>
      <w:color w:val="auto"/>
      <w:u w:val="single"/>
    </w:rPr>
  </w:style>
  <w:style w:type="character" w:styleId="IntenseReference">
    <w:name w:val="Intense Reference"/>
    <w:basedOn w:val="DefaultParagraphFont"/>
    <w:uiPriority w:val="32"/>
    <w:qFormat/>
    <w:rsid w:val="00B17A8D"/>
    <w:rPr>
      <w:b/>
      <w:bCs/>
      <w:smallCaps/>
      <w:color w:val="auto"/>
      <w:spacing w:val="5"/>
      <w:u w:val="single"/>
    </w:rPr>
  </w:style>
  <w:style w:type="paragraph" w:customStyle="1" w:styleId="2ColumnHeading">
    <w:name w:val="2Column Heading"/>
    <w:basedOn w:val="BodyText"/>
    <w:qFormat/>
    <w:rsid w:val="00B17A8D"/>
    <w:pPr>
      <w:spacing w:after="60"/>
      <w:ind w:left="-2268"/>
    </w:pPr>
    <w:rPr>
      <w:b/>
    </w:rPr>
  </w:style>
  <w:style w:type="paragraph" w:customStyle="1" w:styleId="Heading1TOC">
    <w:name w:val="Heading1 TOC"/>
    <w:basedOn w:val="Normal"/>
    <w:qFormat/>
    <w:rsid w:val="00B17A8D"/>
    <w:pPr>
      <w:spacing w:before="240" w:after="120"/>
    </w:pPr>
    <w:rPr>
      <w:rFonts w:ascii="Times New Roman" w:hAnsi="Times New Roman"/>
      <w:b/>
      <w:sz w:val="32"/>
    </w:rPr>
  </w:style>
  <w:style w:type="paragraph" w:customStyle="1" w:styleId="Heading2TOC">
    <w:name w:val="Heading2 TOC"/>
    <w:basedOn w:val="Normal"/>
    <w:qFormat/>
    <w:rsid w:val="00B17A8D"/>
    <w:pPr>
      <w:spacing w:before="240" w:after="60"/>
    </w:pPr>
    <w:rPr>
      <w:rFonts w:ascii="Times New Roman" w:hAnsi="Times New Roman"/>
      <w:b/>
      <w:sz w:val="28"/>
    </w:rPr>
  </w:style>
  <w:style w:type="character" w:customStyle="1" w:styleId="Underline">
    <w:name w:val="Underline"/>
    <w:basedOn w:val="DefaultParagraphFont"/>
    <w:qFormat/>
    <w:rsid w:val="00B17A8D"/>
    <w:rPr>
      <w:u w:val="single"/>
    </w:rPr>
  </w:style>
  <w:style w:type="paragraph" w:styleId="BalloonText">
    <w:name w:val="Balloon Text"/>
    <w:basedOn w:val="Normal"/>
    <w:link w:val="BalloonTextChar"/>
    <w:rsid w:val="00B17A8D"/>
    <w:rPr>
      <w:rFonts w:ascii="Tahoma" w:hAnsi="Tahoma" w:cs="Tahoma"/>
      <w:sz w:val="16"/>
      <w:szCs w:val="16"/>
    </w:rPr>
  </w:style>
  <w:style w:type="character" w:customStyle="1" w:styleId="BalloonTextChar">
    <w:name w:val="Balloon Text Char"/>
    <w:basedOn w:val="DefaultParagraphFont"/>
    <w:link w:val="BalloonText"/>
    <w:rsid w:val="00B17A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A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7A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A8D"/>
    <w:rPr>
      <w:b/>
      <w:color w:val="660033"/>
      <w:spacing w:val="0"/>
    </w:rPr>
  </w:style>
  <w:style w:type="paragraph" w:customStyle="1" w:styleId="Nameditemlist">
    <w:name w:val="Named item list"/>
    <w:basedOn w:val="BodyText"/>
    <w:qFormat/>
    <w:rsid w:val="00B17A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959</Words>
  <Characters>6199</Characters>
  <Application>Microsoft Office Word</Application>
  <DocSecurity>0</DocSecurity>
  <Lines>165</Lines>
  <Paragraphs>120</Paragraphs>
  <ScaleCrop>false</ScaleCrop>
  <Company>Author-it Software Corporation Ltd.</Company>
  <LinksUpToDate>false</LinksUpToDate>
  <CharactersWithSpaces>7098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SITHGAM301 Analyse and report on gaming machine data</dc:title>
  <dc:subject>Approved</dc:subject>
  <dc:creator>Service Skills Australia</dc:creator>
  <cp:keywords>Release 2</cp:keywords>
  <dc:description>Review Date: 12 April 2008</dc:description>
  <cp:lastModifiedBy>HSD_TPCMSd.prod</cp:lastModifiedBy>
  <cp:revision>3</cp:revision>
  <dcterms:created xsi:type="dcterms:W3CDTF">2013-07-29T05:30:00Z</dcterms:created>
  <dcterms:modified xsi:type="dcterms:W3CDTF">2013-07-29T05:30:00Z</dcterms:modified>
</cp:coreProperties>
</file>