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CF1" w:rsidP="001C5CF1">
      <w:pPr>
        <w:pStyle w:val="Title"/>
      </w:pPr>
      <w:r>
        <w:fldChar w:fldCharType="begin"/>
      </w:r>
      <w:r>
        <w:instrText xml:space="preserve"> TITLE   \* MERGEFORMAT </w:instrText>
      </w:r>
      <w:r>
        <w:fldChar w:fldCharType="separate"/>
      </w:r>
      <w:r>
        <w:t>SITHGAM204 Conduct Keno games</w:t>
      </w:r>
      <w:r>
        <w:fldChar w:fldCharType="end"/>
      </w:r>
    </w:p>
    <w:p w:rsidR="001C5CF1" w:rsidP="001C5CF1">
      <w:pPr>
        <w:pStyle w:val="Version"/>
        <w:sectPr w:rsidSect="00B67C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7CE1" w:rsidP="00B67CE1">
      <w:pPr>
        <w:pStyle w:val="SuperHeading"/>
      </w:pPr>
      <w:r w:rsidRPr="00B67CE1">
        <w:t>SITHGAM204 Conduct Keno games</w:t>
      </w:r>
    </w:p>
    <w:p w:rsidR="00000000" w:rsidRPr="00B67CE1" w:rsidP="00B67CE1">
      <w:pPr>
        <w:pStyle w:val="Heading1"/>
      </w:pPr>
      <w:bookmarkStart w:id="1" w:name="O_583588"/>
      <w:bookmarkEnd w:id="1"/>
      <w:r w:rsidRPr="00B67CE1">
        <w:t>Modification History</w:t>
      </w:r>
    </w:p>
    <w:p w:rsidR="00000000" w:rsidRPr="00B67CE1" w:rsidP="00B67CE1">
      <w:pPr>
        <w:pStyle w:val="BodyText"/>
      </w:pPr>
      <w:r w:rsidRPr="00B67CE1">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1C5C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CE1" w:rsidP="00B67CE1">
            <w:pPr>
              <w:pStyle w:val="BodyText"/>
            </w:pPr>
            <w:r w:rsidRPr="00B67CE1">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E1">
            <w:pPr>
              <w:pStyle w:val="BodyText"/>
              <w:rPr>
                <w:lang w:val="en-NZ"/>
              </w:rPr>
            </w:pPr>
            <w:r w:rsidRPr="00B67CE1">
              <w:rPr>
                <w:rStyle w:val="SpecialBold"/>
              </w:rPr>
              <w:t>Comments</w:t>
            </w:r>
          </w:p>
        </w:tc>
      </w:tr>
      <w:tr w:rsidTr="001C5C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E1">
            <w:pPr>
              <w:pStyle w:val="BodyText"/>
              <w:rPr>
                <w:lang w:val="en-NZ"/>
              </w:rPr>
            </w:pPr>
            <w:r w:rsidRPr="00B67CE1">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E1">
            <w:pPr>
              <w:pStyle w:val="BodyText"/>
              <w:rPr>
                <w:lang w:val="en-NZ"/>
              </w:rPr>
            </w:pPr>
            <w:r w:rsidRPr="00B67CE1">
              <w:t>Correction to mapping to show equivalence.</w:t>
            </w:r>
          </w:p>
        </w:tc>
      </w:tr>
      <w:tr w:rsidTr="001C5C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E1">
            <w:pPr>
              <w:pStyle w:val="BodyText"/>
              <w:rPr>
                <w:lang w:val="en-NZ"/>
              </w:rPr>
            </w:pPr>
            <w:r w:rsidRPr="00B67CE1">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CE1" w:rsidP="00B67CE1">
            <w:pPr>
              <w:pStyle w:val="BodyText"/>
            </w:pPr>
            <w:r w:rsidRPr="00B67CE1">
              <w:t>E</w:t>
            </w:r>
          </w:p>
          <w:p w:rsidR="00000000" w:rsidRPr="00B67CE1" w:rsidP="00B67CE1">
            <w:pPr>
              <w:pStyle w:val="BodyText"/>
            </w:pPr>
            <w:r w:rsidRPr="00B67CE1">
              <w:t>Replaces and is equivalent to SITHGAM003A</w:t>
            </w:r>
            <w:r w:rsidRPr="00B67CE1">
              <w:t xml:space="preserve"> Conduct a Keno game.</w:t>
            </w:r>
          </w:p>
          <w:p w:rsidR="00000000" w:rsidRPr="00B67CE1" w:rsidP="00B67CE1">
            <w:pPr>
              <w:pStyle w:val="BodyText"/>
            </w:pPr>
            <w:r w:rsidRPr="00B67CE1">
              <w:t>Title changed to reflect need for operation of multiple games. Minor adjustments to expression of content to streamline and improve unit. Prerequisite unit removed. SITHGAM201 Provide responsible gambling services added as a prerequis</w:t>
            </w:r>
            <w:r w:rsidRPr="00B67CE1">
              <w:t xml:space="preserve">ite. </w:t>
            </w:r>
          </w:p>
        </w:tc>
      </w:tr>
    </w:tbl>
    <w:p w:rsidR="00000000" w:rsidRPr="00B67CE1" w:rsidP="00B67CE1">
      <w:pPr>
        <w:pStyle w:val="BodyText"/>
      </w:pPr>
    </w:p>
    <w:p w:rsidR="00000000" w:rsidRPr="00B67CE1" w:rsidP="00B67CE1">
      <w:pPr>
        <w:pStyle w:val="AllowPageBreak"/>
      </w:pPr>
    </w:p>
    <w:p w:rsidR="00000000" w:rsidRPr="00B67CE1" w:rsidP="00B67CE1">
      <w:pPr>
        <w:pStyle w:val="Heading1"/>
      </w:pPr>
      <w:bookmarkStart w:id="2" w:name="O_583587"/>
      <w:bookmarkEnd w:id="2"/>
      <w:r w:rsidRPr="00B67CE1">
        <w:t>Unit Descriptor</w:t>
      </w:r>
    </w:p>
    <w:p w:rsidR="00000000" w:rsidRPr="00B67CE1" w:rsidP="00B67CE1">
      <w:pPr>
        <w:pStyle w:val="BodyText"/>
      </w:pPr>
      <w:r w:rsidRPr="00B67CE1">
        <w:t>This unit describes the performance outcomes, skills and knowledge required to operate and maintain Keno equipment, take bets, make payouts, check security issues and provide advice on Keno to customers.</w:t>
      </w:r>
    </w:p>
    <w:p w:rsidR="00000000" w:rsidRPr="00B67CE1" w:rsidP="00B67CE1">
      <w:pPr>
        <w:pStyle w:val="AllowPageBreak"/>
      </w:pPr>
    </w:p>
    <w:p w:rsidR="00000000" w:rsidRPr="00B67CE1" w:rsidP="00B67CE1">
      <w:pPr>
        <w:pStyle w:val="Heading1"/>
      </w:pPr>
      <w:bookmarkStart w:id="3" w:name="O_583586"/>
      <w:bookmarkEnd w:id="3"/>
      <w:r w:rsidRPr="00B67CE1">
        <w:t>Application of the Unit</w:t>
      </w:r>
    </w:p>
    <w:p w:rsidR="00000000" w:rsidRPr="00B67CE1" w:rsidP="00B67CE1">
      <w:pPr>
        <w:pStyle w:val="BodyText"/>
      </w:pPr>
      <w:r w:rsidRPr="00B67CE1">
        <w:t>This unit applies to gaming venues that offer Keno games, and to gaming attendants who work under general supervision within established procedures.</w:t>
      </w:r>
    </w:p>
    <w:p w:rsidR="00000000" w:rsidRPr="00B67CE1" w:rsidP="00B67CE1">
      <w:pPr>
        <w:pStyle w:val="AllowPageBreak"/>
      </w:pPr>
    </w:p>
    <w:p w:rsidR="00000000" w:rsidRPr="00B67CE1" w:rsidP="00B67CE1">
      <w:pPr>
        <w:pStyle w:val="Heading1"/>
      </w:pPr>
      <w:bookmarkStart w:id="4" w:name="O_583585"/>
      <w:bookmarkEnd w:id="4"/>
      <w:r w:rsidRPr="00B67CE1">
        <w:t>Licensing/Regulatory Information</w:t>
      </w:r>
    </w:p>
    <w:p w:rsidR="00000000" w:rsidRPr="00B67CE1" w:rsidP="00B67CE1">
      <w:pPr>
        <w:pStyle w:val="BodyText"/>
      </w:pPr>
      <w:r w:rsidRPr="00B67CE1">
        <w:t>In many States and Territories, legislation stipulates that all gaming workers must receive training in the responsible conduct of gambling. This content is addressed in SITHGAM201 Provide responsible gambling services.</w:t>
      </w:r>
    </w:p>
    <w:p w:rsidR="00000000" w:rsidRPr="00B67CE1" w:rsidP="00B67CE1">
      <w:pPr>
        <w:pStyle w:val="AllowPageBreak"/>
      </w:pPr>
    </w:p>
    <w:p w:rsidR="00000000" w:rsidRPr="00B67CE1" w:rsidP="00B67CE1">
      <w:pPr>
        <w:pStyle w:val="Heading1"/>
      </w:pPr>
      <w:bookmarkStart w:id="5" w:name="O_583584"/>
      <w:bookmarkEnd w:id="5"/>
      <w:r w:rsidRPr="00B67CE1">
        <w:t>Pre-Requisites</w:t>
      </w:r>
    </w:p>
    <w:tbl>
      <w:tblPr>
        <w:tblW w:w="0" w:type="auto"/>
        <w:tblLayout w:type="fixed"/>
        <w:tblCellMar>
          <w:left w:w="62" w:type="dxa"/>
          <w:right w:w="62" w:type="dxa"/>
        </w:tblCellMar>
        <w:tblLook w:val="0000"/>
      </w:tblPr>
      <w:tblGrid>
        <w:gridCol w:w="1890"/>
        <w:gridCol w:w="4668"/>
      </w:tblGrid>
      <w:tr w:rsidTr="00B67CE1">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CE1">
            <w:pPr>
              <w:pStyle w:val="BodyText"/>
              <w:rPr>
                <w:lang w:val="en-NZ"/>
              </w:rPr>
            </w:pPr>
            <w:r w:rsidRPr="00B67CE1">
              <w:t>This</w:t>
            </w:r>
            <w:r w:rsidRPr="00B67CE1">
              <w:t xml:space="preserve"> unit must be assessed after the following prerequisite unit:</w:t>
            </w:r>
          </w:p>
        </w:tc>
      </w:tr>
      <w:tr w:rsidTr="00B67CE1">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CE1">
            <w:pPr>
              <w:pStyle w:val="BodyText"/>
              <w:rPr>
                <w:lang w:val="en-NZ"/>
              </w:rPr>
            </w:pPr>
            <w:r w:rsidRPr="00B67CE1">
              <w:t>SITHGAM201</w:t>
            </w:r>
          </w:p>
        </w:tc>
        <w:tc>
          <w:tcPr>
            <w:tcW w:w="4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CE1" w:rsidP="00B67CE1">
            <w:pPr>
              <w:pStyle w:val="BodyText"/>
            </w:pPr>
            <w:r w:rsidRPr="00B67CE1">
              <w:t>Provide responsible gambling services</w:t>
            </w:r>
          </w:p>
        </w:tc>
      </w:tr>
    </w:tbl>
    <w:p w:rsidR="00000000" w:rsidRPr="00B67CE1" w:rsidP="00B67CE1">
      <w:pPr>
        <w:pStyle w:val="BodyText"/>
      </w:pPr>
    </w:p>
    <w:p w:rsidR="00000000" w:rsidRPr="00B67CE1" w:rsidP="00B67CE1">
      <w:pPr>
        <w:pStyle w:val="AllowPageBreak"/>
      </w:pPr>
    </w:p>
    <w:p w:rsidR="00000000" w:rsidRPr="00B67CE1" w:rsidP="00B67CE1">
      <w:pPr>
        <w:pStyle w:val="Heading1"/>
      </w:pPr>
      <w:bookmarkStart w:id="6" w:name="O_583583"/>
      <w:bookmarkEnd w:id="6"/>
      <w:r w:rsidRPr="00B67CE1">
        <w:t>Employability Skills Information</w:t>
      </w:r>
    </w:p>
    <w:p w:rsidR="00000000" w:rsidRPr="00B67CE1" w:rsidP="00B67CE1">
      <w:pPr>
        <w:pStyle w:val="BodyText"/>
      </w:pPr>
      <w:r w:rsidRPr="00B67CE1">
        <w:t>This unit contains employability skills.</w:t>
      </w:r>
    </w:p>
    <w:p w:rsidR="00000000" w:rsidRPr="00B67CE1" w:rsidP="00B67CE1">
      <w:pPr>
        <w:pStyle w:val="AllowPageBreak"/>
      </w:pPr>
    </w:p>
    <w:p w:rsidR="00000000" w:rsidRPr="00B67CE1" w:rsidP="00B67CE1">
      <w:pPr>
        <w:pStyle w:val="Heading1"/>
      </w:pPr>
      <w:bookmarkStart w:id="7" w:name="O_583582"/>
      <w:bookmarkEnd w:id="7"/>
      <w:r w:rsidRPr="00B67CE1">
        <w:t>Elements and Performance Criteria</w:t>
      </w:r>
      <w:r w:rsidRPr="00B67CE1">
        <w:t xml:space="preserve"> Pre-Content</w:t>
      </w:r>
    </w:p>
    <w:p w:rsidR="00000000" w:rsidRPr="00B67CE1" w:rsidP="00B67CE1">
      <w:pPr>
        <w:pStyle w:val="BodyText"/>
      </w:pPr>
      <w:r w:rsidRPr="00B67CE1">
        <w:t>Not applicable.</w:t>
      </w:r>
    </w:p>
    <w:p w:rsidR="00000000" w:rsidRPr="00B67CE1" w:rsidP="00B67CE1">
      <w:pPr>
        <w:pStyle w:val="AllowPageBreak"/>
      </w:pPr>
    </w:p>
    <w:p w:rsidR="00000000" w:rsidRPr="00B67CE1" w:rsidP="00B67CE1">
      <w:pPr>
        <w:pStyle w:val="Heading1"/>
      </w:pPr>
      <w:bookmarkStart w:id="8" w:name="O_583581"/>
      <w:bookmarkEnd w:id="8"/>
      <w:r w:rsidRPr="00B67CE1">
        <w:t>Elements and Performance Criteria</w:t>
      </w:r>
    </w:p>
    <w:tbl>
      <w:tblPr>
        <w:tblW w:w="0" w:type="auto"/>
        <w:tblCellMar>
          <w:left w:w="62" w:type="dxa"/>
          <w:right w:w="62" w:type="dxa"/>
        </w:tblCellMar>
        <w:tblLook w:val="0000"/>
      </w:tblPr>
      <w:tblGrid>
        <w:gridCol w:w="2817"/>
        <w:gridCol w:w="6379"/>
      </w:tblGrid>
      <w:tr w:rsidTr="001C5C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CE1">
            <w:pPr>
              <w:pStyle w:val="BodyText"/>
              <w:rPr>
                <w:lang w:val="en-NZ"/>
              </w:rPr>
            </w:pPr>
            <w:r w:rsidRPr="00B67CE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67CE1">
            <w:pPr>
              <w:pStyle w:val="BodyText"/>
              <w:rPr>
                <w:lang w:val="en-NZ"/>
              </w:rPr>
            </w:pPr>
            <w:r w:rsidRPr="00B67CE1">
              <w:t>Performance criteria describe the performance needed to demonstrate achievement of the element. Where bold italicised text is used, further information is detailed in the required skills and knowledge section and the range statement. Assessment of performa</w:t>
            </w:r>
            <w:r w:rsidRPr="00B67CE1">
              <w:t>nce is to be consistent with the evidence guide.</w:t>
            </w:r>
          </w:p>
        </w:tc>
      </w:tr>
      <w:tr w:rsidTr="001C5C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CE1">
            <w:pPr>
              <w:pStyle w:val="List"/>
              <w:rPr>
                <w:lang w:val="en-NZ"/>
              </w:rPr>
            </w:pPr>
            <w:r w:rsidRPr="00B67CE1">
              <w:t>1.</w:t>
            </w:r>
            <w:r w:rsidRPr="00B67CE1">
              <w:tab/>
              <w:t>Advise customers on features of Keno.</w:t>
            </w:r>
          </w:p>
        </w:tc>
        <w:tc>
          <w:tcPr>
            <w:tcW w:w="0" w:type="auto"/>
            <w:tcBorders>
              <w:top w:val="nil"/>
              <w:left w:val="nil"/>
              <w:bottom w:val="nil"/>
              <w:right w:val="nil"/>
            </w:tcBorders>
            <w:tcMar>
              <w:top w:w="0" w:type="dxa"/>
              <w:left w:w="62" w:type="dxa"/>
              <w:bottom w:w="0" w:type="dxa"/>
              <w:right w:w="62" w:type="dxa"/>
            </w:tcMar>
          </w:tcPr>
          <w:p w:rsidR="00000000" w:rsidRPr="00B67CE1" w:rsidP="00B67CE1">
            <w:pPr>
              <w:pStyle w:val="List2"/>
            </w:pPr>
            <w:r w:rsidRPr="00B67CE1">
              <w:t>1.1</w:t>
            </w:r>
            <w:r w:rsidRPr="00B67CE1">
              <w:tab/>
              <w:t xml:space="preserve">Provide </w:t>
            </w:r>
            <w:r w:rsidRPr="00B67CE1">
              <w:rPr>
                <w:rStyle w:val="BoldandItalics"/>
              </w:rPr>
              <w:t xml:space="preserve">information </w:t>
            </w:r>
            <w:r w:rsidRPr="00B67CE1">
              <w:t xml:space="preserve">to customers about </w:t>
            </w:r>
            <w:r w:rsidRPr="00B67CE1">
              <w:rPr>
                <w:rStyle w:val="BoldandItalics"/>
              </w:rPr>
              <w:t>Keno games</w:t>
            </w:r>
            <w:r w:rsidRPr="00B67CE1">
              <w:t>.</w:t>
            </w:r>
          </w:p>
          <w:p w:rsidR="00000000" w:rsidRPr="00B67CE1" w:rsidP="00B67CE1">
            <w:pPr>
              <w:pStyle w:val="List2"/>
            </w:pPr>
            <w:r w:rsidRPr="00B67CE1">
              <w:t>1.2</w:t>
            </w:r>
            <w:r w:rsidRPr="00B67CE1">
              <w:tab/>
              <w:t xml:space="preserve">Advise customers on </w:t>
            </w:r>
            <w:r w:rsidRPr="00B67CE1">
              <w:rPr>
                <w:rStyle w:val="BoldandItalics"/>
              </w:rPr>
              <w:t>Keno promotions</w:t>
            </w:r>
            <w:r w:rsidRPr="00B67CE1">
              <w:t xml:space="preserve"> as required.</w:t>
            </w:r>
          </w:p>
          <w:p w:rsidR="00000000" w:rsidP="00B67CE1">
            <w:pPr>
              <w:pStyle w:val="List2"/>
              <w:rPr>
                <w:lang w:val="en-NZ"/>
              </w:rPr>
            </w:pPr>
            <w:r w:rsidRPr="00B67CE1">
              <w:t>1.3</w:t>
            </w:r>
            <w:r w:rsidRPr="00B67CE1">
              <w:tab/>
              <w:t>Respond to customer complaints and queries courteousl</w:t>
            </w:r>
            <w:r w:rsidRPr="00B67CE1">
              <w:t>y according to organisational procedures.</w:t>
            </w:r>
          </w:p>
        </w:tc>
      </w:tr>
      <w:tr w:rsidTr="001C5C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CE1">
            <w:pPr>
              <w:pStyle w:val="List"/>
              <w:rPr>
                <w:lang w:val="en-NZ"/>
              </w:rPr>
            </w:pPr>
            <w:r w:rsidRPr="00B67CE1">
              <w:t>2.</w:t>
            </w:r>
            <w:r w:rsidRPr="00B67CE1">
              <w:tab/>
              <w:t>Process bet types.</w:t>
            </w:r>
          </w:p>
        </w:tc>
        <w:tc>
          <w:tcPr>
            <w:tcW w:w="0" w:type="auto"/>
            <w:tcBorders>
              <w:top w:val="nil"/>
              <w:left w:val="nil"/>
              <w:bottom w:val="nil"/>
              <w:right w:val="nil"/>
            </w:tcBorders>
            <w:tcMar>
              <w:top w:w="0" w:type="dxa"/>
              <w:left w:w="62" w:type="dxa"/>
              <w:bottom w:w="0" w:type="dxa"/>
              <w:right w:w="62" w:type="dxa"/>
            </w:tcMar>
          </w:tcPr>
          <w:p w:rsidR="00000000" w:rsidRPr="00B67CE1" w:rsidP="00B67CE1">
            <w:pPr>
              <w:pStyle w:val="List2"/>
            </w:pPr>
            <w:r w:rsidRPr="00B67CE1">
              <w:t>2.1</w:t>
            </w:r>
            <w:r w:rsidRPr="00B67CE1">
              <w:tab/>
              <w:t>Identify and confirm verbal and standard entry bet types.</w:t>
            </w:r>
          </w:p>
          <w:p w:rsidR="00000000" w:rsidP="00B67CE1">
            <w:pPr>
              <w:pStyle w:val="List2"/>
              <w:rPr>
                <w:lang w:val="en-NZ"/>
              </w:rPr>
            </w:pPr>
            <w:r w:rsidRPr="00B67CE1">
              <w:t>2.2</w:t>
            </w:r>
            <w:r w:rsidRPr="00B67CE1">
              <w:tab/>
              <w:t>Process bet types according to designated procedures.</w:t>
            </w:r>
          </w:p>
        </w:tc>
      </w:tr>
      <w:tr w:rsidTr="001C5CF1">
        <w:tblPrEx>
          <w:tblW w:w="0" w:type="auto"/>
          <w:tblCellMar>
            <w:left w:w="62" w:type="dxa"/>
            <w:right w:w="62" w:type="dxa"/>
          </w:tblCellMar>
          <w:tblLook w:val="0000"/>
        </w:tblPrEx>
        <w:trPr>
          <w:trHeight w:val="286"/>
        </w:trPr>
        <w:tc>
          <w:tcPr>
            <w:tcW w:w="0" w:type="auto"/>
            <w:tcBorders>
              <w:top w:val="nil"/>
              <w:left w:val="nil"/>
              <w:bottom w:val="nil"/>
              <w:right w:val="nil"/>
            </w:tcBorders>
            <w:tcMar>
              <w:top w:w="0" w:type="dxa"/>
              <w:left w:w="62" w:type="dxa"/>
              <w:bottom w:w="0" w:type="dxa"/>
              <w:right w:w="62" w:type="dxa"/>
            </w:tcMar>
          </w:tcPr>
          <w:p w:rsidR="00000000" w:rsidP="00B67CE1">
            <w:pPr>
              <w:pStyle w:val="List"/>
              <w:rPr>
                <w:lang w:val="en-NZ"/>
              </w:rPr>
            </w:pPr>
            <w:r w:rsidRPr="00B67CE1">
              <w:t>3.</w:t>
            </w:r>
            <w:r w:rsidRPr="00B67CE1">
              <w:tab/>
              <w:t>Pay out prizes.</w:t>
            </w:r>
          </w:p>
        </w:tc>
        <w:tc>
          <w:tcPr>
            <w:tcW w:w="0" w:type="auto"/>
            <w:tcBorders>
              <w:top w:val="nil"/>
              <w:left w:val="nil"/>
              <w:bottom w:val="nil"/>
              <w:right w:val="nil"/>
            </w:tcBorders>
            <w:tcMar>
              <w:top w:w="0" w:type="dxa"/>
              <w:left w:w="62" w:type="dxa"/>
              <w:bottom w:w="0" w:type="dxa"/>
              <w:right w:w="62" w:type="dxa"/>
            </w:tcMar>
          </w:tcPr>
          <w:p w:rsidR="00000000" w:rsidRPr="00B67CE1" w:rsidP="00B67CE1">
            <w:pPr>
              <w:pStyle w:val="List2"/>
            </w:pPr>
            <w:r w:rsidRPr="00B67CE1">
              <w:t>3.1</w:t>
            </w:r>
            <w:r w:rsidRPr="00B67CE1">
              <w:tab/>
              <w:t>Check tickets through card reader, scanner or b</w:t>
            </w:r>
            <w:r w:rsidRPr="00B67CE1">
              <w:t>y serial number.</w:t>
            </w:r>
          </w:p>
          <w:p w:rsidR="00000000" w:rsidRPr="00B67CE1" w:rsidP="00B67CE1">
            <w:pPr>
              <w:pStyle w:val="List2"/>
            </w:pPr>
            <w:r w:rsidRPr="00B67CE1">
              <w:t>3.2</w:t>
            </w:r>
            <w:r w:rsidRPr="00B67CE1">
              <w:tab/>
              <w:t>Process cash and cheque payouts according to pre set limits.</w:t>
            </w:r>
          </w:p>
          <w:p w:rsidR="00000000" w:rsidRPr="00B67CE1" w:rsidP="00B67CE1">
            <w:pPr>
              <w:pStyle w:val="List2"/>
            </w:pPr>
            <w:r w:rsidRPr="00B67CE1">
              <w:t>3.3</w:t>
            </w:r>
            <w:r w:rsidRPr="00B67CE1">
              <w:tab/>
              <w:t>Perform cash and cheque transactions according to agency and system limits.</w:t>
            </w:r>
          </w:p>
          <w:p w:rsidR="00000000" w:rsidP="00B67CE1">
            <w:pPr>
              <w:pStyle w:val="List2"/>
              <w:rPr>
                <w:lang w:val="en-NZ"/>
              </w:rPr>
            </w:pPr>
            <w:r w:rsidRPr="00B67CE1">
              <w:t>3.4</w:t>
            </w:r>
            <w:r w:rsidRPr="00B67CE1">
              <w:tab/>
              <w:t>Refer large payouts, bets, cash ins and cash outs to the appropriate person.</w:t>
            </w:r>
          </w:p>
        </w:tc>
      </w:tr>
      <w:tr w:rsidTr="001C5C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CE1">
            <w:pPr>
              <w:pStyle w:val="List"/>
              <w:rPr>
                <w:lang w:val="en-NZ"/>
              </w:rPr>
            </w:pPr>
            <w:r w:rsidRPr="00B67CE1">
              <w:t>4.</w:t>
            </w:r>
            <w:r w:rsidRPr="00B67CE1">
              <w:tab/>
            </w:r>
            <w:r w:rsidRPr="00B67CE1">
              <w:t>Cancel tickets.</w:t>
            </w:r>
          </w:p>
        </w:tc>
        <w:tc>
          <w:tcPr>
            <w:tcW w:w="0" w:type="auto"/>
            <w:tcBorders>
              <w:top w:val="nil"/>
              <w:left w:val="nil"/>
              <w:bottom w:val="nil"/>
              <w:right w:val="nil"/>
            </w:tcBorders>
            <w:tcMar>
              <w:top w:w="0" w:type="dxa"/>
              <w:left w:w="62" w:type="dxa"/>
              <w:bottom w:w="0" w:type="dxa"/>
              <w:right w:w="62" w:type="dxa"/>
            </w:tcMar>
          </w:tcPr>
          <w:p w:rsidR="00000000" w:rsidRPr="00B67CE1" w:rsidP="00B67CE1">
            <w:pPr>
              <w:pStyle w:val="List2"/>
            </w:pPr>
            <w:r w:rsidRPr="00B67CE1">
              <w:t>4.1</w:t>
            </w:r>
            <w:r w:rsidRPr="00B67CE1">
              <w:tab/>
              <w:t xml:space="preserve">Cancel tickets through card reader or scanner, by serial number, or when not available, through arranging a claim for cancellation through </w:t>
            </w:r>
            <w:r w:rsidRPr="00B67CE1">
              <w:rPr>
                <w:rStyle w:val="BoldandItalics"/>
              </w:rPr>
              <w:t>appropriate measures</w:t>
            </w:r>
            <w:r w:rsidRPr="00B67CE1">
              <w:t>.</w:t>
            </w:r>
          </w:p>
          <w:p w:rsidR="00000000" w:rsidP="00B67CE1">
            <w:pPr>
              <w:pStyle w:val="List2"/>
              <w:rPr>
                <w:lang w:val="en-NZ"/>
              </w:rPr>
            </w:pPr>
            <w:r w:rsidRPr="00B67CE1">
              <w:t>4.2</w:t>
            </w:r>
            <w:r w:rsidRPr="00B67CE1">
              <w:tab/>
              <w:t>Re issue tickets where required according to organisational procedures.</w:t>
            </w:r>
          </w:p>
        </w:tc>
      </w:tr>
      <w:tr w:rsidTr="001C5CF1">
        <w:tblPrEx>
          <w:tblW w:w="0" w:type="auto"/>
          <w:tblCellMar>
            <w:left w:w="62" w:type="dxa"/>
            <w:right w:w="62" w:type="dxa"/>
          </w:tblCellMar>
          <w:tblLook w:val="0000"/>
        </w:tblPrEx>
        <w:trPr>
          <w:trHeight w:val="903"/>
        </w:trPr>
        <w:tc>
          <w:tcPr>
            <w:tcW w:w="0" w:type="auto"/>
            <w:tcBorders>
              <w:top w:val="nil"/>
              <w:left w:val="nil"/>
              <w:bottom w:val="nil"/>
              <w:right w:val="nil"/>
            </w:tcBorders>
            <w:tcMar>
              <w:top w:w="0" w:type="dxa"/>
              <w:left w:w="62" w:type="dxa"/>
              <w:bottom w:w="0" w:type="dxa"/>
              <w:right w:w="62" w:type="dxa"/>
            </w:tcMar>
          </w:tcPr>
          <w:p w:rsidR="00000000" w:rsidP="00B67CE1">
            <w:pPr>
              <w:pStyle w:val="List"/>
              <w:rPr>
                <w:lang w:val="en-NZ"/>
              </w:rPr>
            </w:pPr>
            <w:r w:rsidRPr="00B67CE1">
              <w:t>5.</w:t>
            </w:r>
            <w:r w:rsidRPr="00B67CE1">
              <w:tab/>
              <w:t>Operate General Functions.</w:t>
            </w:r>
          </w:p>
        </w:tc>
        <w:tc>
          <w:tcPr>
            <w:tcW w:w="0" w:type="auto"/>
            <w:tcBorders>
              <w:top w:val="nil"/>
              <w:left w:val="nil"/>
              <w:bottom w:val="nil"/>
              <w:right w:val="nil"/>
            </w:tcBorders>
            <w:tcMar>
              <w:top w:w="0" w:type="dxa"/>
              <w:left w:w="62" w:type="dxa"/>
              <w:bottom w:w="0" w:type="dxa"/>
              <w:right w:w="62" w:type="dxa"/>
            </w:tcMar>
          </w:tcPr>
          <w:p w:rsidR="00000000" w:rsidRPr="00B67CE1" w:rsidP="00B67CE1">
            <w:pPr>
              <w:pStyle w:val="List2"/>
            </w:pPr>
            <w:r w:rsidRPr="00B67CE1">
              <w:t>5.1</w:t>
            </w:r>
            <w:r w:rsidRPr="00B67CE1">
              <w:tab/>
              <w:t xml:space="preserve">Consider </w:t>
            </w:r>
            <w:r w:rsidRPr="00B67CE1">
              <w:rPr>
                <w:rStyle w:val="BoldandItalics"/>
              </w:rPr>
              <w:t>General Functions</w:t>
            </w:r>
            <w:r w:rsidRPr="00B67CE1">
              <w:t xml:space="preserve"> and use when necessary according to authorised limitations to assist the operator in cash high or cash low, disputes, signing on or signing off, balancing, </w:t>
            </w:r>
            <w:r w:rsidRPr="00B67CE1">
              <w:rPr>
                <w:rStyle w:val="BoldandItalics"/>
              </w:rPr>
              <w:t xml:space="preserve">maintenance </w:t>
            </w:r>
            <w:r w:rsidRPr="00B67CE1">
              <w:t>and game information.</w:t>
            </w:r>
          </w:p>
          <w:p w:rsidR="00000000" w:rsidP="00B67CE1">
            <w:pPr>
              <w:pStyle w:val="List2"/>
              <w:rPr>
                <w:lang w:val="en-NZ"/>
              </w:rPr>
            </w:pPr>
            <w:r w:rsidRPr="00B67CE1">
              <w:t>5.2</w:t>
            </w:r>
            <w:r w:rsidRPr="00B67CE1">
              <w:tab/>
              <w:t>Seek authorisation from the appropriate person where required.</w:t>
            </w:r>
          </w:p>
        </w:tc>
      </w:tr>
      <w:tr w:rsidTr="001C5CF1">
        <w:tblPrEx>
          <w:tblW w:w="0" w:type="auto"/>
          <w:tblCellMar>
            <w:left w:w="62" w:type="dxa"/>
            <w:right w:w="62" w:type="dxa"/>
          </w:tblCellMar>
          <w:tblLook w:val="0000"/>
        </w:tblPrEx>
        <w:trPr>
          <w:trHeight w:val="286"/>
        </w:trPr>
        <w:tc>
          <w:tcPr>
            <w:tcW w:w="0" w:type="auto"/>
            <w:tcBorders>
              <w:top w:val="nil"/>
              <w:left w:val="nil"/>
              <w:bottom w:val="nil"/>
              <w:right w:val="nil"/>
            </w:tcBorders>
            <w:tcMar>
              <w:top w:w="0" w:type="dxa"/>
              <w:left w:w="62" w:type="dxa"/>
              <w:bottom w:w="0" w:type="dxa"/>
              <w:right w:w="62" w:type="dxa"/>
            </w:tcMar>
          </w:tcPr>
          <w:p w:rsidR="00000000" w:rsidP="00B67CE1">
            <w:pPr>
              <w:pStyle w:val="List"/>
              <w:rPr>
                <w:lang w:val="en-NZ"/>
              </w:rPr>
            </w:pPr>
            <w:r w:rsidRPr="00B67CE1">
              <w:t>6.</w:t>
            </w:r>
            <w:r w:rsidRPr="00B67CE1">
              <w:tab/>
              <w:t>Clean and maintain terminals.</w:t>
            </w:r>
          </w:p>
        </w:tc>
        <w:tc>
          <w:tcPr>
            <w:tcW w:w="0" w:type="auto"/>
            <w:tcBorders>
              <w:top w:val="nil"/>
              <w:left w:val="nil"/>
              <w:bottom w:val="nil"/>
              <w:right w:val="nil"/>
            </w:tcBorders>
            <w:tcMar>
              <w:top w:w="0" w:type="dxa"/>
              <w:left w:w="62" w:type="dxa"/>
              <w:bottom w:w="0" w:type="dxa"/>
              <w:right w:w="62" w:type="dxa"/>
            </w:tcMar>
          </w:tcPr>
          <w:p w:rsidR="00000000" w:rsidRPr="00B67CE1" w:rsidP="00B67CE1">
            <w:pPr>
              <w:pStyle w:val="List2"/>
            </w:pPr>
            <w:r w:rsidRPr="00B67CE1">
              <w:t>6.1</w:t>
            </w:r>
            <w:r w:rsidRPr="00B67CE1">
              <w:tab/>
              <w:t>Clean card readers regularly.</w:t>
            </w:r>
          </w:p>
          <w:p w:rsidR="00000000" w:rsidRPr="00B67CE1" w:rsidP="00B67CE1">
            <w:pPr>
              <w:pStyle w:val="List2"/>
            </w:pPr>
            <w:r w:rsidRPr="00B67CE1">
              <w:t>6.2</w:t>
            </w:r>
            <w:r w:rsidRPr="00B67CE1">
              <w:tab/>
              <w:t>Change new paper rolls and ribbons as appropriate.</w:t>
            </w:r>
          </w:p>
          <w:p w:rsidR="00000000" w:rsidP="00B67CE1">
            <w:pPr>
              <w:pStyle w:val="List2"/>
              <w:rPr>
                <w:lang w:val="en-NZ"/>
              </w:rPr>
            </w:pPr>
            <w:r w:rsidRPr="00B67CE1">
              <w:t>6.3</w:t>
            </w:r>
            <w:r w:rsidRPr="00B67CE1">
              <w:tab/>
            </w:r>
            <w:r w:rsidRPr="00B67CE1">
              <w:t>Identify maintenance problems promptly and take appropriate measures.</w:t>
            </w:r>
          </w:p>
        </w:tc>
      </w:tr>
      <w:tr w:rsidTr="001C5C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CE1">
            <w:pPr>
              <w:pStyle w:val="List"/>
              <w:rPr>
                <w:lang w:val="en-NZ"/>
              </w:rPr>
            </w:pPr>
            <w:r w:rsidRPr="00B67CE1">
              <w:t>7.</w:t>
            </w:r>
            <w:r w:rsidRPr="00B67CE1">
              <w:tab/>
              <w:t>Monitor security of Keno operations.</w:t>
            </w:r>
          </w:p>
        </w:tc>
        <w:tc>
          <w:tcPr>
            <w:tcW w:w="0" w:type="auto"/>
            <w:tcBorders>
              <w:top w:val="nil"/>
              <w:left w:val="nil"/>
              <w:bottom w:val="nil"/>
              <w:right w:val="nil"/>
            </w:tcBorders>
            <w:tcMar>
              <w:top w:w="0" w:type="dxa"/>
              <w:left w:w="62" w:type="dxa"/>
              <w:bottom w:w="0" w:type="dxa"/>
              <w:right w:w="62" w:type="dxa"/>
            </w:tcMar>
          </w:tcPr>
          <w:p w:rsidR="00000000" w:rsidRPr="00B67CE1" w:rsidP="00B67CE1">
            <w:pPr>
              <w:pStyle w:val="List2"/>
            </w:pPr>
            <w:r w:rsidRPr="00B67CE1">
              <w:t>7.1</w:t>
            </w:r>
            <w:r w:rsidRPr="00B67CE1">
              <w:tab/>
              <w:t>Follow Keno rules according to legislative requirements and organisational procedures.</w:t>
            </w:r>
          </w:p>
          <w:p w:rsidR="00000000" w:rsidRPr="00B67CE1" w:rsidP="00B67CE1">
            <w:pPr>
              <w:pStyle w:val="List2"/>
            </w:pPr>
            <w:r w:rsidRPr="00B67CE1">
              <w:t>7.2</w:t>
            </w:r>
            <w:r w:rsidRPr="00B67CE1">
              <w:tab/>
              <w:t>Use the terminal disable function when appropriate</w:t>
            </w:r>
            <w:r w:rsidRPr="00B67CE1">
              <w:t>.</w:t>
            </w:r>
          </w:p>
          <w:p w:rsidR="00000000" w:rsidRPr="00B67CE1" w:rsidP="00B67CE1">
            <w:pPr>
              <w:pStyle w:val="List2"/>
            </w:pPr>
            <w:r w:rsidRPr="00B67CE1">
              <w:t>7.3</w:t>
            </w:r>
            <w:r w:rsidRPr="00B67CE1">
              <w:tab/>
              <w:t>Handle and balance cash and float according to organisational procedures.</w:t>
            </w:r>
          </w:p>
          <w:p w:rsidR="00000000" w:rsidRPr="00B67CE1" w:rsidP="00B67CE1">
            <w:pPr>
              <w:pStyle w:val="List2"/>
            </w:pPr>
            <w:r w:rsidRPr="00B67CE1">
              <w:t>7.4</w:t>
            </w:r>
            <w:r w:rsidRPr="00B67CE1">
              <w:tab/>
              <w:t>Where appropriate, call the Keno Hotline for assistance.</w:t>
            </w:r>
          </w:p>
          <w:p w:rsidR="00000000" w:rsidRPr="00B67CE1" w:rsidP="00B67CE1">
            <w:pPr>
              <w:pStyle w:val="List2"/>
            </w:pPr>
            <w:r w:rsidRPr="00B67CE1">
              <w:t>7.5</w:t>
            </w:r>
            <w:r w:rsidRPr="00B67CE1">
              <w:tab/>
              <w:t>Observe players and onlookers and note and report unusual practices accurately and promptly.</w:t>
            </w:r>
          </w:p>
        </w:tc>
      </w:tr>
    </w:tbl>
    <w:p w:rsidR="00000000" w:rsidRPr="00B67CE1" w:rsidP="00B67CE1">
      <w:pPr>
        <w:pStyle w:val="List"/>
      </w:pPr>
    </w:p>
    <w:p w:rsidR="00000000" w:rsidRPr="00B67CE1" w:rsidP="00B67CE1">
      <w:pPr>
        <w:pStyle w:val="AllowPageBreak"/>
      </w:pPr>
    </w:p>
    <w:p w:rsidR="00000000" w:rsidRPr="00B67CE1" w:rsidP="00B67CE1">
      <w:pPr>
        <w:pStyle w:val="Heading1"/>
      </w:pPr>
      <w:bookmarkStart w:id="9" w:name="O_583580"/>
      <w:bookmarkEnd w:id="9"/>
      <w:r w:rsidRPr="00B67CE1">
        <w:t>Required Skills and Knowledge</w:t>
      </w:r>
    </w:p>
    <w:tbl>
      <w:tblPr>
        <w:tblW w:w="0" w:type="auto"/>
        <w:tblCellMar>
          <w:left w:w="62" w:type="dxa"/>
          <w:right w:w="62" w:type="dxa"/>
        </w:tblCellMar>
        <w:tblLook w:val="0000"/>
      </w:tblPr>
      <w:tblGrid>
        <w:gridCol w:w="9196"/>
      </w:tblGrid>
      <w:tr w:rsidTr="001C5C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CE1">
            <w:pPr>
              <w:pStyle w:val="BodyText"/>
              <w:rPr>
                <w:lang w:val="en-NZ"/>
              </w:rPr>
            </w:pPr>
            <w:r w:rsidRPr="00B67CE1">
              <w:t>This section describes the skills and knowledge required for this unit.</w:t>
            </w:r>
          </w:p>
        </w:tc>
      </w:tr>
      <w:tr w:rsidTr="001C5C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CE1">
            <w:pPr>
              <w:pStyle w:val="BodyText"/>
              <w:rPr>
                <w:lang w:val="en-NZ"/>
              </w:rPr>
            </w:pPr>
            <w:r w:rsidRPr="00B67CE1">
              <w:rPr>
                <w:rStyle w:val="SpecialBold"/>
              </w:rPr>
              <w:t>Required skills</w:t>
            </w:r>
          </w:p>
        </w:tc>
      </w:tr>
      <w:tr w:rsidTr="001C5C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67CE1" w:rsidP="00B67CE1">
            <w:pPr>
              <w:pStyle w:val="ListBullet"/>
            </w:pPr>
            <w:r w:rsidRPr="00B67CE1">
              <w:t>communication skills to provide clear information and advice to customers</w:t>
            </w:r>
          </w:p>
          <w:p w:rsidR="00000000" w:rsidRPr="00B67CE1" w:rsidP="00B67CE1">
            <w:pPr>
              <w:pStyle w:val="ListBullet"/>
            </w:pPr>
            <w:r w:rsidRPr="00B67CE1">
              <w:t>literacy skills to read procedures and licensing requirements for Keno</w:t>
            </w:r>
          </w:p>
          <w:p w:rsidR="00000000" w:rsidRPr="00B67CE1" w:rsidP="00B67CE1">
            <w:pPr>
              <w:pStyle w:val="ListBullet"/>
            </w:pPr>
            <w:r w:rsidRPr="00B67CE1">
              <w:t>problem</w:t>
            </w:r>
            <w:r w:rsidRPr="00B67CE1">
              <w:noBreakHyphen/>
              <w:t>solving skills to deal with disputes about prize schedules, payments and display of winning numbers</w:t>
            </w:r>
          </w:p>
          <w:p w:rsidR="00000000" w:rsidP="00B67CE1">
            <w:pPr>
              <w:pStyle w:val="ListBullet"/>
              <w:rPr>
                <w:lang w:val="en-NZ"/>
              </w:rPr>
            </w:pPr>
            <w:r w:rsidRPr="00B67CE1">
              <w:t>numeracy skills to balance float and cash.</w:t>
            </w:r>
          </w:p>
        </w:tc>
      </w:tr>
      <w:tr w:rsidTr="001C5C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CE1">
            <w:pPr>
              <w:pStyle w:val="BodyText"/>
              <w:rPr>
                <w:lang w:val="en-NZ"/>
              </w:rPr>
            </w:pPr>
            <w:r w:rsidRPr="00B67CE1">
              <w:rPr>
                <w:rStyle w:val="SpecialBold"/>
              </w:rPr>
              <w:t>Required knowledge</w:t>
            </w:r>
          </w:p>
        </w:tc>
      </w:tr>
      <w:tr w:rsidTr="001C5C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67CE1" w:rsidP="00B67CE1">
            <w:pPr>
              <w:pStyle w:val="ListBullet"/>
            </w:pPr>
            <w:r w:rsidRPr="00B67CE1">
              <w:t>general unde</w:t>
            </w:r>
            <w:r w:rsidRPr="00B67CE1">
              <w:t>rstanding of the gaming sector of the hospitality industry</w:t>
            </w:r>
          </w:p>
          <w:p w:rsidR="00000000" w:rsidRPr="00B67CE1" w:rsidP="00B67CE1">
            <w:pPr>
              <w:pStyle w:val="ListBullet"/>
            </w:pPr>
            <w:r w:rsidRPr="00B67CE1">
              <w:t>key requirements of relevant state and territory legislation and relevant codes of practice, including:</w:t>
            </w:r>
          </w:p>
          <w:p w:rsidR="00000000" w:rsidRPr="00B67CE1" w:rsidP="00B67CE1">
            <w:pPr>
              <w:pStyle w:val="ListBullet2"/>
            </w:pPr>
            <w:r w:rsidRPr="00B67CE1">
              <w:t xml:space="preserve">general requirement for responsible provision of gambling services </w:t>
            </w:r>
          </w:p>
          <w:p w:rsidR="00000000" w:rsidRPr="00B67CE1" w:rsidP="00B67CE1">
            <w:pPr>
              <w:pStyle w:val="ListBullet2"/>
            </w:pPr>
            <w:r w:rsidRPr="00B67CE1">
              <w:t>general licence requirements</w:t>
            </w:r>
          </w:p>
          <w:p w:rsidR="00000000" w:rsidRPr="00B67CE1" w:rsidP="00B67CE1">
            <w:pPr>
              <w:pStyle w:val="ListBullet2"/>
            </w:pPr>
            <w:r w:rsidRPr="00B67CE1">
              <w:t>licensing requirements for gaming personnel (e.g. managers and employees, machine technicians, service consultants and machine managers, manufacturers and sales personnel)</w:t>
            </w:r>
          </w:p>
          <w:p w:rsidR="00000000" w:rsidRPr="00B67CE1" w:rsidP="00B67CE1">
            <w:pPr>
              <w:pStyle w:val="ListBullet2"/>
            </w:pPr>
            <w:r w:rsidRPr="00B67CE1">
              <w:t>penalties for non</w:t>
            </w:r>
            <w:r w:rsidRPr="00B67CE1">
              <w:noBreakHyphen/>
              <w:t>compliance</w:t>
            </w:r>
          </w:p>
          <w:p w:rsidR="00000000" w:rsidRPr="00B67CE1" w:rsidP="00B67CE1">
            <w:pPr>
              <w:pStyle w:val="ListBullet"/>
            </w:pPr>
            <w:r w:rsidRPr="00B67CE1">
              <w:t xml:space="preserve">player rules of Keno and </w:t>
            </w:r>
            <w:r w:rsidRPr="00B67CE1">
              <w:t>lotteries</w:t>
            </w:r>
          </w:p>
          <w:p w:rsidR="00000000" w:rsidRPr="00B67CE1" w:rsidP="00B67CE1">
            <w:pPr>
              <w:pStyle w:val="ListBullet"/>
            </w:pPr>
            <w:r w:rsidRPr="00B67CE1">
              <w:t>features of Keno equipment and general maintenance requirements.</w:t>
            </w:r>
          </w:p>
        </w:tc>
      </w:tr>
    </w:tbl>
    <w:p w:rsidR="00000000" w:rsidRPr="00B67CE1" w:rsidP="00B67CE1">
      <w:pPr>
        <w:pStyle w:val="BodyText"/>
      </w:pPr>
    </w:p>
    <w:p w:rsidR="00000000" w:rsidRPr="00B67CE1" w:rsidP="00B67CE1">
      <w:pPr>
        <w:pStyle w:val="AllowPageBreak"/>
      </w:pPr>
    </w:p>
    <w:p w:rsidR="00000000" w:rsidRPr="00B67CE1" w:rsidP="00B67CE1">
      <w:pPr>
        <w:pStyle w:val="Heading1"/>
      </w:pPr>
      <w:bookmarkStart w:id="10" w:name="O_583579"/>
      <w:bookmarkEnd w:id="10"/>
      <w:r w:rsidRPr="00B67CE1">
        <w:t>Evidence Guide</w:t>
      </w:r>
    </w:p>
    <w:tbl>
      <w:tblPr>
        <w:tblW w:w="0" w:type="auto"/>
        <w:tblCellMar>
          <w:left w:w="62" w:type="dxa"/>
          <w:right w:w="62" w:type="dxa"/>
        </w:tblCellMar>
        <w:tblLook w:val="0000"/>
      </w:tblPr>
      <w:tblGrid>
        <w:gridCol w:w="2690"/>
        <w:gridCol w:w="6506"/>
      </w:tblGrid>
      <w:tr w:rsidTr="001C5CF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67CE1">
            <w:pPr>
              <w:pStyle w:val="BodyText"/>
              <w:rPr>
                <w:lang w:val="en-NZ"/>
              </w:rPr>
            </w:pPr>
            <w:r w:rsidRPr="00B67CE1">
              <w:t xml:space="preserve">The evidence guide provides advice on assessment and must be read in conjunction with the performance criteria, required skills and knowledge, </w:t>
            </w:r>
            <w:r w:rsidRPr="00B67CE1">
              <w:t>range statement and the Assessment Guidelines for the Training Package.</w:t>
            </w:r>
          </w:p>
        </w:tc>
      </w:tr>
      <w:tr w:rsidTr="001C5C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CE1">
            <w:pPr>
              <w:pStyle w:val="BodyText"/>
              <w:rPr>
                <w:lang w:val="en-NZ"/>
              </w:rPr>
            </w:pPr>
            <w:r w:rsidRPr="00B67CE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67CE1">
            <w:pPr>
              <w:pStyle w:val="BodyText"/>
              <w:rPr>
                <w:lang w:val="en-NZ"/>
              </w:rPr>
            </w:pPr>
          </w:p>
        </w:tc>
      </w:tr>
      <w:tr w:rsidTr="001C5C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CE1">
            <w:pPr>
              <w:pStyle w:val="BodyText"/>
              <w:rPr>
                <w:lang w:val="en-NZ"/>
              </w:rPr>
            </w:pPr>
            <w:r w:rsidRPr="00B67CE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67CE1" w:rsidP="00B67CE1">
            <w:pPr>
              <w:pStyle w:val="BodyText"/>
            </w:pPr>
            <w:r w:rsidRPr="00B67CE1">
              <w:t>Evidence of the ability to:</w:t>
            </w:r>
          </w:p>
          <w:p w:rsidR="00000000" w:rsidRPr="00B67CE1" w:rsidP="00B67CE1">
            <w:pPr>
              <w:pStyle w:val="ListBullet"/>
            </w:pPr>
            <w:r w:rsidRPr="00B67CE1">
              <w:t>operate Keno equipment according to</w:t>
            </w:r>
            <w:r w:rsidRPr="00B67CE1">
              <w:t xml:space="preserve"> procedures</w:t>
            </w:r>
          </w:p>
          <w:p w:rsidR="00000000" w:rsidRPr="00B67CE1" w:rsidP="00B67CE1">
            <w:pPr>
              <w:pStyle w:val="ListBullet"/>
            </w:pPr>
            <w:r w:rsidRPr="00B67CE1">
              <w:t>process a variety of bet types, payouts and cancellations within commercially realistic timeframes</w:t>
            </w:r>
          </w:p>
          <w:p w:rsidR="00000000" w:rsidRPr="00B67CE1" w:rsidP="00B67CE1">
            <w:pPr>
              <w:pStyle w:val="ListBullet"/>
            </w:pPr>
            <w:r w:rsidRPr="00B67CE1">
              <w:t>coordinate multiple transactions and activities, including typical customer and equipment problems</w:t>
            </w:r>
          </w:p>
          <w:p w:rsidR="00000000" w:rsidRPr="00B67CE1" w:rsidP="00B67CE1">
            <w:pPr>
              <w:pStyle w:val="ListBullet"/>
            </w:pPr>
            <w:r w:rsidRPr="00B67CE1">
              <w:t>comply with responsible gambling legislation or requirements</w:t>
            </w:r>
          </w:p>
          <w:p w:rsidR="00000000" w:rsidRPr="00B67CE1" w:rsidP="00B67CE1">
            <w:pPr>
              <w:pStyle w:val="ListBullet"/>
            </w:pPr>
            <w:r w:rsidRPr="00B67CE1">
              <w:t>provide accurate information on:</w:t>
            </w:r>
          </w:p>
          <w:p w:rsidR="00000000" w:rsidRPr="00B67CE1" w:rsidP="00B67CE1">
            <w:pPr>
              <w:pStyle w:val="ListBullet2"/>
            </w:pPr>
            <w:r w:rsidRPr="00B67CE1">
              <w:t>bet types</w:t>
            </w:r>
          </w:p>
          <w:p w:rsidR="00000000" w:rsidRPr="00B67CE1" w:rsidP="00B67CE1">
            <w:pPr>
              <w:pStyle w:val="ListBullet2"/>
            </w:pPr>
            <w:r w:rsidRPr="00B67CE1">
              <w:t>collection of payments</w:t>
            </w:r>
          </w:p>
          <w:p w:rsidR="00000000" w:rsidRPr="00B67CE1" w:rsidP="00B67CE1">
            <w:pPr>
              <w:pStyle w:val="ListBullet2"/>
            </w:pPr>
            <w:r w:rsidRPr="00B67CE1">
              <w:t>completion of entry forms</w:t>
            </w:r>
          </w:p>
          <w:p w:rsidR="00000000" w:rsidRPr="00B67CE1" w:rsidP="00B67CE1">
            <w:pPr>
              <w:pStyle w:val="ListBullet2"/>
            </w:pPr>
            <w:r w:rsidRPr="00B67CE1">
              <w:t>display of winning numbers</w:t>
            </w:r>
          </w:p>
          <w:p w:rsidR="00000000" w:rsidRPr="00B67CE1" w:rsidP="00B67CE1">
            <w:pPr>
              <w:pStyle w:val="ListBullet2"/>
            </w:pPr>
            <w:r w:rsidRPr="00B67CE1">
              <w:t>explanation of receipt tickets</w:t>
            </w:r>
          </w:p>
          <w:p w:rsidR="00000000" w:rsidRPr="00B67CE1" w:rsidP="00B67CE1">
            <w:pPr>
              <w:pStyle w:val="ListBullet2"/>
            </w:pPr>
            <w:r w:rsidRPr="00B67CE1">
              <w:t>lodgement of forms</w:t>
            </w:r>
          </w:p>
          <w:p w:rsidR="00000000" w:rsidRPr="00B67CE1" w:rsidP="00B67CE1">
            <w:pPr>
              <w:pStyle w:val="ListBullet2"/>
            </w:pPr>
            <w:r w:rsidRPr="00B67CE1">
              <w:t xml:space="preserve">player rules, conditions </w:t>
            </w:r>
            <w:r w:rsidRPr="00B67CE1">
              <w:t>and limits</w:t>
            </w:r>
          </w:p>
          <w:p w:rsidR="00000000" w:rsidRPr="00B67CE1" w:rsidP="00B67CE1">
            <w:pPr>
              <w:pStyle w:val="ListBullet2"/>
            </w:pPr>
            <w:r w:rsidRPr="00B67CE1">
              <w:t>prize schedules</w:t>
            </w:r>
          </w:p>
          <w:p w:rsidR="00000000" w:rsidRPr="00B67CE1" w:rsidP="00B67CE1">
            <w:pPr>
              <w:pStyle w:val="ListBullet2"/>
            </w:pPr>
            <w:r w:rsidRPr="00B67CE1">
              <w:t>verbal entries</w:t>
            </w:r>
          </w:p>
          <w:p w:rsidR="00000000" w:rsidP="00B67CE1">
            <w:pPr>
              <w:pStyle w:val="ListBullet"/>
              <w:rPr>
                <w:lang w:val="en-NZ"/>
              </w:rPr>
            </w:pPr>
            <w:r w:rsidRPr="00B67CE1">
              <w:t>integrate knowledge of security issues and comply with security requirements.</w:t>
            </w:r>
          </w:p>
        </w:tc>
      </w:tr>
      <w:tr w:rsidTr="001C5CF1">
        <w:tblPrEx>
          <w:tblW w:w="0" w:type="auto"/>
          <w:tblCellMar>
            <w:left w:w="62" w:type="dxa"/>
            <w:right w:w="62" w:type="dxa"/>
          </w:tblCellMar>
          <w:tblLook w:val="0000"/>
        </w:tblPrEx>
        <w:trPr>
          <w:trHeight w:val="1033"/>
        </w:trPr>
        <w:tc>
          <w:tcPr>
            <w:tcW w:w="0" w:type="auto"/>
            <w:tcBorders>
              <w:top w:val="nil"/>
              <w:left w:val="nil"/>
              <w:bottom w:val="nil"/>
              <w:right w:val="nil"/>
            </w:tcBorders>
            <w:tcMar>
              <w:top w:w="0" w:type="dxa"/>
              <w:left w:w="62" w:type="dxa"/>
              <w:bottom w:w="0" w:type="dxa"/>
              <w:right w:w="62" w:type="dxa"/>
            </w:tcMar>
          </w:tcPr>
          <w:p w:rsidR="00000000" w:rsidP="00B67CE1">
            <w:pPr>
              <w:pStyle w:val="BodyText"/>
              <w:rPr>
                <w:lang w:val="en-NZ"/>
              </w:rPr>
            </w:pPr>
            <w:r w:rsidRPr="00B67CE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67CE1" w:rsidP="00B67CE1">
            <w:pPr>
              <w:pStyle w:val="BodyText"/>
            </w:pPr>
            <w:r w:rsidRPr="00B67CE1">
              <w:t>Assessment must ensure use of:</w:t>
            </w:r>
          </w:p>
          <w:p w:rsidR="00000000" w:rsidRPr="00B67CE1" w:rsidP="00B67CE1">
            <w:pPr>
              <w:pStyle w:val="ListBullet"/>
            </w:pPr>
            <w:r w:rsidRPr="00B67CE1">
              <w:t>Keno terminal, facilities and equipment, including online Keno terminal and display medium and Keno betting stationery</w:t>
            </w:r>
          </w:p>
          <w:p w:rsidR="00000000" w:rsidP="00B67CE1">
            <w:pPr>
              <w:pStyle w:val="ListBullet"/>
              <w:rPr>
                <w:lang w:val="en-NZ"/>
              </w:rPr>
            </w:pPr>
            <w:r w:rsidRPr="00B67CE1">
              <w:t xml:space="preserve">other people with whom the individual can interact. </w:t>
            </w:r>
          </w:p>
        </w:tc>
      </w:tr>
      <w:tr w:rsidTr="001C5CF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67CE1">
            <w:pPr>
              <w:pStyle w:val="BodyText"/>
              <w:rPr>
                <w:lang w:val="en-NZ"/>
              </w:rPr>
            </w:pPr>
            <w:r w:rsidRPr="00B67CE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67CE1" w:rsidP="00B67CE1">
            <w:pPr>
              <w:pStyle w:val="BodyText"/>
            </w:pPr>
            <w:r w:rsidRPr="00B67CE1">
              <w:t xml:space="preserve">A range of assessment methods should be used to assess practical skills and knowledge. The following examples are appropriate for this unit: </w:t>
            </w:r>
          </w:p>
          <w:p w:rsidR="00000000" w:rsidRPr="00B67CE1" w:rsidP="00B67CE1">
            <w:pPr>
              <w:pStyle w:val="ListBullet"/>
            </w:pPr>
            <w:r w:rsidRPr="00B67CE1">
              <w:t>direct observation of individual processing a variety of bets</w:t>
            </w:r>
          </w:p>
          <w:p w:rsidR="00000000" w:rsidRPr="00B67CE1" w:rsidP="00B67CE1">
            <w:pPr>
              <w:pStyle w:val="ListBullet"/>
            </w:pPr>
            <w:r w:rsidRPr="00B67CE1">
              <w:t xml:space="preserve">oral or written questioning to assess knowledge of </w:t>
            </w:r>
            <w:r w:rsidRPr="00B67CE1">
              <w:t>the Keno product, gaming legislation and organisational procedures</w:t>
            </w:r>
          </w:p>
          <w:p w:rsidR="00000000" w:rsidP="00B67CE1">
            <w:pPr>
              <w:pStyle w:val="ListBullet"/>
              <w:rPr>
                <w:lang w:val="en-NZ"/>
              </w:rPr>
            </w:pPr>
            <w:r w:rsidRPr="00B67CE1">
              <w:t>review of portfolios of evidence and third</w:t>
            </w:r>
            <w:r w:rsidRPr="00B67CE1">
              <w:noBreakHyphen/>
              <w:t>party workplace reports of on</w:t>
            </w:r>
            <w:r w:rsidRPr="00B67CE1">
              <w:noBreakHyphen/>
              <w:t>the</w:t>
            </w:r>
            <w:r w:rsidRPr="00B67CE1">
              <w:noBreakHyphen/>
              <w:t>job performance by the individual.</w:t>
            </w:r>
          </w:p>
        </w:tc>
      </w:tr>
      <w:tr w:rsidTr="001C5C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CE1">
            <w:pPr>
              <w:pStyle w:val="BodyText"/>
              <w:rPr>
                <w:lang w:val="en-NZ"/>
              </w:rPr>
            </w:pPr>
            <w:r w:rsidRPr="00B67CE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67CE1" w:rsidP="00B67CE1">
            <w:pPr>
              <w:pStyle w:val="BodyText"/>
            </w:pPr>
            <w:r w:rsidRPr="00B67CE1">
              <w:t>The assessor should design integrated as</w:t>
            </w:r>
            <w:r w:rsidRPr="00B67CE1">
              <w:t>sessment activities to holistically assess this unit with other units relevant to the industry sector, workplace and job role, for example:</w:t>
            </w:r>
          </w:p>
          <w:p w:rsidR="00000000" w:rsidRPr="00B67CE1" w:rsidP="00B67CE1">
            <w:pPr>
              <w:pStyle w:val="ListBullet"/>
            </w:pPr>
            <w:r w:rsidRPr="00B67CE1">
              <w:t>SITHGAM202 Attend gaming machines.</w:t>
            </w:r>
          </w:p>
        </w:tc>
      </w:tr>
    </w:tbl>
    <w:p w:rsidR="00000000" w:rsidRPr="00B67CE1" w:rsidP="00B67CE1">
      <w:pPr>
        <w:pStyle w:val="BodyText"/>
      </w:pPr>
    </w:p>
    <w:p w:rsidR="00000000" w:rsidRPr="00B67CE1" w:rsidP="00B67CE1">
      <w:pPr>
        <w:pStyle w:val="AllowPageBreak"/>
      </w:pPr>
    </w:p>
    <w:p w:rsidR="00000000" w:rsidRPr="00B67CE1" w:rsidP="00B67CE1">
      <w:pPr>
        <w:pStyle w:val="Heading1"/>
      </w:pPr>
      <w:bookmarkStart w:id="11" w:name="O_583578"/>
      <w:bookmarkEnd w:id="11"/>
      <w:r w:rsidRPr="00B67CE1">
        <w:t>Range Statement</w:t>
      </w:r>
    </w:p>
    <w:tbl>
      <w:tblPr>
        <w:tblW w:w="0" w:type="auto"/>
        <w:tblCellMar>
          <w:left w:w="62" w:type="dxa"/>
          <w:right w:w="62" w:type="dxa"/>
        </w:tblCellMar>
        <w:tblLook w:val="0000"/>
      </w:tblPr>
      <w:tblGrid>
        <w:gridCol w:w="2690"/>
        <w:gridCol w:w="6506"/>
      </w:tblGrid>
      <w:tr w:rsidTr="001C5CF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67CE1">
            <w:pPr>
              <w:pStyle w:val="BodyText"/>
              <w:rPr>
                <w:lang w:val="en-NZ"/>
              </w:rPr>
            </w:pPr>
            <w:r w:rsidRPr="00B67CE1">
              <w:t>The range statement relates to the unit of competency as a whole. It allows for different work environments and situations that may affect performance. Bold italicised wording, if used in the performance criteria, is detailed below. Essential operating con</w:t>
            </w:r>
            <w:r w:rsidRPr="00B67CE1">
              <w:t>ditions that may be present with training and assessment (depending on the work situation, needs of the candidate, accessibility of the item, and local industry and regional contexts) may also be included.</w:t>
            </w:r>
          </w:p>
        </w:tc>
      </w:tr>
      <w:tr w:rsidTr="001C5C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CE1">
            <w:pPr>
              <w:pStyle w:val="BodyText"/>
              <w:rPr>
                <w:lang w:val="en-NZ"/>
              </w:rPr>
            </w:pPr>
            <w:r w:rsidRPr="00B67CE1">
              <w:rPr>
                <w:rStyle w:val="BoldandItalics"/>
              </w:rPr>
              <w:t>Information</w:t>
            </w:r>
            <w:r w:rsidRPr="00B67CE1">
              <w:t xml:space="preserve"> to be provi</w:t>
            </w:r>
            <w:r w:rsidRPr="00B67CE1">
              <w:t>ded to customers includes:</w:t>
            </w:r>
          </w:p>
        </w:tc>
        <w:tc>
          <w:tcPr>
            <w:tcW w:w="0" w:type="auto"/>
            <w:tcBorders>
              <w:top w:val="nil"/>
              <w:left w:val="nil"/>
              <w:bottom w:val="nil"/>
              <w:right w:val="nil"/>
            </w:tcBorders>
            <w:tcMar>
              <w:top w:w="0" w:type="dxa"/>
              <w:left w:w="62" w:type="dxa"/>
              <w:bottom w:w="0" w:type="dxa"/>
              <w:right w:w="62" w:type="dxa"/>
            </w:tcMar>
          </w:tcPr>
          <w:p w:rsidR="00000000" w:rsidRPr="00B67CE1" w:rsidP="00B67CE1">
            <w:pPr>
              <w:pStyle w:val="ListBullet"/>
            </w:pPr>
            <w:r w:rsidRPr="00B67CE1">
              <w:t>bet types</w:t>
            </w:r>
          </w:p>
          <w:p w:rsidR="00000000" w:rsidRPr="00B67CE1" w:rsidP="00B67CE1">
            <w:pPr>
              <w:pStyle w:val="ListBullet"/>
            </w:pPr>
            <w:r w:rsidRPr="00B67CE1">
              <w:t>collection of payments</w:t>
            </w:r>
          </w:p>
          <w:p w:rsidR="00000000" w:rsidRPr="00B67CE1" w:rsidP="00B67CE1">
            <w:pPr>
              <w:pStyle w:val="ListBullet"/>
            </w:pPr>
            <w:r w:rsidRPr="00B67CE1">
              <w:t>completion of entry forms</w:t>
            </w:r>
          </w:p>
          <w:p w:rsidR="00000000" w:rsidRPr="00B67CE1" w:rsidP="00B67CE1">
            <w:pPr>
              <w:pStyle w:val="ListBullet"/>
            </w:pPr>
            <w:r w:rsidRPr="00B67CE1">
              <w:t>display of winning numbers</w:t>
            </w:r>
          </w:p>
          <w:p w:rsidR="00000000" w:rsidRPr="00B67CE1" w:rsidP="00B67CE1">
            <w:pPr>
              <w:pStyle w:val="ListBullet"/>
            </w:pPr>
            <w:r w:rsidRPr="00B67CE1">
              <w:t>explanation of receipt tickets</w:t>
            </w:r>
          </w:p>
          <w:p w:rsidR="00000000" w:rsidRPr="00B67CE1" w:rsidP="00B67CE1">
            <w:pPr>
              <w:pStyle w:val="ListBullet"/>
            </w:pPr>
            <w:r w:rsidRPr="00B67CE1">
              <w:t>lodgement of forms</w:t>
            </w:r>
          </w:p>
          <w:p w:rsidR="00000000" w:rsidRPr="00B67CE1" w:rsidP="00B67CE1">
            <w:pPr>
              <w:pStyle w:val="ListBullet"/>
            </w:pPr>
            <w:r w:rsidRPr="00B67CE1">
              <w:t>player rules, conditions and limits</w:t>
            </w:r>
          </w:p>
          <w:p w:rsidR="00000000" w:rsidRPr="00B67CE1" w:rsidP="00B67CE1">
            <w:pPr>
              <w:pStyle w:val="ListBullet"/>
            </w:pPr>
            <w:r w:rsidRPr="00B67CE1">
              <w:t>prize schedules</w:t>
            </w:r>
          </w:p>
          <w:p w:rsidR="00000000" w:rsidP="00B67CE1">
            <w:pPr>
              <w:pStyle w:val="ListBullet"/>
              <w:rPr>
                <w:lang w:val="en-NZ"/>
              </w:rPr>
            </w:pPr>
            <w:r w:rsidRPr="00B67CE1">
              <w:t>verbal entries.</w:t>
            </w:r>
          </w:p>
        </w:tc>
      </w:tr>
      <w:tr w:rsidTr="001C5CF1">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B67CE1">
            <w:pPr>
              <w:pStyle w:val="BodyText"/>
              <w:rPr>
                <w:lang w:val="en-NZ"/>
              </w:rPr>
            </w:pPr>
            <w:r w:rsidRPr="00B67CE1">
              <w:rPr>
                <w:rStyle w:val="BoldandItalics"/>
              </w:rPr>
              <w:t>Keno games</w:t>
            </w:r>
            <w:r w:rsidRPr="00B67CE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7CE1" w:rsidP="00B67CE1">
            <w:pPr>
              <w:pStyle w:val="ListBullet"/>
            </w:pPr>
            <w:r w:rsidRPr="00B67CE1">
              <w:t>Heads or Tails</w:t>
            </w:r>
          </w:p>
          <w:p w:rsidR="00000000" w:rsidRPr="00B67CE1" w:rsidP="00B67CE1">
            <w:pPr>
              <w:pStyle w:val="ListBullet"/>
            </w:pPr>
            <w:r w:rsidRPr="00B67CE1">
              <w:t>Mystery Pick</w:t>
            </w:r>
          </w:p>
          <w:p w:rsidR="00000000" w:rsidRPr="00B67CE1" w:rsidP="00B67CE1">
            <w:pPr>
              <w:pStyle w:val="ListBullet"/>
            </w:pPr>
            <w:r w:rsidRPr="00B67CE1">
              <w:t>Quick Pick</w:t>
            </w:r>
          </w:p>
          <w:p w:rsidR="00000000" w:rsidRPr="00B67CE1" w:rsidP="00B67CE1">
            <w:pPr>
              <w:pStyle w:val="ListBullet"/>
            </w:pPr>
            <w:r w:rsidRPr="00B67CE1">
              <w:t>Set Bets and Superplay</w:t>
            </w:r>
          </w:p>
          <w:p w:rsidR="00000000" w:rsidRPr="00B67CE1" w:rsidP="00B67CE1">
            <w:pPr>
              <w:pStyle w:val="ListBullet"/>
            </w:pPr>
            <w:r w:rsidRPr="00B67CE1">
              <w:t>standard game</w:t>
            </w:r>
          </w:p>
          <w:p w:rsidR="00000000" w:rsidRPr="00B67CE1" w:rsidP="00B67CE1">
            <w:pPr>
              <w:pStyle w:val="ListBullet"/>
            </w:pPr>
            <w:r w:rsidRPr="00B67CE1">
              <w:t>system bets</w:t>
            </w:r>
          </w:p>
          <w:p w:rsidR="00000000" w:rsidP="00B67CE1">
            <w:pPr>
              <w:pStyle w:val="ListBullet"/>
              <w:rPr>
                <w:lang w:val="en-NZ"/>
              </w:rPr>
            </w:pPr>
            <w:r w:rsidRPr="00B67CE1">
              <w:t>Way Bets.</w:t>
            </w:r>
          </w:p>
        </w:tc>
      </w:tr>
      <w:tr w:rsidTr="001C5C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CE1">
            <w:pPr>
              <w:pStyle w:val="BodyText"/>
              <w:rPr>
                <w:lang w:val="en-NZ"/>
              </w:rPr>
            </w:pPr>
            <w:r w:rsidRPr="00B67CE1">
              <w:rPr>
                <w:rStyle w:val="BoldandItalics"/>
              </w:rPr>
              <w:t>Keno promotions</w:t>
            </w:r>
            <w:r w:rsidRPr="00B67CE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7CE1" w:rsidP="00B67CE1">
            <w:pPr>
              <w:pStyle w:val="ListBullet"/>
            </w:pPr>
            <w:r w:rsidRPr="00B67CE1">
              <w:t>benefit selling</w:t>
            </w:r>
          </w:p>
          <w:p w:rsidR="00000000" w:rsidP="00B67CE1">
            <w:pPr>
              <w:pStyle w:val="ListBullet"/>
              <w:rPr>
                <w:lang w:val="en-NZ"/>
              </w:rPr>
            </w:pPr>
            <w:r w:rsidRPr="00B67CE1">
              <w:t>re</w:t>
            </w:r>
            <w:r w:rsidRPr="00B67CE1">
              <w:noBreakHyphen/>
              <w:t>play numbers.</w:t>
            </w:r>
          </w:p>
        </w:tc>
      </w:tr>
      <w:tr w:rsidTr="001C5CF1">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B67CE1">
            <w:pPr>
              <w:pStyle w:val="BodyText"/>
              <w:rPr>
                <w:lang w:val="en-NZ"/>
              </w:rPr>
            </w:pPr>
            <w:r w:rsidRPr="00B67CE1">
              <w:rPr>
                <w:rStyle w:val="BoldandItalics"/>
              </w:rPr>
              <w:t>Appropriate measures</w:t>
            </w:r>
            <w:r w:rsidRPr="00B67CE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67CE1" w:rsidP="00B67CE1">
            <w:pPr>
              <w:pStyle w:val="ListBullet"/>
            </w:pPr>
            <w:r w:rsidRPr="00B67CE1">
              <w:t>calling the Keno Hotline where applicable</w:t>
            </w:r>
          </w:p>
          <w:p w:rsidR="00000000" w:rsidP="00B67CE1">
            <w:pPr>
              <w:pStyle w:val="ListBullet"/>
              <w:rPr>
                <w:lang w:val="en-NZ"/>
              </w:rPr>
            </w:pPr>
            <w:r w:rsidRPr="00B67CE1">
              <w:t>normal organisational procedures.</w:t>
            </w:r>
          </w:p>
        </w:tc>
      </w:tr>
      <w:tr w:rsidTr="001C5C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CE1">
            <w:pPr>
              <w:pStyle w:val="BodyText"/>
              <w:rPr>
                <w:lang w:val="en-NZ"/>
              </w:rPr>
            </w:pPr>
            <w:r w:rsidRPr="00B67CE1">
              <w:rPr>
                <w:rStyle w:val="BoldandItalics"/>
              </w:rPr>
              <w:t>General Functions</w:t>
            </w:r>
            <w:r w:rsidRPr="00B67CE1">
              <w:t xml:space="preserve"> use may relate to:</w:t>
            </w:r>
          </w:p>
        </w:tc>
        <w:tc>
          <w:tcPr>
            <w:tcW w:w="0" w:type="auto"/>
            <w:tcBorders>
              <w:top w:val="nil"/>
              <w:left w:val="nil"/>
              <w:bottom w:val="nil"/>
              <w:right w:val="nil"/>
            </w:tcBorders>
            <w:tcMar>
              <w:top w:w="0" w:type="dxa"/>
              <w:left w:w="62" w:type="dxa"/>
              <w:bottom w:w="0" w:type="dxa"/>
              <w:right w:w="62" w:type="dxa"/>
            </w:tcMar>
          </w:tcPr>
          <w:p w:rsidR="00000000" w:rsidRPr="00B67CE1" w:rsidP="00B67CE1">
            <w:pPr>
              <w:pStyle w:val="ListBullet"/>
            </w:pPr>
            <w:r w:rsidRPr="00B67CE1">
              <w:t>balancing procedures</w:t>
            </w:r>
          </w:p>
          <w:p w:rsidR="00000000" w:rsidRPr="00B67CE1" w:rsidP="00B67CE1">
            <w:pPr>
              <w:pStyle w:val="ListBullet"/>
            </w:pPr>
            <w:r w:rsidRPr="00B67CE1">
              <w:t>cash high or cash low</w:t>
            </w:r>
          </w:p>
          <w:p w:rsidR="00000000" w:rsidRPr="00B67CE1" w:rsidP="00B67CE1">
            <w:pPr>
              <w:pStyle w:val="ListBullet"/>
            </w:pPr>
            <w:r w:rsidRPr="00B67CE1">
              <w:t>previous game results</w:t>
            </w:r>
          </w:p>
          <w:p w:rsidR="00000000" w:rsidP="00B67CE1">
            <w:pPr>
              <w:pStyle w:val="ListBullet"/>
              <w:rPr>
                <w:lang w:val="en-NZ"/>
              </w:rPr>
            </w:pPr>
            <w:r w:rsidRPr="00B67CE1">
              <w:t>sign on or sign off.</w:t>
            </w:r>
          </w:p>
        </w:tc>
      </w:tr>
      <w:tr w:rsidTr="001C5C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CE1">
            <w:pPr>
              <w:pStyle w:val="BodyText"/>
              <w:rPr>
                <w:lang w:val="en-NZ"/>
              </w:rPr>
            </w:pPr>
            <w:r w:rsidRPr="00B67CE1">
              <w:rPr>
                <w:rStyle w:val="BoldandItalics"/>
              </w:rPr>
              <w:t xml:space="preserve">Maintenance </w:t>
            </w:r>
            <w:r w:rsidRPr="00B67CE1">
              <w:t>may include:</w:t>
            </w:r>
          </w:p>
        </w:tc>
        <w:tc>
          <w:tcPr>
            <w:tcW w:w="0" w:type="auto"/>
            <w:tcBorders>
              <w:top w:val="nil"/>
              <w:left w:val="nil"/>
              <w:bottom w:val="nil"/>
              <w:right w:val="nil"/>
            </w:tcBorders>
            <w:tcMar>
              <w:top w:w="0" w:type="dxa"/>
              <w:left w:w="62" w:type="dxa"/>
              <w:bottom w:w="0" w:type="dxa"/>
              <w:right w:w="62" w:type="dxa"/>
            </w:tcMar>
          </w:tcPr>
          <w:p w:rsidR="00000000" w:rsidRPr="00B67CE1" w:rsidP="00B67CE1">
            <w:pPr>
              <w:pStyle w:val="ListBullet"/>
            </w:pPr>
            <w:r w:rsidRPr="00B67CE1">
              <w:t>checking paper feed</w:t>
            </w:r>
          </w:p>
          <w:p w:rsidR="00000000" w:rsidRPr="00B67CE1" w:rsidP="00B67CE1">
            <w:pPr>
              <w:pStyle w:val="ListBullet"/>
            </w:pPr>
            <w:r w:rsidRPr="00B67CE1">
              <w:t>resetting card reader.</w:t>
            </w:r>
          </w:p>
        </w:tc>
      </w:tr>
    </w:tbl>
    <w:p w:rsidR="00000000" w:rsidRPr="00B67CE1" w:rsidP="00B67CE1">
      <w:pPr>
        <w:pStyle w:val="BodyText"/>
      </w:pPr>
    </w:p>
    <w:p w:rsidR="00000000" w:rsidRPr="00B67CE1" w:rsidP="00B67CE1">
      <w:pPr>
        <w:pStyle w:val="AllowPageBreak"/>
      </w:pPr>
    </w:p>
    <w:p w:rsidR="00000000" w:rsidRPr="00B67CE1" w:rsidP="00B67CE1">
      <w:pPr>
        <w:pStyle w:val="Heading1"/>
      </w:pPr>
      <w:bookmarkStart w:id="12" w:name="O_583577"/>
      <w:bookmarkEnd w:id="12"/>
      <w:r w:rsidRPr="00B67CE1">
        <w:t>Unit Sector(s)</w:t>
      </w:r>
    </w:p>
    <w:p w:rsidR="00000000" w:rsidRPr="00B67CE1" w:rsidP="00B67CE1">
      <w:pPr>
        <w:pStyle w:val="BodyText"/>
      </w:pPr>
      <w:r w:rsidRPr="00B67CE1">
        <w:t>Hospitality</w:t>
      </w:r>
    </w:p>
    <w:p w:rsidR="00000000" w:rsidRPr="00B67CE1" w:rsidP="00B67CE1">
      <w:pPr>
        <w:pStyle w:val="AllowPageBreak"/>
      </w:pPr>
    </w:p>
    <w:p w:rsidR="00000000" w:rsidRPr="00B67CE1" w:rsidP="00B67CE1">
      <w:pPr>
        <w:pStyle w:val="Heading1"/>
      </w:pPr>
      <w:bookmarkStart w:id="13" w:name="O_583576"/>
      <w:bookmarkEnd w:id="13"/>
      <w:r w:rsidRPr="00B67CE1">
        <w:t>Competency Field</w:t>
      </w:r>
    </w:p>
    <w:p w:rsidR="00000000" w:rsidRPr="00B67CE1" w:rsidP="00B67CE1">
      <w:pPr>
        <w:pStyle w:val="BodyText"/>
      </w:pPr>
      <w:r w:rsidRPr="00B67CE1">
        <w:t>Gaming</w:t>
      </w:r>
    </w:p>
    <w:p w:rsidR="00000000" w:rsidRPr="00B67CE1" w:rsidP="00B67CE1"/>
    <w:sectPr w:rsidSect="00B67C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E1" w:rsidRPr="001C5CF1" w:rsidP="001C5C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CF1" w:rsidP="00B67C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5CF1" w:rsidP="00B67CE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C5CF1" w:rsidP="00B67C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E1" w:rsidRPr="001C5CF1" w:rsidP="001C5C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CF1" w:rsidRPr="002D2AF8" w:rsidP="00B67CE1">
    <w:pPr>
      <w:pStyle w:val="Header"/>
      <w:framePr w:wrap="around"/>
    </w:pPr>
    <w:r>
      <w:fldChar w:fldCharType="begin"/>
    </w:r>
    <w:r>
      <w:instrText xml:space="preserve"> TITLE   \* MERGEFORMAT </w:instrText>
    </w:r>
    <w:r>
      <w:fldChar w:fldCharType="separate"/>
    </w:r>
    <w:r>
      <w:t>SITHGAM204 Conduct Keno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1C5CF1" w:rsidP="00B67C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868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0CA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BE36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C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CE1"/>
    <w:pPr>
      <w:spacing w:before="360" w:after="60"/>
      <w:outlineLvl w:val="0"/>
    </w:pPr>
    <w:rPr>
      <w:sz w:val="32"/>
    </w:rPr>
  </w:style>
  <w:style w:type="paragraph" w:styleId="Heading2">
    <w:name w:val="heading 2"/>
    <w:basedOn w:val="HeadingBase"/>
    <w:next w:val="BodyText"/>
    <w:link w:val="Heading2Char"/>
    <w:qFormat/>
    <w:rsid w:val="00B67CE1"/>
    <w:pPr>
      <w:keepLines/>
      <w:spacing w:before="240" w:after="120"/>
      <w:outlineLvl w:val="1"/>
    </w:pPr>
    <w:rPr>
      <w:sz w:val="28"/>
      <w:szCs w:val="40"/>
    </w:rPr>
  </w:style>
  <w:style w:type="paragraph" w:styleId="Heading3">
    <w:name w:val="heading 3"/>
    <w:basedOn w:val="HeadingBase"/>
    <w:next w:val="BodyText"/>
    <w:link w:val="Heading3Char"/>
    <w:qFormat/>
    <w:rsid w:val="00B67CE1"/>
    <w:pPr>
      <w:spacing w:before="180" w:after="120"/>
      <w:outlineLvl w:val="2"/>
    </w:pPr>
    <w:rPr>
      <w:spacing w:val="-10"/>
      <w:kern w:val="32"/>
    </w:rPr>
  </w:style>
  <w:style w:type="paragraph" w:styleId="Heading4">
    <w:name w:val="heading 4"/>
    <w:basedOn w:val="HeadingBase"/>
    <w:next w:val="BodyText"/>
    <w:link w:val="Heading4Char"/>
    <w:qFormat/>
    <w:rsid w:val="00B67CE1"/>
    <w:pPr>
      <w:spacing w:before="160" w:after="120"/>
      <w:outlineLvl w:val="3"/>
    </w:pPr>
    <w:rPr>
      <w:sz w:val="22"/>
    </w:rPr>
  </w:style>
  <w:style w:type="paragraph" w:styleId="Heading5">
    <w:name w:val="heading 5"/>
    <w:basedOn w:val="HeadingBase"/>
    <w:next w:val="Normal"/>
    <w:link w:val="Heading5Char"/>
    <w:qFormat/>
    <w:rsid w:val="00B67CE1"/>
    <w:pPr>
      <w:spacing w:before="80"/>
      <w:outlineLvl w:val="4"/>
    </w:pPr>
    <w:rPr>
      <w:color w:val="918585"/>
      <w:sz w:val="20"/>
    </w:rPr>
  </w:style>
  <w:style w:type="paragraph" w:styleId="Heading6">
    <w:name w:val="heading 6"/>
    <w:basedOn w:val="HeadingBase"/>
    <w:next w:val="Normal"/>
    <w:link w:val="Heading6Char"/>
    <w:qFormat/>
    <w:rsid w:val="00B67CE1"/>
    <w:pPr>
      <w:spacing w:before="60"/>
      <w:outlineLvl w:val="5"/>
    </w:pPr>
    <w:rPr>
      <w:color w:val="918585"/>
      <w:sz w:val="20"/>
    </w:rPr>
  </w:style>
  <w:style w:type="paragraph" w:styleId="Heading7">
    <w:name w:val="heading 7"/>
    <w:basedOn w:val="Normal"/>
    <w:next w:val="Normal"/>
    <w:link w:val="Heading7Char"/>
    <w:qFormat/>
    <w:rsid w:val="00B67CE1"/>
    <w:pPr>
      <w:ind w:left="720"/>
      <w:outlineLvl w:val="6"/>
    </w:pPr>
    <w:rPr>
      <w:i/>
    </w:rPr>
  </w:style>
  <w:style w:type="paragraph" w:styleId="Heading8">
    <w:name w:val="heading 8"/>
    <w:basedOn w:val="Normal"/>
    <w:next w:val="Normal"/>
    <w:link w:val="Heading8Char"/>
    <w:qFormat/>
    <w:rsid w:val="00B67CE1"/>
    <w:pPr>
      <w:ind w:left="720"/>
      <w:outlineLvl w:val="7"/>
    </w:pPr>
    <w:rPr>
      <w:i/>
    </w:rPr>
  </w:style>
  <w:style w:type="paragraph" w:styleId="Heading9">
    <w:name w:val="heading 9"/>
    <w:basedOn w:val="Normal"/>
    <w:next w:val="Normal"/>
    <w:link w:val="Heading9Char"/>
    <w:qFormat/>
    <w:rsid w:val="00B67CE1"/>
    <w:pPr>
      <w:ind w:left="720"/>
      <w:outlineLvl w:val="8"/>
    </w:pPr>
    <w:rPr>
      <w:i/>
    </w:rPr>
  </w:style>
  <w:style w:type="character" w:default="1" w:styleId="DefaultParagraphFont">
    <w:name w:val="Default Paragraph Font"/>
    <w:uiPriority w:val="1"/>
    <w:unhideWhenUsed/>
    <w:rsid w:val="00B67C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CE1"/>
  </w:style>
  <w:style w:type="character" w:customStyle="1" w:styleId="Heading1Char">
    <w:name w:val="Heading 1 Char"/>
    <w:basedOn w:val="DefaultParagraphFont"/>
    <w:link w:val="Heading1"/>
    <w:rsid w:val="00B67CE1"/>
    <w:rPr>
      <w:rFonts w:ascii="Times New Roman" w:eastAsia="Times New Roman" w:hAnsi="Times New Roman" w:cs="Times New Roman"/>
      <w:b/>
      <w:sz w:val="32"/>
      <w:szCs w:val="20"/>
      <w:lang w:eastAsia="en-US"/>
    </w:rPr>
  </w:style>
  <w:style w:type="paragraph" w:styleId="BodyText">
    <w:name w:val="Body Text"/>
    <w:basedOn w:val="Normal"/>
    <w:link w:val="BodyTextChar"/>
    <w:rsid w:val="00B67C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7CE1"/>
    <w:rPr>
      <w:rFonts w:ascii="Times New Roman" w:eastAsia="Times New Roman" w:hAnsi="Times New Roman" w:cs="Times New Roman"/>
      <w:sz w:val="24"/>
      <w:lang w:eastAsia="en-US"/>
    </w:rPr>
  </w:style>
  <w:style w:type="paragraph" w:styleId="List">
    <w:name w:val="List"/>
    <w:basedOn w:val="BodyText"/>
    <w:next w:val="BodyText"/>
    <w:rsid w:val="00B67CE1"/>
    <w:pPr>
      <w:tabs>
        <w:tab w:val="left" w:pos="340"/>
      </w:tabs>
      <w:spacing w:before="60" w:after="60"/>
      <w:ind w:left="340" w:hanging="340"/>
    </w:pPr>
  </w:style>
  <w:style w:type="paragraph" w:styleId="ListBullet">
    <w:name w:val="List Bullet"/>
    <w:basedOn w:val="List"/>
    <w:rsid w:val="00B67CE1"/>
    <w:pPr>
      <w:numPr>
        <w:numId w:val="13"/>
      </w:numPr>
      <w:tabs>
        <w:tab w:val="clear" w:pos="340"/>
      </w:tabs>
      <w:spacing w:before="40" w:after="40"/>
    </w:pPr>
  </w:style>
  <w:style w:type="character" w:customStyle="1" w:styleId="SpecialBold">
    <w:name w:val="Special Bold"/>
    <w:basedOn w:val="DefaultParagraphFont"/>
    <w:rsid w:val="00B67CE1"/>
    <w:rPr>
      <w:b/>
      <w:spacing w:val="0"/>
    </w:rPr>
  </w:style>
  <w:style w:type="paragraph" w:styleId="ListBullet2">
    <w:name w:val="List Bullet 2"/>
    <w:basedOn w:val="List2"/>
    <w:rsid w:val="00B67CE1"/>
    <w:pPr>
      <w:numPr>
        <w:numId w:val="14"/>
      </w:numPr>
      <w:tabs>
        <w:tab w:val="clear" w:pos="680"/>
      </w:tabs>
    </w:pPr>
  </w:style>
  <w:style w:type="paragraph" w:customStyle="1" w:styleId="SuperHeading">
    <w:name w:val="SuperHeading"/>
    <w:basedOn w:val="Normal"/>
    <w:rsid w:val="00B67CE1"/>
    <w:pPr>
      <w:spacing w:before="240" w:after="120"/>
      <w:outlineLvl w:val="0"/>
    </w:pPr>
    <w:rPr>
      <w:rFonts w:ascii="Times New Roman" w:hAnsi="Times New Roman"/>
      <w:b/>
      <w:sz w:val="32"/>
    </w:rPr>
  </w:style>
  <w:style w:type="paragraph" w:customStyle="1" w:styleId="AllowPageBreak">
    <w:name w:val="AllowPageBreak"/>
    <w:rsid w:val="00B67C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7CE1"/>
    <w:pPr>
      <w:tabs>
        <w:tab w:val="left" w:pos="680"/>
      </w:tabs>
      <w:spacing w:before="60" w:after="60"/>
      <w:ind w:left="680" w:hanging="340"/>
    </w:pPr>
  </w:style>
  <w:style w:type="character" w:customStyle="1" w:styleId="BoldandItalics">
    <w:name w:val="Bold and Italics"/>
    <w:qFormat/>
    <w:rsid w:val="00B67CE1"/>
    <w:rPr>
      <w:b/>
      <w:i/>
      <w:u w:val="none"/>
    </w:rPr>
  </w:style>
  <w:style w:type="character" w:customStyle="1" w:styleId="Heading2Char">
    <w:name w:val="Heading 2 Char"/>
    <w:basedOn w:val="DefaultParagraphFont"/>
    <w:link w:val="Heading2"/>
    <w:rsid w:val="00B67C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C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C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C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C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C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C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CE1"/>
    <w:rPr>
      <w:rFonts w:ascii="Courier New" w:eastAsia="Times New Roman" w:hAnsi="Courier New" w:cs="Times New Roman"/>
      <w:i/>
      <w:szCs w:val="20"/>
      <w:lang w:eastAsia="en-US"/>
    </w:rPr>
  </w:style>
  <w:style w:type="paragraph" w:customStyle="1" w:styleId="HeadingBase">
    <w:name w:val="Heading Base"/>
    <w:rsid w:val="00B67C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CE1"/>
    <w:pPr>
      <w:tabs>
        <w:tab w:val="right" w:leader="dot" w:pos="9072"/>
      </w:tabs>
      <w:ind w:left="567"/>
    </w:pPr>
    <w:rPr>
      <w:szCs w:val="22"/>
    </w:rPr>
  </w:style>
  <w:style w:type="paragraph" w:customStyle="1" w:styleId="TOCBase">
    <w:name w:val="TOC Base"/>
    <w:rsid w:val="00B67C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CE1"/>
    <w:pPr>
      <w:tabs>
        <w:tab w:val="right" w:leader="dot" w:pos="9072"/>
      </w:tabs>
      <w:spacing w:before="40" w:after="40"/>
      <w:ind w:left="284"/>
    </w:pPr>
    <w:rPr>
      <w:rFonts w:ascii="Times New Roman" w:hAnsi="Times New Roman"/>
    </w:rPr>
  </w:style>
  <w:style w:type="paragraph" w:styleId="TOC1">
    <w:name w:val="toc 1"/>
    <w:basedOn w:val="TOCBase"/>
    <w:next w:val="Normal"/>
    <w:rsid w:val="00B67C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C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CE1"/>
    <w:rPr>
      <w:rFonts w:ascii="Times New Roman" w:eastAsia="Times New Roman" w:hAnsi="Times New Roman" w:cs="Times New Roman"/>
      <w:sz w:val="16"/>
      <w:lang w:eastAsia="en-US"/>
    </w:rPr>
  </w:style>
  <w:style w:type="paragraph" w:styleId="Title">
    <w:name w:val="Title"/>
    <w:basedOn w:val="HeadingBase"/>
    <w:link w:val="TitleChar"/>
    <w:qFormat/>
    <w:rsid w:val="00B67CE1"/>
    <w:pPr>
      <w:spacing w:before="5040"/>
      <w:jc w:val="center"/>
    </w:pPr>
    <w:rPr>
      <w:sz w:val="48"/>
      <w:szCs w:val="72"/>
      <w:lang w:val="en-US"/>
    </w:rPr>
  </w:style>
  <w:style w:type="character" w:customStyle="1" w:styleId="TitleChar">
    <w:name w:val="Title Char"/>
    <w:basedOn w:val="DefaultParagraphFont"/>
    <w:link w:val="Title"/>
    <w:rsid w:val="00B67C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CE1"/>
    <w:pPr>
      <w:tabs>
        <w:tab w:val="left" w:pos="3600"/>
        <w:tab w:val="left" w:pos="3958"/>
      </w:tabs>
    </w:pPr>
  </w:style>
  <w:style w:type="paragraph" w:customStyle="1" w:styleId="Note">
    <w:name w:val="Note"/>
    <w:basedOn w:val="BodyText"/>
    <w:rsid w:val="00B67C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CE1"/>
    <w:pPr>
      <w:framePr w:wrap="auto" w:hAnchor="text" w:y="6049"/>
    </w:pPr>
    <w:rPr>
      <w:color w:val="000000"/>
      <w:sz w:val="40"/>
    </w:rPr>
  </w:style>
  <w:style w:type="paragraph" w:customStyle="1" w:styleId="TOCTitle">
    <w:name w:val="TOCTitle"/>
    <w:basedOn w:val="Heading1"/>
    <w:rsid w:val="00B67CE1"/>
    <w:pPr>
      <w:spacing w:after="240"/>
      <w:jc w:val="center"/>
      <w:outlineLvl w:val="9"/>
    </w:pPr>
    <w:rPr>
      <w:caps/>
    </w:rPr>
  </w:style>
  <w:style w:type="paragraph" w:customStyle="1" w:styleId="Version">
    <w:name w:val="Version"/>
    <w:rsid w:val="00B67C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CE1"/>
    <w:pPr>
      <w:keepNext w:val="0"/>
      <w:tabs>
        <w:tab w:val="right" w:pos="4176"/>
      </w:tabs>
      <w:ind w:left="198" w:hanging="198"/>
    </w:pPr>
    <w:rPr>
      <w:rFonts w:ascii="Garamond" w:hAnsi="Garamond"/>
    </w:rPr>
  </w:style>
  <w:style w:type="paragraph" w:styleId="IndexHeading">
    <w:name w:val="index heading"/>
    <w:basedOn w:val="Normal"/>
    <w:next w:val="Index1"/>
    <w:semiHidden/>
    <w:rsid w:val="00B67CE1"/>
    <w:pPr>
      <w:spacing w:before="120" w:after="120"/>
    </w:pPr>
    <w:rPr>
      <w:rFonts w:ascii="Arial" w:hAnsi="Arial"/>
      <w:b/>
      <w:color w:val="918585"/>
      <w:sz w:val="24"/>
    </w:rPr>
  </w:style>
  <w:style w:type="paragraph" w:styleId="Header">
    <w:name w:val="header"/>
    <w:basedOn w:val="Normal"/>
    <w:link w:val="HeaderChar"/>
    <w:rsid w:val="00B67C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CE1"/>
    <w:rPr>
      <w:rFonts w:ascii="Times New Roman" w:eastAsia="Times New Roman" w:hAnsi="Times New Roman" w:cs="Times New Roman"/>
      <w:sz w:val="16"/>
      <w:szCs w:val="20"/>
      <w:lang w:val="en-GB" w:eastAsia="en-US"/>
    </w:rPr>
  </w:style>
  <w:style w:type="paragraph" w:customStyle="1" w:styleId="Chapter">
    <w:name w:val="Chapter"/>
    <w:basedOn w:val="Normal"/>
    <w:rsid w:val="00B67CE1"/>
    <w:pPr>
      <w:spacing w:before="240"/>
    </w:pPr>
    <w:rPr>
      <w:rFonts w:ascii="Times New Roman" w:hAnsi="Times New Roman"/>
      <w:smallCaps/>
      <w:spacing w:val="80"/>
      <w:sz w:val="28"/>
    </w:rPr>
  </w:style>
  <w:style w:type="paragraph" w:customStyle="1" w:styleId="InChapter">
    <w:name w:val="InChapter"/>
    <w:basedOn w:val="Heading3"/>
    <w:rsid w:val="00B67CE1"/>
    <w:pPr>
      <w:spacing w:after="240"/>
      <w:outlineLvl w:val="9"/>
    </w:pPr>
    <w:rPr>
      <w:noProof/>
    </w:rPr>
  </w:style>
  <w:style w:type="paragraph" w:styleId="Index2">
    <w:name w:val="index 2"/>
    <w:basedOn w:val="Normal"/>
    <w:next w:val="Normal"/>
    <w:semiHidden/>
    <w:rsid w:val="00B67CE1"/>
    <w:pPr>
      <w:tabs>
        <w:tab w:val="right" w:pos="4176"/>
      </w:tabs>
      <w:ind w:left="568" w:hanging="284"/>
    </w:pPr>
    <w:rPr>
      <w:rFonts w:ascii="Garamond" w:hAnsi="Garamond"/>
    </w:rPr>
  </w:style>
  <w:style w:type="paragraph" w:customStyle="1" w:styleId="Byline">
    <w:name w:val="Byline"/>
    <w:rsid w:val="00B67C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CE1"/>
    <w:pPr>
      <w:tabs>
        <w:tab w:val="clear" w:pos="3600"/>
        <w:tab w:val="clear" w:pos="3958"/>
      </w:tabs>
      <w:jc w:val="right"/>
    </w:pPr>
  </w:style>
  <w:style w:type="character" w:styleId="Emphasis">
    <w:name w:val="Emphasis"/>
    <w:basedOn w:val="DefaultParagraphFont"/>
    <w:qFormat/>
    <w:rsid w:val="00B67CE1"/>
    <w:rPr>
      <w:i/>
    </w:rPr>
  </w:style>
  <w:style w:type="paragraph" w:styleId="Caption">
    <w:name w:val="caption"/>
    <w:basedOn w:val="BodyText"/>
    <w:next w:val="Normal"/>
    <w:qFormat/>
    <w:rsid w:val="00B67CE1"/>
    <w:pPr>
      <w:framePr w:w="2268" w:hSpace="181" w:vSpace="181" w:wrap="around" w:vAnchor="text" w:hAnchor="page" w:x="1135" w:y="285" w:anchorLock="1"/>
    </w:pPr>
    <w:rPr>
      <w:i/>
    </w:rPr>
  </w:style>
  <w:style w:type="paragraph" w:customStyle="1" w:styleId="MiniTOCTitle">
    <w:name w:val="MiniTOCTitle"/>
    <w:basedOn w:val="Heading4"/>
    <w:rsid w:val="00B67CE1"/>
    <w:pPr>
      <w:spacing w:before="240"/>
      <w:outlineLvl w:val="9"/>
    </w:pPr>
    <w:rPr>
      <w:noProof/>
      <w:sz w:val="24"/>
    </w:rPr>
  </w:style>
  <w:style w:type="paragraph" w:customStyle="1" w:styleId="MiniTOCItem">
    <w:name w:val="MiniTOCItem"/>
    <w:basedOn w:val="ListBullet"/>
    <w:rsid w:val="00B67CE1"/>
    <w:pPr>
      <w:numPr>
        <w:numId w:val="0"/>
      </w:numPr>
      <w:tabs>
        <w:tab w:val="right" w:leader="dot" w:pos="6521"/>
      </w:tabs>
      <w:spacing w:before="0" w:after="0"/>
    </w:pPr>
  </w:style>
  <w:style w:type="paragraph" w:customStyle="1" w:styleId="TOFTitle">
    <w:name w:val="TOFTitle"/>
    <w:basedOn w:val="TOCTitle"/>
    <w:rsid w:val="00B67CE1"/>
  </w:style>
  <w:style w:type="paragraph" w:styleId="TableofFigures">
    <w:name w:val="table of figures"/>
    <w:basedOn w:val="Normal"/>
    <w:next w:val="Normal"/>
    <w:semiHidden/>
    <w:rsid w:val="00B67CE1"/>
    <w:pPr>
      <w:tabs>
        <w:tab w:val="right" w:leader="dot" w:pos="9072"/>
      </w:tabs>
      <w:ind w:left="970" w:hanging="403"/>
    </w:pPr>
    <w:rPr>
      <w:rFonts w:ascii="Times New Roman" w:hAnsi="Times New Roman"/>
      <w:b/>
    </w:rPr>
  </w:style>
  <w:style w:type="paragraph" w:styleId="ListNumber">
    <w:name w:val="List Number"/>
    <w:basedOn w:val="List"/>
    <w:rsid w:val="00B67CE1"/>
    <w:pPr>
      <w:numPr>
        <w:numId w:val="11"/>
      </w:numPr>
    </w:pPr>
  </w:style>
  <w:style w:type="character" w:customStyle="1" w:styleId="WingdingSymbols">
    <w:name w:val="Wingding Symbols"/>
    <w:rsid w:val="00B67CE1"/>
    <w:rPr>
      <w:rFonts w:ascii="Wingdings" w:hAnsi="Wingdings"/>
    </w:rPr>
  </w:style>
  <w:style w:type="paragraph" w:customStyle="1" w:styleId="TableHeading">
    <w:name w:val="Table Heading"/>
    <w:basedOn w:val="HeadingBase"/>
    <w:rsid w:val="00B67CE1"/>
    <w:pPr>
      <w:keepLines/>
      <w:pBdr>
        <w:bottom w:val="single" w:sz="6" w:space="1" w:color="918585"/>
      </w:pBdr>
      <w:spacing w:before="240"/>
    </w:pPr>
  </w:style>
  <w:style w:type="character" w:customStyle="1" w:styleId="HotSpot">
    <w:name w:val="HotSpot"/>
    <w:rsid w:val="00B67CE1"/>
    <w:rPr>
      <w:color w:val="0033CC"/>
      <w:u w:val="none"/>
    </w:rPr>
  </w:style>
  <w:style w:type="paragraph" w:customStyle="1" w:styleId="BodyTextRight">
    <w:name w:val="Body Text Right"/>
    <w:basedOn w:val="BodyText"/>
    <w:rsid w:val="00B67CE1"/>
    <w:pPr>
      <w:spacing w:before="0" w:after="0"/>
      <w:jc w:val="right"/>
    </w:pPr>
  </w:style>
  <w:style w:type="paragraph" w:styleId="Index3">
    <w:name w:val="index 3"/>
    <w:basedOn w:val="ListNumber2"/>
    <w:next w:val="Normal"/>
    <w:semiHidden/>
    <w:rsid w:val="00B67CE1"/>
    <w:pPr>
      <w:numPr>
        <w:numId w:val="0"/>
      </w:numPr>
      <w:tabs>
        <w:tab w:val="right" w:leader="dot" w:pos="4176"/>
      </w:tabs>
    </w:pPr>
  </w:style>
  <w:style w:type="paragraph" w:styleId="ListNumber2">
    <w:name w:val="List Number 2"/>
    <w:basedOn w:val="List2"/>
    <w:rsid w:val="00B67CE1"/>
    <w:pPr>
      <w:numPr>
        <w:numId w:val="10"/>
      </w:numPr>
      <w:tabs>
        <w:tab w:val="clear" w:pos="1060"/>
      </w:tabs>
    </w:pPr>
  </w:style>
  <w:style w:type="paragraph" w:customStyle="1" w:styleId="MarginNote">
    <w:name w:val="Margin Note"/>
    <w:basedOn w:val="BodyText"/>
    <w:rsid w:val="00B67C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C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C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CE1"/>
    <w:rPr>
      <w:sz w:val="32"/>
    </w:rPr>
  </w:style>
  <w:style w:type="paragraph" w:customStyle="1" w:styleId="HeadingProcedure">
    <w:name w:val="Heading Procedure"/>
    <w:basedOn w:val="HeadingBase"/>
    <w:next w:val="Normal"/>
    <w:rsid w:val="00B67CE1"/>
    <w:pPr>
      <w:tabs>
        <w:tab w:val="left" w:pos="0"/>
      </w:tabs>
      <w:spacing w:before="120" w:after="60"/>
    </w:pPr>
    <w:rPr>
      <w:i/>
      <w:color w:val="918585"/>
      <w:sz w:val="22"/>
    </w:rPr>
  </w:style>
  <w:style w:type="paragraph" w:customStyle="1" w:styleId="TableBodyText">
    <w:name w:val="Table Body Text"/>
    <w:basedOn w:val="BodyText"/>
    <w:rsid w:val="00B67CE1"/>
    <w:pPr>
      <w:spacing w:before="60" w:after="60"/>
    </w:pPr>
  </w:style>
  <w:style w:type="paragraph" w:styleId="ListContinue">
    <w:name w:val="List Continue"/>
    <w:basedOn w:val="List"/>
    <w:rsid w:val="00B67CE1"/>
    <w:pPr>
      <w:ind w:firstLine="0"/>
    </w:pPr>
  </w:style>
  <w:style w:type="paragraph" w:customStyle="1" w:styleId="ListNote">
    <w:name w:val="List Note"/>
    <w:basedOn w:val="List"/>
    <w:rsid w:val="00B67CE1"/>
    <w:pPr>
      <w:pBdr>
        <w:top w:val="single" w:sz="6" w:space="2" w:color="918585"/>
        <w:bottom w:val="single" w:sz="6" w:space="2" w:color="918585"/>
      </w:pBdr>
      <w:tabs>
        <w:tab w:val="left" w:pos="1021"/>
      </w:tabs>
      <w:ind w:firstLine="0"/>
    </w:pPr>
  </w:style>
  <w:style w:type="paragraph" w:customStyle="1" w:styleId="Warning">
    <w:name w:val="Warning"/>
    <w:basedOn w:val="BodyText"/>
    <w:rsid w:val="00B67CE1"/>
    <w:pPr>
      <w:shd w:val="clear" w:color="auto" w:fill="D9D9D9"/>
      <w:tabs>
        <w:tab w:val="left" w:pos="992"/>
      </w:tabs>
      <w:ind w:left="119" w:right="119"/>
    </w:pPr>
    <w:rPr>
      <w:sz w:val="20"/>
    </w:rPr>
  </w:style>
  <w:style w:type="paragraph" w:customStyle="1" w:styleId="MarginIcons">
    <w:name w:val="Margin Icons"/>
    <w:basedOn w:val="BodyText"/>
    <w:rsid w:val="00B67C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CE1"/>
    <w:rPr>
      <w:rFonts w:ascii="Courier New" w:hAnsi="Courier New"/>
    </w:rPr>
  </w:style>
  <w:style w:type="paragraph" w:customStyle="1" w:styleId="NoteBullet">
    <w:name w:val="Note Bullet"/>
    <w:basedOn w:val="Note"/>
    <w:rsid w:val="00B67CE1"/>
    <w:pPr>
      <w:tabs>
        <w:tab w:val="clear" w:pos="680"/>
      </w:tabs>
      <w:spacing w:before="60" w:after="60"/>
    </w:pPr>
  </w:style>
  <w:style w:type="paragraph" w:customStyle="1" w:styleId="SubHeading2">
    <w:name w:val="SubHeading2"/>
    <w:basedOn w:val="HeadingBase"/>
    <w:rsid w:val="00B67CE1"/>
    <w:pPr>
      <w:spacing w:before="240" w:after="60"/>
    </w:pPr>
    <w:rPr>
      <w:sz w:val="20"/>
    </w:rPr>
  </w:style>
  <w:style w:type="paragraph" w:customStyle="1" w:styleId="SubHeading1">
    <w:name w:val="SubHeading1"/>
    <w:basedOn w:val="HeadingBase"/>
    <w:rsid w:val="00B67CE1"/>
    <w:pPr>
      <w:spacing w:before="240" w:after="60"/>
    </w:pPr>
    <w:rPr>
      <w:color w:val="918585"/>
      <w:sz w:val="22"/>
    </w:rPr>
  </w:style>
  <w:style w:type="paragraph" w:customStyle="1" w:styleId="SideHeading">
    <w:name w:val="Side Heading"/>
    <w:basedOn w:val="HeadingBase"/>
    <w:rsid w:val="00B67C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CE1"/>
    <w:pPr>
      <w:numPr>
        <w:numId w:val="12"/>
      </w:numPr>
    </w:pPr>
  </w:style>
  <w:style w:type="paragraph" w:styleId="PlainText">
    <w:name w:val="Plain Text"/>
    <w:basedOn w:val="Normal"/>
    <w:link w:val="PlainTextChar"/>
    <w:rsid w:val="00B67CE1"/>
    <w:rPr>
      <w:sz w:val="20"/>
    </w:rPr>
  </w:style>
  <w:style w:type="character" w:customStyle="1" w:styleId="PlainTextChar">
    <w:name w:val="Plain Text Char"/>
    <w:basedOn w:val="DefaultParagraphFont"/>
    <w:link w:val="PlainText"/>
    <w:rsid w:val="00B67CE1"/>
    <w:rPr>
      <w:rFonts w:ascii="Courier New" w:eastAsia="Times New Roman" w:hAnsi="Courier New" w:cs="Times New Roman"/>
      <w:sz w:val="20"/>
      <w:szCs w:val="20"/>
      <w:lang w:eastAsia="en-US"/>
    </w:rPr>
  </w:style>
  <w:style w:type="character" w:customStyle="1" w:styleId="MenuOption">
    <w:name w:val="Menu Option"/>
    <w:basedOn w:val="DefaultParagraphFont"/>
    <w:rsid w:val="00B67CE1"/>
    <w:rPr>
      <w:b/>
      <w:smallCaps/>
    </w:rPr>
  </w:style>
  <w:style w:type="paragraph" w:customStyle="1" w:styleId="TableListNumber">
    <w:name w:val="Table List Number"/>
    <w:basedOn w:val="ListNumber"/>
    <w:rsid w:val="00B67CE1"/>
    <w:pPr>
      <w:numPr>
        <w:numId w:val="0"/>
      </w:numPr>
    </w:pPr>
  </w:style>
  <w:style w:type="paragraph" w:styleId="TOC4">
    <w:name w:val="toc 4"/>
    <w:basedOn w:val="TOCBase"/>
    <w:next w:val="Normal"/>
    <w:semiHidden/>
    <w:rsid w:val="00B67CE1"/>
    <w:pPr>
      <w:tabs>
        <w:tab w:val="right" w:leader="dot" w:pos="9071"/>
      </w:tabs>
      <w:ind w:left="1701"/>
    </w:pPr>
  </w:style>
  <w:style w:type="paragraph" w:customStyle="1" w:styleId="ListAlpha">
    <w:name w:val="List Alpha"/>
    <w:basedOn w:val="List"/>
    <w:rsid w:val="00B67CE1"/>
    <w:pPr>
      <w:numPr>
        <w:numId w:val="9"/>
      </w:numPr>
    </w:pPr>
  </w:style>
  <w:style w:type="paragraph" w:customStyle="1" w:styleId="ListAlpha2">
    <w:name w:val="List Alpha 2"/>
    <w:basedOn w:val="List2"/>
    <w:rsid w:val="00B67CE1"/>
    <w:pPr>
      <w:numPr>
        <w:numId w:val="8"/>
      </w:numPr>
    </w:pPr>
  </w:style>
  <w:style w:type="paragraph" w:styleId="List3">
    <w:name w:val="List 3"/>
    <w:basedOn w:val="BodyText"/>
    <w:rsid w:val="00B67CE1"/>
    <w:pPr>
      <w:tabs>
        <w:tab w:val="left" w:pos="1021"/>
      </w:tabs>
      <w:spacing w:before="60" w:after="60"/>
      <w:ind w:left="1020" w:hanging="340"/>
    </w:pPr>
  </w:style>
  <w:style w:type="paragraph" w:styleId="List4">
    <w:name w:val="List 4"/>
    <w:basedOn w:val="BodyText"/>
    <w:rsid w:val="00B67CE1"/>
    <w:pPr>
      <w:tabs>
        <w:tab w:val="left" w:pos="1361"/>
      </w:tabs>
      <w:spacing w:before="60" w:after="60"/>
      <w:ind w:left="1361" w:hanging="340"/>
    </w:pPr>
  </w:style>
  <w:style w:type="paragraph" w:styleId="List5">
    <w:name w:val="List 5"/>
    <w:basedOn w:val="BodyText"/>
    <w:rsid w:val="00B67CE1"/>
    <w:pPr>
      <w:tabs>
        <w:tab w:val="left" w:pos="1701"/>
      </w:tabs>
      <w:spacing w:before="60" w:after="60"/>
      <w:ind w:left="1701" w:hanging="340"/>
    </w:pPr>
  </w:style>
  <w:style w:type="paragraph" w:styleId="ListBullet3">
    <w:name w:val="List Bullet 3"/>
    <w:basedOn w:val="List3"/>
    <w:rsid w:val="00B67CE1"/>
    <w:pPr>
      <w:numPr>
        <w:numId w:val="15"/>
      </w:numPr>
      <w:tabs>
        <w:tab w:val="clear" w:pos="1021"/>
      </w:tabs>
      <w:ind w:left="1037" w:hanging="357"/>
    </w:pPr>
  </w:style>
  <w:style w:type="paragraph" w:styleId="ListBullet4">
    <w:name w:val="List Bullet 4"/>
    <w:basedOn w:val="List4"/>
    <w:rsid w:val="00B67CE1"/>
    <w:pPr>
      <w:numPr>
        <w:numId w:val="3"/>
      </w:numPr>
    </w:pPr>
  </w:style>
  <w:style w:type="paragraph" w:styleId="ListBullet5">
    <w:name w:val="List Bullet 5"/>
    <w:basedOn w:val="List5"/>
    <w:rsid w:val="00B67CE1"/>
    <w:pPr>
      <w:numPr>
        <w:numId w:val="4"/>
      </w:numPr>
    </w:pPr>
  </w:style>
  <w:style w:type="paragraph" w:styleId="ListContinue2">
    <w:name w:val="List Continue 2"/>
    <w:basedOn w:val="List2"/>
    <w:rsid w:val="00B67CE1"/>
    <w:pPr>
      <w:ind w:firstLine="0"/>
    </w:pPr>
  </w:style>
  <w:style w:type="paragraph" w:styleId="ListContinue3">
    <w:name w:val="List Continue 3"/>
    <w:basedOn w:val="List3"/>
    <w:rsid w:val="00B67CE1"/>
    <w:pPr>
      <w:ind w:left="1021" w:firstLine="0"/>
    </w:pPr>
  </w:style>
  <w:style w:type="paragraph" w:styleId="ListContinue4">
    <w:name w:val="List Continue 4"/>
    <w:basedOn w:val="List4"/>
    <w:rsid w:val="00B67CE1"/>
    <w:pPr>
      <w:ind w:firstLine="0"/>
    </w:pPr>
  </w:style>
  <w:style w:type="paragraph" w:styleId="ListContinue5">
    <w:name w:val="List Continue 5"/>
    <w:basedOn w:val="List5"/>
    <w:rsid w:val="00B67CE1"/>
    <w:pPr>
      <w:ind w:firstLine="0"/>
    </w:pPr>
  </w:style>
  <w:style w:type="paragraph" w:styleId="ListNumber3">
    <w:name w:val="List Number 3"/>
    <w:basedOn w:val="List3"/>
    <w:rsid w:val="00B67CE1"/>
    <w:pPr>
      <w:numPr>
        <w:numId w:val="5"/>
      </w:numPr>
    </w:pPr>
  </w:style>
  <w:style w:type="paragraph" w:styleId="ListNumber4">
    <w:name w:val="List Number 4"/>
    <w:basedOn w:val="List4"/>
    <w:rsid w:val="00B67CE1"/>
    <w:pPr>
      <w:numPr>
        <w:numId w:val="6"/>
      </w:numPr>
    </w:pPr>
  </w:style>
  <w:style w:type="paragraph" w:styleId="ListNumber5">
    <w:name w:val="List Number 5"/>
    <w:basedOn w:val="List5"/>
    <w:rsid w:val="00B67CE1"/>
    <w:pPr>
      <w:numPr>
        <w:numId w:val="7"/>
      </w:numPr>
    </w:pPr>
  </w:style>
  <w:style w:type="paragraph" w:styleId="BlockText">
    <w:name w:val="Block Text"/>
    <w:basedOn w:val="Normal"/>
    <w:rsid w:val="00B67CE1"/>
    <w:pPr>
      <w:spacing w:after="120"/>
      <w:ind w:left="1440" w:right="1440"/>
    </w:pPr>
  </w:style>
  <w:style w:type="character" w:customStyle="1" w:styleId="Subscript">
    <w:name w:val="Subscript"/>
    <w:basedOn w:val="DefaultParagraphFont"/>
    <w:rsid w:val="00B67CE1"/>
    <w:rPr>
      <w:sz w:val="16"/>
      <w:vertAlign w:val="subscript"/>
    </w:rPr>
  </w:style>
  <w:style w:type="character" w:customStyle="1" w:styleId="Superscript">
    <w:name w:val="Superscript"/>
    <w:basedOn w:val="DefaultParagraphFont"/>
    <w:rsid w:val="00B67CE1"/>
    <w:rPr>
      <w:sz w:val="16"/>
      <w:vertAlign w:val="superscript"/>
    </w:rPr>
  </w:style>
  <w:style w:type="character" w:customStyle="1" w:styleId="Symbols">
    <w:name w:val="Symbols"/>
    <w:basedOn w:val="DefaultParagraphFont"/>
    <w:rsid w:val="00B67CE1"/>
    <w:rPr>
      <w:rFonts w:ascii="Symbol" w:hAnsi="Symbol"/>
    </w:rPr>
  </w:style>
  <w:style w:type="character" w:customStyle="1" w:styleId="MenuOptions">
    <w:name w:val="Menu Options"/>
    <w:basedOn w:val="DefaultParagraphFont"/>
    <w:rsid w:val="00B67CE1"/>
    <w:rPr>
      <w:rFonts w:ascii="Arial Narrow" w:hAnsi="Arial Narrow"/>
      <w:smallCaps/>
    </w:rPr>
  </w:style>
  <w:style w:type="character" w:customStyle="1" w:styleId="Buttons">
    <w:name w:val="Buttons"/>
    <w:basedOn w:val="DefaultParagraphFont"/>
    <w:rsid w:val="00B67CE1"/>
    <w:rPr>
      <w:b/>
    </w:rPr>
  </w:style>
  <w:style w:type="character" w:customStyle="1" w:styleId="Underlined">
    <w:name w:val="Underlined"/>
    <w:basedOn w:val="DefaultParagraphFont"/>
    <w:rsid w:val="00B67CE1"/>
    <w:rPr>
      <w:u w:val="single"/>
    </w:rPr>
  </w:style>
  <w:style w:type="paragraph" w:customStyle="1" w:styleId="TableBodyTextRight">
    <w:name w:val="Table Body Text Right"/>
    <w:basedOn w:val="TableBodyText"/>
    <w:rsid w:val="00B67CE1"/>
    <w:pPr>
      <w:widowControl w:val="0"/>
      <w:autoSpaceDE w:val="0"/>
      <w:autoSpaceDN w:val="0"/>
      <w:adjustRightInd w:val="0"/>
      <w:jc w:val="right"/>
    </w:pPr>
    <w:rPr>
      <w:rFonts w:cs="Arial"/>
      <w:szCs w:val="18"/>
    </w:rPr>
  </w:style>
  <w:style w:type="paragraph" w:customStyle="1" w:styleId="CopyrightText">
    <w:name w:val="Copyright Text"/>
    <w:basedOn w:val="BodyText"/>
    <w:rsid w:val="00B67CE1"/>
    <w:rPr>
      <w:sz w:val="18"/>
    </w:rPr>
  </w:style>
  <w:style w:type="paragraph" w:customStyle="1" w:styleId="BodySmallRight">
    <w:name w:val="Body Small Right"/>
    <w:basedOn w:val="BodyTextRight"/>
    <w:rsid w:val="00B67CE1"/>
    <w:rPr>
      <w:sz w:val="18"/>
      <w:szCs w:val="18"/>
    </w:rPr>
  </w:style>
  <w:style w:type="paragraph" w:customStyle="1" w:styleId="MarginEdition">
    <w:name w:val="Margin Edition"/>
    <w:basedOn w:val="MarginNote"/>
    <w:rsid w:val="00B67CE1"/>
    <w:pPr>
      <w:spacing w:before="0" w:after="0"/>
    </w:pPr>
    <w:rPr>
      <w:rFonts w:ascii="Times New Roman" w:hAnsi="Times New Roman"/>
      <w:color w:val="999999"/>
    </w:rPr>
  </w:style>
  <w:style w:type="paragraph" w:customStyle="1" w:styleId="Spacer">
    <w:name w:val="Spacer"/>
    <w:basedOn w:val="Normal"/>
    <w:rsid w:val="00B67CE1"/>
    <w:rPr>
      <w:sz w:val="2"/>
      <w:szCs w:val="2"/>
    </w:rPr>
  </w:style>
  <w:style w:type="character" w:customStyle="1" w:styleId="Small">
    <w:name w:val="Small"/>
    <w:basedOn w:val="DefaultParagraphFont"/>
    <w:rsid w:val="00B67CE1"/>
    <w:rPr>
      <w:sz w:val="16"/>
    </w:rPr>
  </w:style>
  <w:style w:type="paragraph" w:customStyle="1" w:styleId="WideTable">
    <w:name w:val="Wide Table"/>
    <w:basedOn w:val="Normal"/>
    <w:rsid w:val="00B67CE1"/>
    <w:pPr>
      <w:ind w:left="-1418"/>
    </w:pPr>
    <w:rPr>
      <w:sz w:val="2"/>
      <w:szCs w:val="2"/>
    </w:rPr>
  </w:style>
  <w:style w:type="character" w:styleId="PageNumber">
    <w:name w:val="page number"/>
    <w:basedOn w:val="DefaultParagraphFont"/>
    <w:rsid w:val="00B67CE1"/>
  </w:style>
  <w:style w:type="paragraph" w:styleId="Quote">
    <w:name w:val="Quote"/>
    <w:basedOn w:val="Heading1"/>
    <w:link w:val="QuoteChar"/>
    <w:qFormat/>
    <w:rsid w:val="00B67CE1"/>
    <w:rPr>
      <w:b w:val="0"/>
      <w:sz w:val="72"/>
      <w:szCs w:val="72"/>
      <w:lang w:val="en-NZ"/>
    </w:rPr>
  </w:style>
  <w:style w:type="character" w:customStyle="1" w:styleId="QuoteChar">
    <w:name w:val="Quote Char"/>
    <w:basedOn w:val="DefaultParagraphFont"/>
    <w:link w:val="Quote"/>
    <w:rsid w:val="00B67C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CE1"/>
    <w:pPr>
      <w:pageBreakBefore/>
    </w:pPr>
  </w:style>
  <w:style w:type="paragraph" w:customStyle="1" w:styleId="Border">
    <w:name w:val="Border"/>
    <w:basedOn w:val="Normal"/>
    <w:qFormat/>
    <w:rsid w:val="00B67C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CE1"/>
    <w:rPr>
      <w:b/>
      <w:bCs/>
      <w:i/>
      <w:iCs/>
      <w:color w:val="auto"/>
    </w:rPr>
  </w:style>
  <w:style w:type="paragraph" w:styleId="IntenseQuote">
    <w:name w:val="Intense Quote"/>
    <w:basedOn w:val="Normal"/>
    <w:next w:val="Normal"/>
    <w:link w:val="IntenseQuoteChar"/>
    <w:uiPriority w:val="30"/>
    <w:qFormat/>
    <w:rsid w:val="00B67C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C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CE1"/>
    <w:rPr>
      <w:smallCaps/>
      <w:color w:val="auto"/>
      <w:u w:val="single"/>
    </w:rPr>
  </w:style>
  <w:style w:type="character" w:styleId="IntenseReference">
    <w:name w:val="Intense Reference"/>
    <w:basedOn w:val="DefaultParagraphFont"/>
    <w:uiPriority w:val="32"/>
    <w:qFormat/>
    <w:rsid w:val="00B67CE1"/>
    <w:rPr>
      <w:b/>
      <w:bCs/>
      <w:smallCaps/>
      <w:color w:val="auto"/>
      <w:spacing w:val="5"/>
      <w:u w:val="single"/>
    </w:rPr>
  </w:style>
  <w:style w:type="paragraph" w:customStyle="1" w:styleId="2ColumnHeading">
    <w:name w:val="2Column Heading"/>
    <w:basedOn w:val="BodyText"/>
    <w:qFormat/>
    <w:rsid w:val="00B67CE1"/>
    <w:pPr>
      <w:spacing w:after="60"/>
      <w:ind w:left="-2268"/>
    </w:pPr>
    <w:rPr>
      <w:b/>
    </w:rPr>
  </w:style>
  <w:style w:type="paragraph" w:customStyle="1" w:styleId="Heading1TOC">
    <w:name w:val="Heading1 TOC"/>
    <w:basedOn w:val="Normal"/>
    <w:qFormat/>
    <w:rsid w:val="00B67CE1"/>
    <w:pPr>
      <w:spacing w:before="240" w:after="120"/>
    </w:pPr>
    <w:rPr>
      <w:rFonts w:ascii="Times New Roman" w:hAnsi="Times New Roman"/>
      <w:b/>
      <w:sz w:val="32"/>
    </w:rPr>
  </w:style>
  <w:style w:type="paragraph" w:customStyle="1" w:styleId="Heading2TOC">
    <w:name w:val="Heading2 TOC"/>
    <w:basedOn w:val="Normal"/>
    <w:qFormat/>
    <w:rsid w:val="00B67CE1"/>
    <w:pPr>
      <w:spacing w:before="240" w:after="60"/>
    </w:pPr>
    <w:rPr>
      <w:rFonts w:ascii="Times New Roman" w:hAnsi="Times New Roman"/>
      <w:b/>
      <w:sz w:val="28"/>
    </w:rPr>
  </w:style>
  <w:style w:type="character" w:customStyle="1" w:styleId="Underline">
    <w:name w:val="Underline"/>
    <w:basedOn w:val="DefaultParagraphFont"/>
    <w:qFormat/>
    <w:rsid w:val="00B67CE1"/>
    <w:rPr>
      <w:u w:val="single"/>
    </w:rPr>
  </w:style>
  <w:style w:type="paragraph" w:styleId="BalloonText">
    <w:name w:val="Balloon Text"/>
    <w:basedOn w:val="Normal"/>
    <w:link w:val="BalloonTextChar"/>
    <w:rsid w:val="00B67CE1"/>
    <w:rPr>
      <w:rFonts w:ascii="Tahoma" w:hAnsi="Tahoma" w:cs="Tahoma"/>
      <w:sz w:val="16"/>
      <w:szCs w:val="16"/>
    </w:rPr>
  </w:style>
  <w:style w:type="character" w:customStyle="1" w:styleId="BalloonTextChar">
    <w:name w:val="Balloon Text Char"/>
    <w:basedOn w:val="DefaultParagraphFont"/>
    <w:link w:val="BalloonText"/>
    <w:rsid w:val="00B67C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C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7C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CE1"/>
    <w:rPr>
      <w:b/>
      <w:color w:val="660033"/>
      <w:spacing w:val="0"/>
    </w:rPr>
  </w:style>
  <w:style w:type="paragraph" w:customStyle="1" w:styleId="Nameditemlist">
    <w:name w:val="Named item list"/>
    <w:basedOn w:val="BodyText"/>
    <w:qFormat/>
    <w:rsid w:val="00B67C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1133</Words>
  <Characters>6950</Characters>
  <Application>Microsoft Office Word</Application>
  <DocSecurity>0</DocSecurity>
  <Lines>193</Lines>
  <Paragraphs>144</Paragraphs>
  <ScaleCrop>false</ScaleCrop>
  <Company>Author-it Software Corporation Ltd.</Company>
  <LinksUpToDate>false</LinksUpToDate>
  <CharactersWithSpaces>8002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SITHGAM204 Conduct Keno games</dc:title>
  <dc:subject>Approved</dc:subject>
  <dc:creator>Service Skills Australia</dc:creator>
  <cp:keywords>Release 2</cp:keywords>
  <dc:description>Review Date: 12 April 2008</dc:description>
  <cp:lastModifiedBy>HSD_TPCMSd.prod</cp:lastModifiedBy>
  <cp:revision>3</cp:revision>
  <dcterms:created xsi:type="dcterms:W3CDTF">2013-07-29T05:36:00Z</dcterms:created>
  <dcterms:modified xsi:type="dcterms:W3CDTF">2013-07-29T05:36:00Z</dcterms:modified>
</cp:coreProperties>
</file>