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34E" w:rsidP="0029434E">
      <w:pPr>
        <w:pStyle w:val="Title"/>
      </w:pPr>
      <w:r>
        <w:fldChar w:fldCharType="begin"/>
      </w:r>
      <w:r>
        <w:instrText xml:space="preserve"> TITLE   \* MERGEFORMAT </w:instrText>
      </w:r>
      <w:r>
        <w:fldChar w:fldCharType="separate"/>
      </w:r>
      <w:r>
        <w:t>SITXHRM008A Manage workplace relations</w:t>
      </w:r>
      <w:r>
        <w:fldChar w:fldCharType="end"/>
      </w:r>
    </w:p>
    <w:p w:rsidR="0029434E" w:rsidP="0029434E">
      <w:pPr>
        <w:pStyle w:val="Version"/>
        <w:sectPr w:rsidSect="000510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10A7" w:rsidP="000510A7">
      <w:pPr>
        <w:pStyle w:val="SuperHeading"/>
      </w:pPr>
      <w:r w:rsidRPr="000510A7">
        <w:t>SITXHRM008A Manage workplace relations</w:t>
      </w:r>
    </w:p>
    <w:p w:rsidR="00000000" w:rsidRPr="000510A7" w:rsidP="000510A7">
      <w:pPr>
        <w:pStyle w:val="SuperHeading"/>
      </w:pPr>
    </w:p>
    <w:p w:rsidR="00000000" w:rsidRPr="000510A7" w:rsidP="000510A7">
      <w:pPr>
        <w:pStyle w:val="Heading1"/>
      </w:pPr>
      <w:bookmarkStart w:id="1" w:name="O_148683"/>
      <w:bookmarkEnd w:id="1"/>
      <w:r w:rsidRPr="000510A7">
        <w:t>Modification History</w:t>
      </w:r>
    </w:p>
    <w:p w:rsidR="00000000" w:rsidRPr="000510A7" w:rsidP="000510A7">
      <w:pPr>
        <w:pStyle w:val="BodyText"/>
      </w:pPr>
      <w:r w:rsidRPr="000510A7">
        <w:t>Not applicable.</w:t>
      </w:r>
    </w:p>
    <w:p w:rsidR="00000000" w:rsidRPr="000510A7" w:rsidP="000510A7">
      <w:pPr>
        <w:pStyle w:val="AllowPageBreak"/>
      </w:pPr>
    </w:p>
    <w:p w:rsidR="00000000" w:rsidRPr="000510A7" w:rsidP="000510A7">
      <w:pPr>
        <w:pStyle w:val="Heading1"/>
      </w:pPr>
      <w:bookmarkStart w:id="2" w:name="O_148684"/>
      <w:bookmarkEnd w:id="2"/>
      <w:r w:rsidRPr="000510A7">
        <w:t>Unit Descriptor</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This unit describes the performance outcomes, skills and knowledge required to manage workplace relations from</w:t>
            </w:r>
            <w:r w:rsidRPr="000510A7">
              <w:t xml:space="preserve"> an industrial relations perspective. A more strategic approach to overall employee relations is found in the Business Services Training Package.</w:t>
            </w:r>
          </w:p>
        </w:tc>
      </w:tr>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3" w:name="O_148685"/>
      <w:bookmarkEnd w:id="3"/>
      <w:r w:rsidRPr="000510A7">
        <w:t>Application of the Unit</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This unit applies to individuals involved in the management of workplace relations from an industrial relations perspective and at an operational level. It requires the application of critical thinking, communication, problem-solving and planning skills co</w:t>
            </w:r>
            <w:r w:rsidRPr="000510A7">
              <w:t>mbined with a sound general knowledge of current industry relations legislation, as well as provisions and processes in a given workplace context.</w:t>
            </w:r>
          </w:p>
          <w:p w:rsidR="00000000" w:rsidP="000510A7">
            <w:pPr>
              <w:pStyle w:val="BodyText"/>
              <w:rPr>
                <w:lang w:val="en-NZ"/>
              </w:rPr>
            </w:pPr>
            <w:r w:rsidRPr="000510A7">
              <w:t>The unit focuses on the skills and knowledge needed by frontline managers and owners or managers of small bus</w:t>
            </w:r>
            <w:r w:rsidRPr="000510A7">
              <w:t>inesses. Human resource management units in the Business Services Training Package are more relevant to human resource specialists who need a more strategic focus.</w:t>
            </w:r>
          </w:p>
        </w:tc>
      </w:tr>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4" w:name="O_148686"/>
      <w:bookmarkEnd w:id="4"/>
      <w:r w:rsidRPr="000510A7">
        <w:t>Licensing/Regulatory Information</w:t>
      </w:r>
    </w:p>
    <w:p w:rsidR="00000000" w:rsidRPr="000510A7" w:rsidP="000510A7">
      <w:pPr>
        <w:pStyle w:val="BodyText"/>
      </w:pPr>
      <w:r w:rsidRPr="000510A7">
        <w:t>Not applicable.</w:t>
      </w:r>
    </w:p>
    <w:p w:rsidR="00000000" w:rsidRPr="000510A7" w:rsidP="000510A7">
      <w:pPr>
        <w:pStyle w:val="AllowPageBreak"/>
      </w:pPr>
    </w:p>
    <w:p w:rsidR="00000000" w:rsidRPr="000510A7" w:rsidP="000510A7">
      <w:pPr>
        <w:pStyle w:val="Heading1"/>
      </w:pPr>
      <w:bookmarkStart w:id="5" w:name="O_148687"/>
      <w:bookmarkEnd w:id="5"/>
      <w:r w:rsidRPr="000510A7">
        <w:t>Pre-Requisites</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Nil</w:t>
            </w:r>
          </w:p>
        </w:tc>
      </w:tr>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6" w:name="O_148688"/>
      <w:bookmarkEnd w:id="6"/>
      <w:r w:rsidRPr="000510A7">
        <w:t>Employability Skills Information</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The required outcomes described in this unit of competency contain applicable facets of employability skills. The Employability Skills Summary</w:t>
            </w:r>
            <w:r w:rsidRPr="000510A7">
              <w:t xml:space="preserve"> of the qualification in which this unit is packaged will assist in identifying employability skills requirements.</w:t>
            </w:r>
          </w:p>
        </w:tc>
      </w:tr>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7" w:name="O_148689"/>
      <w:bookmarkEnd w:id="7"/>
      <w:r w:rsidRPr="000510A7">
        <w:t>Elements and Performance Criteria Pre-Content</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 xml:space="preserve">Performance criteria describe the required performance needed to demonstrate achievement of the element. Where </w:t>
            </w:r>
            <w:r w:rsidRPr="000510A7">
              <w:rPr>
                <w:rStyle w:val="BoldandItalics"/>
              </w:rPr>
              <w:t>bold italicised</w:t>
            </w:r>
            <w:r w:rsidRPr="000510A7">
              <w:t xml:space="preserve"> text is used, further information is detailed in the required skills and knowledge and/or the range statement. Assessment of perf</w:t>
            </w:r>
            <w:r w:rsidRPr="000510A7">
              <w:t>ormance is to be consistent with the evidence guide.</w:t>
            </w: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8" w:name="O_148690"/>
      <w:bookmarkEnd w:id="8"/>
      <w:r w:rsidRPr="000510A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9434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510A7" w:rsidP="000510A7">
            <w:pPr>
              <w:pStyle w:val="List"/>
            </w:pPr>
            <w:r w:rsidRPr="000510A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rPr>
                <w:rStyle w:val="SpecialBold"/>
              </w:rPr>
              <w:t>PERFORMANCE CRITERIA</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w:t>
            </w:r>
          </w:p>
        </w:tc>
        <w:tc>
          <w:tcPr>
            <w:tcW w:w="2410" w:type="dxa"/>
            <w:vMerge w:val="restart"/>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Build a positive industrial relations climate.</w:t>
            </w: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1.1</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Provide employees with accurate and impartial information on industrial matters likely to affect them.</w:t>
            </w:r>
          </w:p>
        </w:tc>
      </w:tr>
      <w:tr w:rsidTr="002943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1.2</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 xml:space="preserve">Identify and evaluate promptly workplace changes or issues that may cause industrial unrest and take </w:t>
            </w:r>
            <w:r w:rsidRPr="000510A7">
              <w:rPr>
                <w:rStyle w:val="BoldandItalics"/>
              </w:rPr>
              <w:t>appropriate action</w:t>
            </w:r>
            <w:r w:rsidRPr="000510A7">
              <w:t>.</w:t>
            </w:r>
          </w:p>
        </w:tc>
      </w:tr>
      <w:tr w:rsidTr="002943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1.3</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 xml:space="preserve">Analyse potential </w:t>
            </w:r>
            <w:r w:rsidRPr="000510A7">
              <w:t>causes of industrial unrest in external environments and take appropriate action promptly.</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1.4</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 xml:space="preserve">Create </w:t>
            </w:r>
            <w:r w:rsidRPr="000510A7">
              <w:rPr>
                <w:rStyle w:val="BoldandItalics"/>
              </w:rPr>
              <w:t>conditions of employment</w:t>
            </w:r>
            <w:r w:rsidRPr="000510A7">
              <w:t xml:space="preserve"> according to relevant legislation and industrial awards or agreements.</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1.5</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Implement mechanisms for consulting with staff and facilitating two-way communication.</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1.6</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Ensure induction and training initiatives are used effectively to develop a competent workforce.</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1.7</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Establish consultative structures for the identification a</w:t>
            </w:r>
            <w:r w:rsidRPr="000510A7">
              <w:t>nd resolution of grievances.</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2</w:t>
            </w:r>
          </w:p>
        </w:tc>
        <w:tc>
          <w:tcPr>
            <w:tcW w:w="2410" w:type="dxa"/>
            <w:vMerge w:val="restart"/>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Implement formal industrial procedures.</w:t>
            </w: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2.1</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 xml:space="preserve">Contribute to the development of </w:t>
            </w:r>
            <w:r w:rsidRPr="000510A7">
              <w:rPr>
                <w:rStyle w:val="BoldandItalics"/>
              </w:rPr>
              <w:t>formal industrial relations procedures</w:t>
            </w:r>
            <w:r w:rsidRPr="000510A7">
              <w:t xml:space="preserve"> in consultation with </w:t>
            </w:r>
            <w:r w:rsidRPr="000510A7">
              <w:rPr>
                <w:rStyle w:val="BoldandItalics"/>
              </w:rPr>
              <w:t>relevant parties</w:t>
            </w:r>
            <w:r w:rsidRPr="000510A7">
              <w:t>.</w:t>
            </w:r>
          </w:p>
        </w:tc>
      </w:tr>
      <w:tr w:rsidTr="0029434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2.2</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 xml:space="preserve">Use and monitor agreed procedures to resolve employee </w:t>
            </w:r>
            <w:r w:rsidRPr="000510A7">
              <w:t>relations issues according to organisation policy and legal requirements.</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2.3</w:t>
            </w:r>
          </w:p>
        </w:tc>
        <w:tc>
          <w:tcPr>
            <w:tcW w:w="577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Monitor agreed processes and make appropriate adjustments in consultation with relevant parties.</w:t>
            </w:r>
          </w:p>
        </w:tc>
      </w:tr>
      <w:tr w:rsidTr="0029434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510A7">
            <w:pPr>
              <w:pStyle w:val="List"/>
              <w:rPr>
                <w:lang w:val="en-NZ"/>
              </w:rPr>
            </w:pPr>
            <w:r w:rsidRPr="000510A7">
              <w:t>2.4</w:t>
            </w:r>
          </w:p>
        </w:tc>
        <w:tc>
          <w:tcPr>
            <w:tcW w:w="5777" w:type="dxa"/>
            <w:tcBorders>
              <w:top w:val="nil"/>
              <w:left w:val="nil"/>
              <w:bottom w:val="nil"/>
              <w:right w:val="nil"/>
            </w:tcBorders>
            <w:tcMar>
              <w:top w:w="0" w:type="dxa"/>
              <w:left w:w="62" w:type="dxa"/>
              <w:bottom w:w="0" w:type="dxa"/>
              <w:right w:w="62" w:type="dxa"/>
            </w:tcMar>
          </w:tcPr>
          <w:p w:rsidR="00000000" w:rsidRPr="000510A7" w:rsidP="000510A7">
            <w:pPr>
              <w:pStyle w:val="List"/>
            </w:pPr>
            <w:r w:rsidRPr="000510A7">
              <w:t>Identify the need for and access specialist assistance in industrial relations matters when appropriate.</w:t>
            </w: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9" w:name="O_148691"/>
      <w:bookmarkEnd w:id="9"/>
      <w:r w:rsidRPr="000510A7">
        <w:t>Required Skills and Knowledge</w:t>
      </w:r>
    </w:p>
    <w:tbl>
      <w:tblPr>
        <w:tblW w:w="0" w:type="auto"/>
        <w:tblLayout w:type="fixed"/>
        <w:tblCellMar>
          <w:left w:w="62" w:type="dxa"/>
          <w:right w:w="62" w:type="dxa"/>
        </w:tblCellMar>
        <w:tblLook w:val="0000"/>
      </w:tblPr>
      <w:tblGrid>
        <w:gridCol w:w="9180"/>
      </w:tblGrid>
      <w:tr w:rsidTr="0029434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REQUIRED SKILLS AND KNOWLEDGE</w:t>
            </w:r>
          </w:p>
        </w:tc>
      </w:tr>
      <w:tr w:rsidTr="002943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This section describes the essential skills and knowledge and their level, required for this unit.</w:t>
            </w:r>
          </w:p>
        </w:tc>
      </w:tr>
      <w:tr w:rsidTr="002943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The following skills must be assessed as part of this unit:</w:t>
            </w:r>
          </w:p>
          <w:p w:rsidR="00000000" w:rsidRPr="000510A7" w:rsidP="000510A7">
            <w:pPr>
              <w:pStyle w:val="ListBullet"/>
            </w:pPr>
            <w:r w:rsidRPr="000510A7">
              <w:t>critical thinking and analytical skills to evaluate complex information from varied sources a</w:t>
            </w:r>
            <w:r w:rsidRPr="000510A7">
              <w:t>nd apply that information to management practices</w:t>
            </w:r>
          </w:p>
          <w:p w:rsidR="00000000" w:rsidRPr="000510A7" w:rsidP="000510A7">
            <w:pPr>
              <w:pStyle w:val="ListBullet"/>
            </w:pPr>
            <w:r w:rsidRPr="000510A7">
              <w:t>planning and organisational skills to organise and implement workplace procedures to address industrial relations issues</w:t>
            </w:r>
          </w:p>
          <w:p w:rsidR="00000000" w:rsidRPr="000510A7" w:rsidP="000510A7">
            <w:pPr>
              <w:pStyle w:val="ListBullet"/>
            </w:pPr>
            <w:r w:rsidRPr="000510A7">
              <w:t xml:space="preserve">literacy skills to interpret and develop complex documentation </w:t>
            </w:r>
          </w:p>
          <w:p w:rsidR="00000000" w:rsidP="000510A7">
            <w:pPr>
              <w:pStyle w:val="ListBullet"/>
              <w:rPr>
                <w:lang w:val="en-NZ"/>
              </w:rPr>
            </w:pPr>
            <w:r w:rsidRPr="000510A7">
              <w:t>numeracy skills to work with numerical aspects of industrial agreements.</w:t>
            </w:r>
          </w:p>
        </w:tc>
      </w:tr>
      <w:tr w:rsidTr="002943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The following knowledge must be assessed as part of this unit:</w:t>
            </w:r>
          </w:p>
          <w:p w:rsidR="00000000" w:rsidRPr="000510A7" w:rsidP="000510A7">
            <w:pPr>
              <w:pStyle w:val="ListBullet"/>
            </w:pPr>
            <w:r w:rsidRPr="000510A7">
              <w:t>overview of the current federal and relevant state or territory industrial relations system, including legal obligat</w:t>
            </w:r>
            <w:r w:rsidRPr="000510A7">
              <w:t>ions of employers</w:t>
            </w:r>
          </w:p>
          <w:p w:rsidR="00000000" w:rsidRPr="000510A7" w:rsidP="000510A7">
            <w:pPr>
              <w:pStyle w:val="ListBullet"/>
            </w:pPr>
            <w:r w:rsidRPr="000510A7">
              <w:t>role of specific unions in the relevant industry sector</w:t>
            </w:r>
          </w:p>
          <w:p w:rsidR="00000000" w:rsidRPr="000510A7" w:rsidP="000510A7">
            <w:pPr>
              <w:pStyle w:val="ListBullet"/>
            </w:pPr>
            <w:r w:rsidRPr="000510A7">
              <w:t>role of specific employer groups in the relevant industry sector</w:t>
            </w:r>
          </w:p>
          <w:p w:rsidR="00000000" w:rsidRPr="000510A7" w:rsidP="000510A7">
            <w:pPr>
              <w:pStyle w:val="ListBullet"/>
            </w:pPr>
            <w:r w:rsidRPr="000510A7">
              <w:t>provisions of awards appropriate to the industry sector</w:t>
            </w:r>
          </w:p>
          <w:p w:rsidR="00000000" w:rsidRPr="000510A7" w:rsidP="000510A7">
            <w:pPr>
              <w:pStyle w:val="ListBullet"/>
            </w:pPr>
            <w:r w:rsidRPr="000510A7">
              <w:t>overview of procedures for creating workplace agreements</w:t>
            </w:r>
          </w:p>
          <w:p w:rsidR="00000000" w:rsidRPr="000510A7" w:rsidP="000510A7">
            <w:pPr>
              <w:pStyle w:val="ListBullet"/>
            </w:pPr>
            <w:r w:rsidRPr="000510A7">
              <w:t>proc</w:t>
            </w:r>
            <w:r w:rsidRPr="000510A7">
              <w:t>edures and specific communication skills for formal counselling, and grievance and industrial dispute resolution.</w:t>
            </w:r>
          </w:p>
        </w:tc>
      </w:tr>
    </w:tbl>
    <w:p w:rsidR="0029434E" w:rsidP="000510A7">
      <w:pPr>
        <w:pStyle w:val="BodyText"/>
      </w:pPr>
    </w:p>
    <w:p w:rsidR="0029434E" w:rsidP="000510A7">
      <w:pPr>
        <w:pStyle w:val="BodyText"/>
      </w:pPr>
    </w:p>
    <w:p w:rsidR="00000000" w:rsidRPr="000510A7" w:rsidP="000510A7">
      <w:pPr>
        <w:pStyle w:val="Heading1"/>
      </w:pPr>
      <w:bookmarkStart w:id="10" w:name="O_148692"/>
      <w:bookmarkEnd w:id="10"/>
      <w:r w:rsidRPr="000510A7">
        <w:t>Evidence Guide</w:t>
      </w:r>
    </w:p>
    <w:tbl>
      <w:tblPr>
        <w:tblW w:w="0" w:type="auto"/>
        <w:tblLayout w:type="fixed"/>
        <w:tblCellMar>
          <w:left w:w="62" w:type="dxa"/>
          <w:right w:w="62" w:type="dxa"/>
        </w:tblCellMar>
        <w:tblLook w:val="0000"/>
      </w:tblPr>
      <w:tblGrid>
        <w:gridCol w:w="3345"/>
        <w:gridCol w:w="5835"/>
      </w:tblGrid>
      <w:tr w:rsidTr="002943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EVIDENCE GUIDE</w:t>
            </w:r>
          </w:p>
        </w:tc>
      </w:tr>
      <w:tr w:rsidTr="002943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The evidence guide provides advice on assessment and must be read in conjunction with the performance criteria, required skills and knowledge, the range statement and the Assessment Guidelines for this Training Package.</w:t>
            </w:r>
          </w:p>
        </w:tc>
      </w:tr>
      <w:tr w:rsidTr="002943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Critical aspects for assessment</w:t>
            </w:r>
            <w:r w:rsidRPr="000510A7">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Evidence of the following is essential:</w:t>
            </w:r>
          </w:p>
          <w:p w:rsidR="00000000" w:rsidRPr="000510A7" w:rsidP="000510A7">
            <w:pPr>
              <w:pStyle w:val="ListBullet"/>
            </w:pPr>
            <w:r w:rsidRPr="000510A7">
              <w:t>knowledge of industrial relations issues, procedures and regulations as they apply to particular sectors</w:t>
            </w:r>
          </w:p>
          <w:p w:rsidR="00000000" w:rsidRPr="000510A7" w:rsidP="000510A7">
            <w:pPr>
              <w:pStyle w:val="ListBullet"/>
            </w:pPr>
            <w:r w:rsidRPr="000510A7">
              <w:t>ability to interpret in</w:t>
            </w:r>
            <w:r w:rsidRPr="000510A7">
              <w:t xml:space="preserve">dustrial awards and agreements </w:t>
            </w:r>
          </w:p>
          <w:p w:rsidR="00000000" w:rsidRPr="000510A7" w:rsidP="000510A7">
            <w:pPr>
              <w:pStyle w:val="ListBullet"/>
            </w:pPr>
            <w:r w:rsidRPr="000510A7">
              <w:t>ability to foster the development of a positive industrial relations climate</w:t>
            </w:r>
          </w:p>
          <w:p w:rsidR="00000000" w:rsidP="000510A7">
            <w:pPr>
              <w:pStyle w:val="ListBullet"/>
              <w:rPr>
                <w:lang w:val="en-NZ"/>
              </w:rPr>
            </w:pPr>
            <w:r w:rsidRPr="000510A7">
              <w:t>demonstration of skills through the development of workplace relations approaches to meeting a particular organisation or industry need.</w:t>
            </w: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Contex</w:t>
            </w:r>
            <w:r w:rsidRPr="000510A7">
              <w:rPr>
                <w:rStyle w:val="SpecialBold"/>
              </w:rPr>
              <w:t>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Assessment must ensure:</w:t>
            </w:r>
          </w:p>
          <w:p w:rsidR="00000000" w:rsidP="000510A7">
            <w:pPr>
              <w:pStyle w:val="ListBullet"/>
              <w:rPr>
                <w:lang w:val="en-NZ"/>
              </w:rPr>
            </w:pPr>
            <w:r w:rsidRPr="000510A7">
              <w:t>use of current industrial relations information.</w:t>
            </w: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 xml:space="preserve">A range of assessment methods should be used to assess practical skills and knowledge. The following examples are appropriate for this unit: </w:t>
            </w:r>
          </w:p>
          <w:p w:rsidR="00000000" w:rsidRPr="000510A7" w:rsidP="000510A7">
            <w:pPr>
              <w:pStyle w:val="ListBullet"/>
            </w:pPr>
            <w:r w:rsidRPr="000510A7">
              <w:t>evaluation of projects conducted by candidate in conjunction with industry operators to address industrial relati</w:t>
            </w:r>
            <w:r w:rsidRPr="000510A7">
              <w:t>ons issues</w:t>
            </w:r>
          </w:p>
          <w:p w:rsidR="00000000" w:rsidRPr="000510A7" w:rsidP="000510A7">
            <w:pPr>
              <w:pStyle w:val="ListBullet"/>
            </w:pPr>
            <w:r w:rsidRPr="000510A7">
              <w:t>case studies to develop approaches to different industrial relations issues</w:t>
            </w:r>
          </w:p>
          <w:p w:rsidR="00000000" w:rsidRPr="000510A7" w:rsidP="000510A7">
            <w:pPr>
              <w:pStyle w:val="ListBullet"/>
            </w:pPr>
            <w:r w:rsidRPr="000510A7">
              <w:t>oral or written questions to assess knowledge of industrial relations legislation, regulations and procedures</w:t>
            </w:r>
          </w:p>
          <w:p w:rsidR="00000000" w:rsidRPr="000510A7" w:rsidP="000510A7">
            <w:pPr>
              <w:pStyle w:val="ListBullet"/>
            </w:pPr>
            <w:r w:rsidRPr="000510A7">
              <w:t xml:space="preserve">review of portfolios of evidence and third-party workplace </w:t>
            </w:r>
            <w:r w:rsidRPr="000510A7">
              <w:t>reports of on-the-job performance by the candidate.</w:t>
            </w:r>
          </w:p>
          <w:p w:rsidR="00000000" w:rsidP="000510A7">
            <w:pPr>
              <w:pStyle w:val="BodyText"/>
              <w:rPr>
                <w:lang w:val="en-NZ"/>
              </w:rPr>
            </w:pPr>
            <w:r w:rsidRPr="000510A7">
              <w:t>Holistic assessment with other units relevant to the industry sector, workplace and job role is recommended.</w:t>
            </w: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Employability skills are integral to effective performance i</w:t>
            </w:r>
            <w:r w:rsidRPr="000510A7">
              <w:t>n the workplace and are broadly consistent across industry sectors. How these skills are applied varies between occupations and qualifications due to the different work functions and contexts.</w:t>
            </w:r>
          </w:p>
          <w:p w:rsidR="00000000" w:rsidRPr="000510A7" w:rsidP="000510A7">
            <w:pPr>
              <w:pStyle w:val="BodyText"/>
            </w:pPr>
            <w:r w:rsidRPr="000510A7">
              <w:t>Employability skills embedded in this unit should be assessed h</w:t>
            </w:r>
            <w:r w:rsidRPr="000510A7">
              <w:t>olistically with other relevant units that make up the skill set or qualification and in the context of the job role.</w:t>
            </w:r>
          </w:p>
        </w:tc>
      </w:tr>
    </w:tbl>
    <w:p w:rsidR="0029434E" w:rsidP="000510A7">
      <w:pPr>
        <w:pStyle w:val="BodyText"/>
      </w:pPr>
    </w:p>
    <w:p w:rsidR="0029434E" w:rsidP="000510A7">
      <w:pPr>
        <w:pStyle w:val="BodyText"/>
      </w:pPr>
    </w:p>
    <w:p w:rsidR="00000000" w:rsidRPr="000510A7" w:rsidP="000510A7">
      <w:pPr>
        <w:pStyle w:val="Heading1"/>
      </w:pPr>
      <w:bookmarkStart w:id="11" w:name="O_148693"/>
      <w:bookmarkEnd w:id="11"/>
      <w:r w:rsidRPr="000510A7">
        <w:t>Range Statement</w:t>
      </w:r>
    </w:p>
    <w:tbl>
      <w:tblPr>
        <w:tblW w:w="0" w:type="auto"/>
        <w:tblLayout w:type="fixed"/>
        <w:tblCellMar>
          <w:left w:w="62" w:type="dxa"/>
          <w:right w:w="62" w:type="dxa"/>
        </w:tblCellMar>
        <w:tblLook w:val="0000"/>
      </w:tblPr>
      <w:tblGrid>
        <w:gridCol w:w="3345"/>
        <w:gridCol w:w="5835"/>
      </w:tblGrid>
      <w:tr w:rsidTr="0029434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RANGE STATEMENT</w:t>
            </w:r>
          </w:p>
        </w:tc>
      </w:tr>
      <w:tr w:rsidTr="002943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The range statement relates to the unit of competency as a whole. It allows for different work environments and situations that may affect performance. Bold italicised wording in the performance criteria is detailed below.</w:t>
            </w:r>
          </w:p>
        </w:tc>
      </w:tr>
      <w:tr w:rsidTr="002943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BoldandItalics"/>
              </w:rPr>
              <w:t>Appropriate action</w:t>
            </w:r>
            <w:r w:rsidRPr="000510A7">
              <w:t xml:space="preserve"> in relation to potential industrial unrest may include:</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ListBullet"/>
            </w:pPr>
            <w:r w:rsidRPr="000510A7">
              <w:t>initiation of consultation processes</w:t>
            </w:r>
          </w:p>
          <w:p w:rsidR="00000000" w:rsidRPr="000510A7" w:rsidP="000510A7">
            <w:pPr>
              <w:pStyle w:val="ListBullet"/>
            </w:pPr>
            <w:r w:rsidRPr="000510A7">
              <w:t>further research on issues presented</w:t>
            </w:r>
          </w:p>
          <w:p w:rsidR="00000000" w:rsidRPr="000510A7" w:rsidP="000510A7">
            <w:pPr>
              <w:pStyle w:val="ListBullet"/>
            </w:pPr>
            <w:r w:rsidRPr="000510A7">
              <w:t>making reports and recommendations to colleagues</w:t>
            </w:r>
          </w:p>
          <w:p w:rsidR="00000000" w:rsidP="000510A7">
            <w:pPr>
              <w:pStyle w:val="ListBullet"/>
              <w:rPr>
                <w:lang w:val="en-NZ"/>
              </w:rPr>
            </w:pPr>
            <w:r w:rsidRPr="000510A7">
              <w:t>accessing specialist assistance.</w:t>
            </w: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BoldandItalics"/>
              </w:rPr>
              <w:t>Conditions of employment</w:t>
            </w:r>
            <w:r w:rsidRPr="000510A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ListBullet"/>
            </w:pPr>
            <w:r w:rsidRPr="000510A7">
              <w:t>salary or wages</w:t>
            </w:r>
          </w:p>
          <w:p w:rsidR="00000000" w:rsidRPr="000510A7" w:rsidP="000510A7">
            <w:pPr>
              <w:pStyle w:val="ListBullet"/>
            </w:pPr>
            <w:r w:rsidRPr="000510A7">
              <w:t>penalty rates</w:t>
            </w:r>
          </w:p>
          <w:p w:rsidR="00000000" w:rsidRPr="000510A7" w:rsidP="000510A7">
            <w:pPr>
              <w:pStyle w:val="ListBullet"/>
            </w:pPr>
            <w:r w:rsidRPr="000510A7">
              <w:t>holiday and leave entitlements</w:t>
            </w:r>
          </w:p>
          <w:p w:rsidR="00000000" w:rsidRPr="000510A7" w:rsidP="000510A7">
            <w:pPr>
              <w:pStyle w:val="ListBullet"/>
            </w:pPr>
            <w:r w:rsidRPr="000510A7">
              <w:t>superannuation</w:t>
            </w:r>
          </w:p>
          <w:p w:rsidR="00000000" w:rsidRPr="000510A7" w:rsidP="000510A7">
            <w:pPr>
              <w:pStyle w:val="ListBullet"/>
            </w:pPr>
            <w:r w:rsidRPr="000510A7">
              <w:t>hours of work</w:t>
            </w:r>
          </w:p>
          <w:p w:rsidR="00000000" w:rsidP="000510A7">
            <w:pPr>
              <w:pStyle w:val="ListBullet"/>
              <w:rPr>
                <w:lang w:val="en-NZ"/>
              </w:rPr>
            </w:pPr>
            <w:r w:rsidRPr="000510A7">
              <w:t>grievance procedures.</w:t>
            </w: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BoldandItalics"/>
              </w:rPr>
              <w:t>Formal industrial relations procedures</w:t>
            </w:r>
            <w:r w:rsidRPr="000510A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ListBullet"/>
            </w:pPr>
            <w:r w:rsidRPr="000510A7">
              <w:t>grievance procedures</w:t>
            </w:r>
          </w:p>
          <w:p w:rsidR="00000000" w:rsidRPr="000510A7" w:rsidP="000510A7">
            <w:pPr>
              <w:pStyle w:val="ListBullet"/>
            </w:pPr>
            <w:r w:rsidRPr="000510A7">
              <w:t>dispute resolution procedures</w:t>
            </w:r>
          </w:p>
          <w:p w:rsidR="00000000" w:rsidRPr="000510A7" w:rsidP="000510A7">
            <w:pPr>
              <w:pStyle w:val="ListBullet"/>
            </w:pPr>
            <w:r w:rsidRPr="000510A7">
              <w:t>mediation</w:t>
            </w:r>
          </w:p>
          <w:p w:rsidR="00000000" w:rsidRPr="000510A7" w:rsidP="000510A7">
            <w:pPr>
              <w:pStyle w:val="ListBullet"/>
            </w:pPr>
            <w:r w:rsidRPr="000510A7">
              <w:t>conciliation</w:t>
            </w:r>
          </w:p>
          <w:p w:rsidR="00000000" w:rsidP="000510A7">
            <w:pPr>
              <w:pStyle w:val="ListBullet"/>
              <w:rPr>
                <w:lang w:val="en-NZ"/>
              </w:rPr>
            </w:pPr>
            <w:r w:rsidRPr="000510A7">
              <w:t>arbitration.</w:t>
            </w:r>
          </w:p>
        </w:tc>
      </w:tr>
      <w:tr w:rsidTr="0029434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510A7">
            <w:pPr>
              <w:pStyle w:val="BodyText"/>
              <w:rPr>
                <w:lang w:val="en-NZ"/>
              </w:rPr>
            </w:pPr>
          </w:p>
        </w:tc>
      </w:tr>
      <w:tr w:rsidTr="0029434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BoldandItalics"/>
              </w:rPr>
              <w:t>Relevant parties</w:t>
            </w:r>
            <w:r w:rsidRPr="000510A7">
              <w:t xml:space="preserve"> to be included in consultation processes must be appropriate to the industry sector and include:</w:t>
            </w:r>
          </w:p>
        </w:tc>
        <w:tc>
          <w:tcPr>
            <w:tcW w:w="5835" w:type="dxa"/>
            <w:tcBorders>
              <w:top w:val="nil"/>
              <w:left w:val="nil"/>
              <w:bottom w:val="nil"/>
              <w:right w:val="nil"/>
            </w:tcBorders>
            <w:tcMar>
              <w:top w:w="0" w:type="dxa"/>
              <w:left w:w="62" w:type="dxa"/>
              <w:bottom w:w="0" w:type="dxa"/>
              <w:right w:w="62" w:type="dxa"/>
            </w:tcMar>
          </w:tcPr>
          <w:p w:rsidR="00000000" w:rsidRPr="000510A7" w:rsidP="000510A7">
            <w:pPr>
              <w:pStyle w:val="ListBullet"/>
            </w:pPr>
            <w:r w:rsidRPr="000510A7">
              <w:t>staff</w:t>
            </w:r>
          </w:p>
          <w:p w:rsidR="00000000" w:rsidRPr="000510A7" w:rsidP="000510A7">
            <w:pPr>
              <w:pStyle w:val="ListBullet"/>
            </w:pPr>
            <w:r w:rsidRPr="000510A7">
              <w:t>unions</w:t>
            </w:r>
          </w:p>
          <w:p w:rsidR="00000000" w:rsidRPr="000510A7" w:rsidP="000510A7">
            <w:pPr>
              <w:pStyle w:val="ListBullet"/>
            </w:pPr>
            <w:r w:rsidRPr="000510A7">
              <w:t>employer groups</w:t>
            </w:r>
          </w:p>
          <w:p w:rsidR="00000000" w:rsidRPr="000510A7" w:rsidP="000510A7">
            <w:pPr>
              <w:pStyle w:val="ListBullet"/>
            </w:pPr>
            <w:r w:rsidRPr="000510A7">
              <w:t>boards of management</w:t>
            </w:r>
          </w:p>
          <w:p w:rsidR="00000000" w:rsidRPr="000510A7" w:rsidP="000510A7">
            <w:pPr>
              <w:pStyle w:val="ListBullet"/>
            </w:pPr>
            <w:r w:rsidRPr="000510A7">
              <w:t>government authorities.</w:t>
            </w:r>
          </w:p>
        </w:tc>
      </w:tr>
    </w:tbl>
    <w:p w:rsidR="0029434E" w:rsidP="000510A7">
      <w:pPr>
        <w:pStyle w:val="BodyText"/>
      </w:pPr>
    </w:p>
    <w:p w:rsidR="0029434E" w:rsidP="000510A7">
      <w:pPr>
        <w:pStyle w:val="BodyText"/>
      </w:pPr>
    </w:p>
    <w:p w:rsidR="00000000" w:rsidRPr="000510A7" w:rsidP="000510A7">
      <w:pPr>
        <w:pStyle w:val="Heading1"/>
      </w:pPr>
      <w:bookmarkStart w:id="12" w:name="O_148694"/>
      <w:bookmarkEnd w:id="12"/>
      <w:r w:rsidRPr="000510A7">
        <w:t>Unit Sector(s)</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r w:rsidRPr="000510A7">
              <w:t>Cross-Sector</w:t>
            </w:r>
          </w:p>
        </w:tc>
      </w:tr>
    </w:tbl>
    <w:p w:rsidR="00000000" w:rsidRPr="000510A7" w:rsidP="000510A7">
      <w:pPr>
        <w:pStyle w:val="BodyText"/>
      </w:pPr>
    </w:p>
    <w:p w:rsidR="00000000" w:rsidRPr="000510A7" w:rsidP="000510A7">
      <w:pPr>
        <w:pStyle w:val="AllowPageBreak"/>
      </w:pPr>
    </w:p>
    <w:p w:rsidR="00000000" w:rsidRPr="000510A7" w:rsidP="000510A7">
      <w:pPr>
        <w:pStyle w:val="Heading1"/>
      </w:pPr>
      <w:bookmarkStart w:id="13" w:name="O_163489"/>
      <w:bookmarkEnd w:id="13"/>
      <w:r w:rsidRPr="000510A7">
        <w:t>Competency field</w:t>
      </w:r>
    </w:p>
    <w:tbl>
      <w:tblPr>
        <w:tblW w:w="0" w:type="auto"/>
        <w:tblLayout w:type="fixed"/>
        <w:tblCellMar>
          <w:left w:w="62" w:type="dxa"/>
          <w:right w:w="62" w:type="dxa"/>
        </w:tblCellMar>
        <w:tblLook w:val="0000"/>
      </w:tblPr>
      <w:tblGrid>
        <w:gridCol w:w="2836"/>
        <w:gridCol w:w="6344"/>
      </w:tblGrid>
      <w:tr w:rsidTr="0029434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510A7">
            <w:pPr>
              <w:pStyle w:val="BodyText"/>
              <w:rPr>
                <w:lang w:val="en-NZ"/>
              </w:rPr>
            </w:pPr>
            <w:r w:rsidRPr="000510A7">
              <w:t>Human Resource Management</w:t>
            </w:r>
          </w:p>
        </w:tc>
      </w:tr>
      <w:tr w:rsidTr="0029434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510A7" w:rsidP="000510A7">
            <w:pPr>
              <w:pStyle w:val="BodyText"/>
            </w:pPr>
          </w:p>
        </w:tc>
      </w:tr>
    </w:tbl>
    <w:p w:rsidR="00000000" w:rsidRPr="000510A7" w:rsidP="000510A7">
      <w:pPr>
        <w:pStyle w:val="BodyText"/>
      </w:pPr>
    </w:p>
    <w:p w:rsidR="00000000" w:rsidRPr="000510A7" w:rsidP="000510A7"/>
    <w:sectPr w:rsidSect="000510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34E" w:rsidP="0029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4E" w:rsidP="00051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434E" w:rsidP="000510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9434E" w:rsidP="000510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34E" w:rsidP="00294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4E" w:rsidP="000510A7">
    <w:pPr>
      <w:pStyle w:val="Header"/>
      <w:framePr w:wrap="around"/>
    </w:pPr>
    <w:r>
      <w:fldChar w:fldCharType="begin"/>
    </w:r>
    <w:r>
      <w:instrText xml:space="preserve"> TITLE   \* MERGEFORMAT </w:instrText>
    </w:r>
    <w:r>
      <w:fldChar w:fldCharType="separate"/>
    </w:r>
    <w:r>
      <w:t>SITXHRM008A Manage workplace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434E" w:rsidP="000510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149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A22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0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0A7"/>
    <w:pPr>
      <w:spacing w:before="360" w:after="60"/>
      <w:outlineLvl w:val="0"/>
    </w:pPr>
    <w:rPr>
      <w:sz w:val="32"/>
    </w:rPr>
  </w:style>
  <w:style w:type="paragraph" w:styleId="Heading2">
    <w:name w:val="heading 2"/>
    <w:basedOn w:val="HeadingBase"/>
    <w:next w:val="BodyText"/>
    <w:link w:val="Heading2Char"/>
    <w:qFormat/>
    <w:rsid w:val="000510A7"/>
    <w:pPr>
      <w:keepLines/>
      <w:spacing w:before="240" w:after="120"/>
      <w:outlineLvl w:val="1"/>
    </w:pPr>
    <w:rPr>
      <w:sz w:val="28"/>
      <w:szCs w:val="40"/>
    </w:rPr>
  </w:style>
  <w:style w:type="paragraph" w:styleId="Heading3">
    <w:name w:val="heading 3"/>
    <w:basedOn w:val="HeadingBase"/>
    <w:next w:val="BodyText"/>
    <w:link w:val="Heading3Char"/>
    <w:qFormat/>
    <w:rsid w:val="000510A7"/>
    <w:pPr>
      <w:spacing w:before="180" w:after="120"/>
      <w:outlineLvl w:val="2"/>
    </w:pPr>
    <w:rPr>
      <w:spacing w:val="-10"/>
      <w:kern w:val="32"/>
    </w:rPr>
  </w:style>
  <w:style w:type="paragraph" w:styleId="Heading4">
    <w:name w:val="heading 4"/>
    <w:basedOn w:val="HeadingBase"/>
    <w:next w:val="BodyText"/>
    <w:link w:val="Heading4Char"/>
    <w:qFormat/>
    <w:rsid w:val="000510A7"/>
    <w:pPr>
      <w:spacing w:before="160" w:after="120"/>
      <w:outlineLvl w:val="3"/>
    </w:pPr>
    <w:rPr>
      <w:sz w:val="22"/>
    </w:rPr>
  </w:style>
  <w:style w:type="paragraph" w:styleId="Heading5">
    <w:name w:val="heading 5"/>
    <w:basedOn w:val="HeadingBase"/>
    <w:next w:val="Normal"/>
    <w:link w:val="Heading5Char"/>
    <w:qFormat/>
    <w:rsid w:val="000510A7"/>
    <w:pPr>
      <w:spacing w:before="80"/>
      <w:outlineLvl w:val="4"/>
    </w:pPr>
    <w:rPr>
      <w:color w:val="918585"/>
      <w:sz w:val="20"/>
    </w:rPr>
  </w:style>
  <w:style w:type="paragraph" w:styleId="Heading6">
    <w:name w:val="heading 6"/>
    <w:basedOn w:val="HeadingBase"/>
    <w:next w:val="Normal"/>
    <w:link w:val="Heading6Char"/>
    <w:qFormat/>
    <w:rsid w:val="000510A7"/>
    <w:pPr>
      <w:spacing w:before="60"/>
      <w:outlineLvl w:val="5"/>
    </w:pPr>
    <w:rPr>
      <w:color w:val="918585"/>
      <w:sz w:val="20"/>
    </w:rPr>
  </w:style>
  <w:style w:type="paragraph" w:styleId="Heading7">
    <w:name w:val="heading 7"/>
    <w:basedOn w:val="Normal"/>
    <w:next w:val="Normal"/>
    <w:link w:val="Heading7Char"/>
    <w:qFormat/>
    <w:rsid w:val="000510A7"/>
    <w:pPr>
      <w:ind w:left="720"/>
      <w:outlineLvl w:val="6"/>
    </w:pPr>
    <w:rPr>
      <w:i/>
    </w:rPr>
  </w:style>
  <w:style w:type="paragraph" w:styleId="Heading8">
    <w:name w:val="heading 8"/>
    <w:basedOn w:val="Normal"/>
    <w:next w:val="Normal"/>
    <w:link w:val="Heading8Char"/>
    <w:qFormat/>
    <w:rsid w:val="000510A7"/>
    <w:pPr>
      <w:ind w:left="720"/>
      <w:outlineLvl w:val="7"/>
    </w:pPr>
    <w:rPr>
      <w:i/>
    </w:rPr>
  </w:style>
  <w:style w:type="paragraph" w:styleId="Heading9">
    <w:name w:val="heading 9"/>
    <w:basedOn w:val="Normal"/>
    <w:next w:val="Normal"/>
    <w:link w:val="Heading9Char"/>
    <w:qFormat/>
    <w:rsid w:val="000510A7"/>
    <w:pPr>
      <w:ind w:left="720"/>
      <w:outlineLvl w:val="8"/>
    </w:pPr>
    <w:rPr>
      <w:i/>
    </w:rPr>
  </w:style>
  <w:style w:type="character" w:default="1" w:styleId="DefaultParagraphFont">
    <w:name w:val="Default Paragraph Font"/>
    <w:uiPriority w:val="1"/>
    <w:unhideWhenUsed/>
    <w:rsid w:val="00051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0A7"/>
  </w:style>
  <w:style w:type="character" w:customStyle="1" w:styleId="Heading1Char">
    <w:name w:val="Heading 1 Char"/>
    <w:basedOn w:val="DefaultParagraphFont"/>
    <w:link w:val="Heading1"/>
    <w:rsid w:val="000510A7"/>
    <w:rPr>
      <w:rFonts w:ascii="Times New Roman" w:eastAsia="Times New Roman" w:hAnsi="Times New Roman" w:cs="Times New Roman"/>
      <w:b/>
      <w:sz w:val="32"/>
      <w:szCs w:val="20"/>
      <w:lang w:eastAsia="en-US"/>
    </w:rPr>
  </w:style>
  <w:style w:type="paragraph" w:styleId="BodyText">
    <w:name w:val="Body Text"/>
    <w:basedOn w:val="Normal"/>
    <w:link w:val="BodyTextChar"/>
    <w:rsid w:val="000510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0A7"/>
    <w:rPr>
      <w:rFonts w:ascii="Times New Roman" w:eastAsia="Times New Roman" w:hAnsi="Times New Roman" w:cs="Times New Roman"/>
      <w:sz w:val="24"/>
      <w:lang w:val="en-US" w:eastAsia="en-US"/>
    </w:rPr>
  </w:style>
  <w:style w:type="paragraph" w:styleId="Footer">
    <w:name w:val="footer"/>
    <w:basedOn w:val="Normal"/>
    <w:link w:val="FooterChar"/>
    <w:rsid w:val="00051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0A7"/>
    <w:rPr>
      <w:rFonts w:ascii="Times New Roman" w:eastAsia="Times New Roman" w:hAnsi="Times New Roman" w:cs="Times New Roman"/>
      <w:sz w:val="16"/>
      <w:lang w:val="en-US" w:eastAsia="en-US"/>
    </w:rPr>
  </w:style>
  <w:style w:type="paragraph" w:styleId="List">
    <w:name w:val="List"/>
    <w:basedOn w:val="BodyText"/>
    <w:next w:val="BodyText"/>
    <w:rsid w:val="000510A7"/>
    <w:pPr>
      <w:tabs>
        <w:tab w:val="left" w:pos="340"/>
      </w:tabs>
      <w:spacing w:before="60" w:after="60"/>
      <w:ind w:left="340" w:hanging="340"/>
    </w:pPr>
  </w:style>
  <w:style w:type="paragraph" w:styleId="ListBullet">
    <w:name w:val="List Bullet"/>
    <w:basedOn w:val="List"/>
    <w:rsid w:val="000510A7"/>
    <w:pPr>
      <w:numPr>
        <w:numId w:val="12"/>
      </w:numPr>
      <w:tabs>
        <w:tab w:val="clear" w:pos="340"/>
      </w:tabs>
      <w:spacing w:before="40" w:after="40"/>
    </w:pPr>
  </w:style>
  <w:style w:type="character" w:customStyle="1" w:styleId="SpecialBold">
    <w:name w:val="Special Bold"/>
    <w:basedOn w:val="DefaultParagraphFont"/>
    <w:rsid w:val="000510A7"/>
    <w:rPr>
      <w:b/>
      <w:spacing w:val="0"/>
    </w:rPr>
  </w:style>
  <w:style w:type="paragraph" w:styleId="Header">
    <w:name w:val="header"/>
    <w:basedOn w:val="Normal"/>
    <w:link w:val="HeaderChar"/>
    <w:rsid w:val="00051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0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0A7"/>
    <w:pPr>
      <w:spacing w:before="240" w:after="120"/>
      <w:outlineLvl w:val="0"/>
    </w:pPr>
    <w:rPr>
      <w:rFonts w:ascii="Times New Roman" w:hAnsi="Times New Roman"/>
      <w:b/>
      <w:sz w:val="28"/>
    </w:rPr>
  </w:style>
  <w:style w:type="paragraph" w:customStyle="1" w:styleId="AllowPageBreak">
    <w:name w:val="AllowPageBreak"/>
    <w:rsid w:val="00051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10A7"/>
    <w:rPr>
      <w:b/>
      <w:i/>
      <w:u w:val="none"/>
    </w:rPr>
  </w:style>
  <w:style w:type="character" w:customStyle="1" w:styleId="Heading2Char">
    <w:name w:val="Heading 2 Char"/>
    <w:basedOn w:val="DefaultParagraphFont"/>
    <w:link w:val="Heading2"/>
    <w:rsid w:val="00051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0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0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0A7"/>
    <w:rPr>
      <w:rFonts w:ascii="Courier New" w:eastAsia="Times New Roman" w:hAnsi="Courier New" w:cs="Times New Roman"/>
      <w:i/>
      <w:szCs w:val="20"/>
      <w:lang w:val="en-US" w:eastAsia="en-US"/>
    </w:rPr>
  </w:style>
  <w:style w:type="paragraph" w:customStyle="1" w:styleId="HeadingBase">
    <w:name w:val="Heading Base"/>
    <w:rsid w:val="00051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0A7"/>
    <w:pPr>
      <w:tabs>
        <w:tab w:val="right" w:leader="dot" w:pos="9072"/>
      </w:tabs>
      <w:ind w:left="567"/>
    </w:pPr>
    <w:rPr>
      <w:szCs w:val="22"/>
    </w:rPr>
  </w:style>
  <w:style w:type="paragraph" w:customStyle="1" w:styleId="TOCBase">
    <w:name w:val="TOC Base"/>
    <w:rsid w:val="00051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0A7"/>
    <w:pPr>
      <w:tabs>
        <w:tab w:val="right" w:leader="dot" w:pos="9072"/>
      </w:tabs>
      <w:spacing w:before="40" w:after="40"/>
      <w:ind w:left="284"/>
    </w:pPr>
    <w:rPr>
      <w:rFonts w:ascii="Times New Roman" w:hAnsi="Times New Roman"/>
    </w:rPr>
  </w:style>
  <w:style w:type="paragraph" w:styleId="TOC1">
    <w:name w:val="toc 1"/>
    <w:basedOn w:val="TOCBase"/>
    <w:next w:val="Normal"/>
    <w:rsid w:val="000510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0A7"/>
    <w:pPr>
      <w:spacing w:before="5040"/>
      <w:jc w:val="center"/>
    </w:pPr>
    <w:rPr>
      <w:sz w:val="48"/>
      <w:szCs w:val="72"/>
      <w:lang w:val="en-US"/>
    </w:rPr>
  </w:style>
  <w:style w:type="character" w:customStyle="1" w:styleId="TitleChar">
    <w:name w:val="Title Char"/>
    <w:basedOn w:val="DefaultParagraphFont"/>
    <w:link w:val="Title"/>
    <w:rsid w:val="00051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0A7"/>
    <w:pPr>
      <w:tabs>
        <w:tab w:val="left" w:pos="3600"/>
        <w:tab w:val="left" w:pos="3958"/>
      </w:tabs>
    </w:pPr>
  </w:style>
  <w:style w:type="paragraph" w:customStyle="1" w:styleId="Note">
    <w:name w:val="Note"/>
    <w:basedOn w:val="BodyText"/>
    <w:rsid w:val="00051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0A7"/>
    <w:pPr>
      <w:framePr w:wrap="auto" w:hAnchor="text" w:y="6049"/>
    </w:pPr>
    <w:rPr>
      <w:color w:val="000000"/>
      <w:sz w:val="40"/>
    </w:rPr>
  </w:style>
  <w:style w:type="paragraph" w:customStyle="1" w:styleId="TOCTitle">
    <w:name w:val="TOCTitle"/>
    <w:basedOn w:val="Heading1"/>
    <w:rsid w:val="000510A7"/>
    <w:pPr>
      <w:spacing w:after="240"/>
      <w:jc w:val="center"/>
      <w:outlineLvl w:val="9"/>
    </w:pPr>
    <w:rPr>
      <w:caps/>
    </w:rPr>
  </w:style>
  <w:style w:type="paragraph" w:customStyle="1" w:styleId="Version">
    <w:name w:val="Version"/>
    <w:rsid w:val="00051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0A7"/>
    <w:pPr>
      <w:numPr>
        <w:numId w:val="13"/>
      </w:numPr>
      <w:tabs>
        <w:tab w:val="clear" w:pos="680"/>
      </w:tabs>
    </w:pPr>
  </w:style>
  <w:style w:type="paragraph" w:styleId="Index1">
    <w:name w:val="index 1"/>
    <w:basedOn w:val="Normal"/>
    <w:next w:val="Normal"/>
    <w:semiHidden/>
    <w:rsid w:val="000510A7"/>
    <w:pPr>
      <w:keepNext w:val="0"/>
      <w:tabs>
        <w:tab w:val="right" w:pos="4176"/>
      </w:tabs>
      <w:ind w:left="198" w:hanging="198"/>
    </w:pPr>
    <w:rPr>
      <w:rFonts w:ascii="Garamond" w:hAnsi="Garamond"/>
    </w:rPr>
  </w:style>
  <w:style w:type="paragraph" w:styleId="IndexHeading">
    <w:name w:val="index heading"/>
    <w:basedOn w:val="Normal"/>
    <w:next w:val="Index1"/>
    <w:semiHidden/>
    <w:rsid w:val="000510A7"/>
    <w:pPr>
      <w:spacing w:before="120" w:after="120"/>
    </w:pPr>
    <w:rPr>
      <w:rFonts w:ascii="Arial" w:hAnsi="Arial"/>
      <w:b/>
      <w:color w:val="918585"/>
      <w:sz w:val="24"/>
    </w:rPr>
  </w:style>
  <w:style w:type="paragraph" w:customStyle="1" w:styleId="Chapter">
    <w:name w:val="Chapter"/>
    <w:basedOn w:val="Normal"/>
    <w:rsid w:val="000510A7"/>
    <w:pPr>
      <w:spacing w:before="240"/>
    </w:pPr>
    <w:rPr>
      <w:rFonts w:ascii="Times New Roman" w:hAnsi="Times New Roman"/>
      <w:smallCaps/>
      <w:spacing w:val="80"/>
      <w:sz w:val="28"/>
    </w:rPr>
  </w:style>
  <w:style w:type="paragraph" w:customStyle="1" w:styleId="InChapter">
    <w:name w:val="InChapter"/>
    <w:basedOn w:val="Heading3"/>
    <w:rsid w:val="000510A7"/>
    <w:pPr>
      <w:spacing w:after="240"/>
      <w:outlineLvl w:val="9"/>
    </w:pPr>
    <w:rPr>
      <w:noProof/>
    </w:rPr>
  </w:style>
  <w:style w:type="paragraph" w:styleId="Index2">
    <w:name w:val="index 2"/>
    <w:basedOn w:val="Normal"/>
    <w:next w:val="Normal"/>
    <w:semiHidden/>
    <w:rsid w:val="000510A7"/>
    <w:pPr>
      <w:tabs>
        <w:tab w:val="right" w:pos="4176"/>
      </w:tabs>
      <w:ind w:left="568" w:hanging="284"/>
    </w:pPr>
    <w:rPr>
      <w:rFonts w:ascii="Garamond" w:hAnsi="Garamond"/>
    </w:rPr>
  </w:style>
  <w:style w:type="paragraph" w:customStyle="1" w:styleId="Byline">
    <w:name w:val="Byline"/>
    <w:rsid w:val="00051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0A7"/>
    <w:pPr>
      <w:tabs>
        <w:tab w:val="clear" w:pos="3600"/>
        <w:tab w:val="clear" w:pos="3958"/>
      </w:tabs>
      <w:jc w:val="right"/>
    </w:pPr>
  </w:style>
  <w:style w:type="character" w:styleId="Emphasis">
    <w:name w:val="Emphasis"/>
    <w:basedOn w:val="DefaultParagraphFont"/>
    <w:qFormat/>
    <w:rsid w:val="000510A7"/>
    <w:rPr>
      <w:i/>
    </w:rPr>
  </w:style>
  <w:style w:type="paragraph" w:styleId="Caption">
    <w:name w:val="caption"/>
    <w:basedOn w:val="BodyText"/>
    <w:next w:val="Normal"/>
    <w:qFormat/>
    <w:rsid w:val="000510A7"/>
    <w:pPr>
      <w:framePr w:w="2268" w:hSpace="181" w:vSpace="181" w:wrap="around" w:vAnchor="text" w:hAnchor="page" w:x="1135" w:y="285" w:anchorLock="1"/>
    </w:pPr>
    <w:rPr>
      <w:i/>
    </w:rPr>
  </w:style>
  <w:style w:type="paragraph" w:customStyle="1" w:styleId="MiniTOCTitle">
    <w:name w:val="MiniTOCTitle"/>
    <w:basedOn w:val="Heading4"/>
    <w:rsid w:val="000510A7"/>
    <w:pPr>
      <w:spacing w:before="240"/>
      <w:outlineLvl w:val="9"/>
    </w:pPr>
    <w:rPr>
      <w:noProof/>
      <w:sz w:val="24"/>
    </w:rPr>
  </w:style>
  <w:style w:type="paragraph" w:customStyle="1" w:styleId="MiniTOCItem">
    <w:name w:val="MiniTOCItem"/>
    <w:basedOn w:val="ListBullet"/>
    <w:rsid w:val="000510A7"/>
    <w:pPr>
      <w:numPr>
        <w:numId w:val="0"/>
      </w:numPr>
      <w:tabs>
        <w:tab w:val="right" w:leader="dot" w:pos="6521"/>
      </w:tabs>
      <w:spacing w:before="0" w:after="0"/>
    </w:pPr>
  </w:style>
  <w:style w:type="paragraph" w:customStyle="1" w:styleId="TOFTitle">
    <w:name w:val="TOFTitle"/>
    <w:basedOn w:val="TOCTitle"/>
    <w:rsid w:val="000510A7"/>
  </w:style>
  <w:style w:type="paragraph" w:styleId="TableofFigures">
    <w:name w:val="table of figures"/>
    <w:basedOn w:val="Normal"/>
    <w:next w:val="Normal"/>
    <w:semiHidden/>
    <w:rsid w:val="000510A7"/>
    <w:pPr>
      <w:tabs>
        <w:tab w:val="right" w:leader="dot" w:pos="9072"/>
      </w:tabs>
      <w:ind w:left="970" w:hanging="403"/>
    </w:pPr>
    <w:rPr>
      <w:rFonts w:ascii="Times New Roman" w:hAnsi="Times New Roman"/>
      <w:b/>
    </w:rPr>
  </w:style>
  <w:style w:type="paragraph" w:styleId="ListNumber">
    <w:name w:val="List Number"/>
    <w:basedOn w:val="List"/>
    <w:rsid w:val="000510A7"/>
    <w:pPr>
      <w:numPr>
        <w:numId w:val="10"/>
      </w:numPr>
    </w:pPr>
  </w:style>
  <w:style w:type="character" w:customStyle="1" w:styleId="WingdingSymbols">
    <w:name w:val="Wingding Symbols"/>
    <w:rsid w:val="000510A7"/>
    <w:rPr>
      <w:rFonts w:ascii="Wingdings" w:hAnsi="Wingdings"/>
    </w:rPr>
  </w:style>
  <w:style w:type="paragraph" w:customStyle="1" w:styleId="TableHeading">
    <w:name w:val="Table Heading"/>
    <w:basedOn w:val="HeadingBase"/>
    <w:rsid w:val="000510A7"/>
    <w:pPr>
      <w:keepLines/>
      <w:pBdr>
        <w:bottom w:val="single" w:sz="6" w:space="1" w:color="918585"/>
      </w:pBdr>
      <w:spacing w:before="240"/>
    </w:pPr>
  </w:style>
  <w:style w:type="character" w:customStyle="1" w:styleId="HotSpot">
    <w:name w:val="HotSpot"/>
    <w:rsid w:val="000510A7"/>
    <w:rPr>
      <w:color w:val="0033CC"/>
      <w:u w:val="none"/>
    </w:rPr>
  </w:style>
  <w:style w:type="paragraph" w:customStyle="1" w:styleId="BodyTextRight">
    <w:name w:val="Body Text Right"/>
    <w:basedOn w:val="BodyText"/>
    <w:rsid w:val="000510A7"/>
    <w:pPr>
      <w:spacing w:before="0" w:after="0"/>
      <w:jc w:val="right"/>
    </w:pPr>
  </w:style>
  <w:style w:type="paragraph" w:styleId="Index3">
    <w:name w:val="index 3"/>
    <w:basedOn w:val="ListNumber2"/>
    <w:next w:val="Normal"/>
    <w:semiHidden/>
    <w:rsid w:val="000510A7"/>
    <w:pPr>
      <w:numPr>
        <w:numId w:val="0"/>
      </w:numPr>
      <w:tabs>
        <w:tab w:val="right" w:leader="dot" w:pos="4176"/>
      </w:tabs>
    </w:pPr>
  </w:style>
  <w:style w:type="paragraph" w:styleId="ListNumber2">
    <w:name w:val="List Number 2"/>
    <w:basedOn w:val="List2"/>
    <w:rsid w:val="000510A7"/>
    <w:pPr>
      <w:numPr>
        <w:numId w:val="9"/>
      </w:numPr>
      <w:tabs>
        <w:tab w:val="clear" w:pos="1060"/>
      </w:tabs>
    </w:pPr>
  </w:style>
  <w:style w:type="paragraph" w:customStyle="1" w:styleId="MarginNote">
    <w:name w:val="Margin Note"/>
    <w:basedOn w:val="BodyText"/>
    <w:rsid w:val="00051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0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0A7"/>
    <w:rPr>
      <w:sz w:val="32"/>
    </w:rPr>
  </w:style>
  <w:style w:type="paragraph" w:customStyle="1" w:styleId="HeadingProcedure">
    <w:name w:val="Heading Procedure"/>
    <w:basedOn w:val="HeadingBase"/>
    <w:next w:val="Normal"/>
    <w:rsid w:val="000510A7"/>
    <w:pPr>
      <w:tabs>
        <w:tab w:val="left" w:pos="0"/>
      </w:tabs>
      <w:spacing w:before="120" w:after="60"/>
    </w:pPr>
    <w:rPr>
      <w:i/>
      <w:color w:val="918585"/>
      <w:sz w:val="22"/>
    </w:rPr>
  </w:style>
  <w:style w:type="paragraph" w:customStyle="1" w:styleId="TableBodyText">
    <w:name w:val="Table Body Text"/>
    <w:basedOn w:val="BodyText"/>
    <w:rsid w:val="000510A7"/>
    <w:pPr>
      <w:spacing w:before="60" w:after="60"/>
    </w:pPr>
  </w:style>
  <w:style w:type="paragraph" w:styleId="ListContinue">
    <w:name w:val="List Continue"/>
    <w:basedOn w:val="List"/>
    <w:rsid w:val="000510A7"/>
    <w:pPr>
      <w:ind w:firstLine="0"/>
    </w:pPr>
  </w:style>
  <w:style w:type="paragraph" w:customStyle="1" w:styleId="ListNote">
    <w:name w:val="List Note"/>
    <w:basedOn w:val="List"/>
    <w:rsid w:val="000510A7"/>
    <w:pPr>
      <w:pBdr>
        <w:top w:val="single" w:sz="6" w:space="2" w:color="918585"/>
        <w:bottom w:val="single" w:sz="6" w:space="2" w:color="918585"/>
      </w:pBdr>
      <w:tabs>
        <w:tab w:val="left" w:pos="1021"/>
      </w:tabs>
      <w:ind w:firstLine="0"/>
    </w:pPr>
  </w:style>
  <w:style w:type="paragraph" w:customStyle="1" w:styleId="Warning">
    <w:name w:val="Warning"/>
    <w:basedOn w:val="BodyText"/>
    <w:rsid w:val="000510A7"/>
    <w:pPr>
      <w:shd w:val="clear" w:color="auto" w:fill="D9D9D9"/>
      <w:tabs>
        <w:tab w:val="left" w:pos="992"/>
      </w:tabs>
      <w:ind w:left="119" w:right="119"/>
    </w:pPr>
    <w:rPr>
      <w:sz w:val="20"/>
    </w:rPr>
  </w:style>
  <w:style w:type="paragraph" w:customStyle="1" w:styleId="MarginIcons">
    <w:name w:val="Margin Icons"/>
    <w:basedOn w:val="BodyText"/>
    <w:rsid w:val="00051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0A7"/>
    <w:rPr>
      <w:rFonts w:ascii="Courier New" w:hAnsi="Courier New"/>
    </w:rPr>
  </w:style>
  <w:style w:type="paragraph" w:customStyle="1" w:styleId="NoteBullet">
    <w:name w:val="Note Bullet"/>
    <w:basedOn w:val="Note"/>
    <w:rsid w:val="000510A7"/>
    <w:pPr>
      <w:tabs>
        <w:tab w:val="clear" w:pos="680"/>
      </w:tabs>
      <w:spacing w:before="60" w:after="60"/>
    </w:pPr>
  </w:style>
  <w:style w:type="paragraph" w:customStyle="1" w:styleId="SubHeading2">
    <w:name w:val="SubHeading2"/>
    <w:basedOn w:val="HeadingBase"/>
    <w:rsid w:val="000510A7"/>
    <w:pPr>
      <w:spacing w:before="240" w:after="60"/>
    </w:pPr>
    <w:rPr>
      <w:sz w:val="20"/>
    </w:rPr>
  </w:style>
  <w:style w:type="paragraph" w:customStyle="1" w:styleId="SubHeading1">
    <w:name w:val="SubHeading1"/>
    <w:basedOn w:val="HeadingBase"/>
    <w:rsid w:val="000510A7"/>
    <w:pPr>
      <w:spacing w:before="240" w:after="60"/>
    </w:pPr>
    <w:rPr>
      <w:color w:val="918585"/>
      <w:sz w:val="22"/>
    </w:rPr>
  </w:style>
  <w:style w:type="paragraph" w:customStyle="1" w:styleId="SideHeading">
    <w:name w:val="Side Heading"/>
    <w:basedOn w:val="HeadingBase"/>
    <w:rsid w:val="00051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0A7"/>
    <w:pPr>
      <w:tabs>
        <w:tab w:val="num" w:pos="360"/>
      </w:tabs>
    </w:pPr>
  </w:style>
  <w:style w:type="paragraph" w:styleId="PlainText">
    <w:name w:val="Plain Text"/>
    <w:basedOn w:val="Normal"/>
    <w:link w:val="PlainTextChar"/>
    <w:rsid w:val="000510A7"/>
    <w:rPr>
      <w:sz w:val="20"/>
    </w:rPr>
  </w:style>
  <w:style w:type="character" w:customStyle="1" w:styleId="PlainTextChar">
    <w:name w:val="Plain Text Char"/>
    <w:basedOn w:val="DefaultParagraphFont"/>
    <w:link w:val="PlainText"/>
    <w:rsid w:val="000510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0A7"/>
    <w:rPr>
      <w:b/>
      <w:smallCaps/>
    </w:rPr>
  </w:style>
  <w:style w:type="paragraph" w:customStyle="1" w:styleId="TableListNumber">
    <w:name w:val="Table List Number"/>
    <w:basedOn w:val="ListNumber"/>
    <w:rsid w:val="000510A7"/>
    <w:pPr>
      <w:numPr>
        <w:numId w:val="0"/>
      </w:numPr>
    </w:pPr>
  </w:style>
  <w:style w:type="paragraph" w:styleId="TOC4">
    <w:name w:val="toc 4"/>
    <w:basedOn w:val="TOCBase"/>
    <w:next w:val="Normal"/>
    <w:semiHidden/>
    <w:rsid w:val="000510A7"/>
    <w:pPr>
      <w:tabs>
        <w:tab w:val="right" w:leader="dot" w:pos="9071"/>
      </w:tabs>
      <w:ind w:left="1701"/>
    </w:pPr>
  </w:style>
  <w:style w:type="paragraph" w:customStyle="1" w:styleId="ListAlpha">
    <w:name w:val="List Alpha"/>
    <w:basedOn w:val="List"/>
    <w:rsid w:val="000510A7"/>
    <w:pPr>
      <w:numPr>
        <w:numId w:val="8"/>
      </w:numPr>
    </w:pPr>
  </w:style>
  <w:style w:type="paragraph" w:customStyle="1" w:styleId="ListAlpha2">
    <w:name w:val="List Alpha 2"/>
    <w:basedOn w:val="List2"/>
    <w:rsid w:val="000510A7"/>
    <w:pPr>
      <w:numPr>
        <w:numId w:val="7"/>
      </w:numPr>
    </w:pPr>
  </w:style>
  <w:style w:type="paragraph" w:styleId="List2">
    <w:name w:val="List 2"/>
    <w:basedOn w:val="BodyText"/>
    <w:rsid w:val="000510A7"/>
    <w:pPr>
      <w:tabs>
        <w:tab w:val="left" w:pos="680"/>
      </w:tabs>
      <w:spacing w:before="60" w:after="60"/>
      <w:ind w:left="680" w:hanging="340"/>
    </w:pPr>
  </w:style>
  <w:style w:type="paragraph" w:styleId="List3">
    <w:name w:val="List 3"/>
    <w:basedOn w:val="BodyText"/>
    <w:rsid w:val="000510A7"/>
    <w:pPr>
      <w:tabs>
        <w:tab w:val="left" w:pos="1021"/>
      </w:tabs>
      <w:spacing w:before="60" w:after="60"/>
      <w:ind w:left="1020" w:hanging="340"/>
    </w:pPr>
  </w:style>
  <w:style w:type="paragraph" w:styleId="List4">
    <w:name w:val="List 4"/>
    <w:basedOn w:val="BodyText"/>
    <w:rsid w:val="000510A7"/>
    <w:pPr>
      <w:tabs>
        <w:tab w:val="left" w:pos="1361"/>
      </w:tabs>
      <w:spacing w:before="60" w:after="60"/>
      <w:ind w:left="1361" w:hanging="340"/>
    </w:pPr>
  </w:style>
  <w:style w:type="paragraph" w:styleId="List5">
    <w:name w:val="List 5"/>
    <w:basedOn w:val="BodyText"/>
    <w:rsid w:val="000510A7"/>
    <w:pPr>
      <w:tabs>
        <w:tab w:val="left" w:pos="1701"/>
      </w:tabs>
      <w:spacing w:before="60" w:after="60"/>
      <w:ind w:left="1701" w:hanging="340"/>
    </w:pPr>
  </w:style>
  <w:style w:type="paragraph" w:styleId="ListBullet3">
    <w:name w:val="List Bullet 3"/>
    <w:basedOn w:val="List3"/>
    <w:rsid w:val="000510A7"/>
    <w:pPr>
      <w:numPr>
        <w:numId w:val="14"/>
      </w:numPr>
      <w:tabs>
        <w:tab w:val="clear" w:pos="1021"/>
      </w:tabs>
      <w:ind w:left="1037" w:hanging="357"/>
    </w:pPr>
  </w:style>
  <w:style w:type="paragraph" w:styleId="ListBullet4">
    <w:name w:val="List Bullet 4"/>
    <w:basedOn w:val="List4"/>
    <w:rsid w:val="000510A7"/>
    <w:pPr>
      <w:numPr>
        <w:numId w:val="2"/>
      </w:numPr>
    </w:pPr>
  </w:style>
  <w:style w:type="paragraph" w:styleId="ListBullet5">
    <w:name w:val="List Bullet 5"/>
    <w:basedOn w:val="List5"/>
    <w:rsid w:val="000510A7"/>
    <w:pPr>
      <w:numPr>
        <w:numId w:val="3"/>
      </w:numPr>
    </w:pPr>
  </w:style>
  <w:style w:type="paragraph" w:styleId="ListContinue2">
    <w:name w:val="List Continue 2"/>
    <w:basedOn w:val="List2"/>
    <w:rsid w:val="000510A7"/>
    <w:pPr>
      <w:ind w:firstLine="0"/>
    </w:pPr>
  </w:style>
  <w:style w:type="paragraph" w:styleId="ListContinue3">
    <w:name w:val="List Continue 3"/>
    <w:basedOn w:val="List3"/>
    <w:rsid w:val="000510A7"/>
    <w:pPr>
      <w:ind w:left="1021" w:firstLine="0"/>
    </w:pPr>
  </w:style>
  <w:style w:type="paragraph" w:styleId="ListContinue4">
    <w:name w:val="List Continue 4"/>
    <w:basedOn w:val="List4"/>
    <w:rsid w:val="000510A7"/>
    <w:pPr>
      <w:ind w:firstLine="0"/>
    </w:pPr>
  </w:style>
  <w:style w:type="paragraph" w:styleId="ListContinue5">
    <w:name w:val="List Continue 5"/>
    <w:basedOn w:val="List5"/>
    <w:rsid w:val="000510A7"/>
    <w:pPr>
      <w:ind w:firstLine="0"/>
    </w:pPr>
  </w:style>
  <w:style w:type="paragraph" w:styleId="ListNumber3">
    <w:name w:val="List Number 3"/>
    <w:basedOn w:val="List3"/>
    <w:rsid w:val="000510A7"/>
    <w:pPr>
      <w:numPr>
        <w:numId w:val="4"/>
      </w:numPr>
    </w:pPr>
  </w:style>
  <w:style w:type="paragraph" w:styleId="ListNumber4">
    <w:name w:val="List Number 4"/>
    <w:basedOn w:val="List4"/>
    <w:rsid w:val="000510A7"/>
    <w:pPr>
      <w:numPr>
        <w:numId w:val="5"/>
      </w:numPr>
    </w:pPr>
  </w:style>
  <w:style w:type="paragraph" w:styleId="ListNumber5">
    <w:name w:val="List Number 5"/>
    <w:basedOn w:val="List5"/>
    <w:rsid w:val="000510A7"/>
    <w:pPr>
      <w:numPr>
        <w:numId w:val="6"/>
      </w:numPr>
    </w:pPr>
  </w:style>
  <w:style w:type="paragraph" w:styleId="BlockText">
    <w:name w:val="Block Text"/>
    <w:basedOn w:val="Normal"/>
    <w:rsid w:val="000510A7"/>
    <w:pPr>
      <w:spacing w:after="120"/>
      <w:ind w:left="1440" w:right="1440"/>
    </w:pPr>
  </w:style>
  <w:style w:type="character" w:customStyle="1" w:styleId="Subscript">
    <w:name w:val="Subscript"/>
    <w:basedOn w:val="DefaultParagraphFont"/>
    <w:rsid w:val="000510A7"/>
    <w:rPr>
      <w:sz w:val="16"/>
      <w:vertAlign w:val="subscript"/>
    </w:rPr>
  </w:style>
  <w:style w:type="character" w:customStyle="1" w:styleId="Superscript">
    <w:name w:val="Superscript"/>
    <w:basedOn w:val="DefaultParagraphFont"/>
    <w:rsid w:val="000510A7"/>
    <w:rPr>
      <w:sz w:val="16"/>
      <w:vertAlign w:val="superscript"/>
    </w:rPr>
  </w:style>
  <w:style w:type="character" w:customStyle="1" w:styleId="Symbols">
    <w:name w:val="Symbols"/>
    <w:basedOn w:val="DefaultParagraphFont"/>
    <w:rsid w:val="000510A7"/>
    <w:rPr>
      <w:rFonts w:ascii="Symbol" w:hAnsi="Symbol"/>
    </w:rPr>
  </w:style>
  <w:style w:type="character" w:customStyle="1" w:styleId="MenuOptions">
    <w:name w:val="Menu Options"/>
    <w:basedOn w:val="DefaultParagraphFont"/>
    <w:rsid w:val="000510A7"/>
    <w:rPr>
      <w:rFonts w:ascii="Arial Narrow" w:hAnsi="Arial Narrow"/>
      <w:smallCaps/>
    </w:rPr>
  </w:style>
  <w:style w:type="character" w:customStyle="1" w:styleId="Buttons">
    <w:name w:val="Buttons"/>
    <w:basedOn w:val="DefaultParagraphFont"/>
    <w:rsid w:val="000510A7"/>
    <w:rPr>
      <w:b/>
    </w:rPr>
  </w:style>
  <w:style w:type="character" w:customStyle="1" w:styleId="Underlined">
    <w:name w:val="Underlined"/>
    <w:basedOn w:val="DefaultParagraphFont"/>
    <w:rsid w:val="000510A7"/>
    <w:rPr>
      <w:u w:val="single"/>
    </w:rPr>
  </w:style>
  <w:style w:type="paragraph" w:customStyle="1" w:styleId="TableBodyTextRight">
    <w:name w:val="Table Body Text Right"/>
    <w:basedOn w:val="TableBodyText"/>
    <w:rsid w:val="000510A7"/>
    <w:pPr>
      <w:widowControl w:val="0"/>
      <w:autoSpaceDE w:val="0"/>
      <w:autoSpaceDN w:val="0"/>
      <w:adjustRightInd w:val="0"/>
      <w:jc w:val="right"/>
    </w:pPr>
    <w:rPr>
      <w:rFonts w:cs="Arial"/>
      <w:szCs w:val="18"/>
    </w:rPr>
  </w:style>
  <w:style w:type="paragraph" w:customStyle="1" w:styleId="CopyrightText">
    <w:name w:val="Copyright Text"/>
    <w:basedOn w:val="BodyText"/>
    <w:rsid w:val="000510A7"/>
    <w:rPr>
      <w:sz w:val="18"/>
    </w:rPr>
  </w:style>
  <w:style w:type="paragraph" w:customStyle="1" w:styleId="BodySmallRight">
    <w:name w:val="Body Small Right"/>
    <w:basedOn w:val="BodyTextRight"/>
    <w:rsid w:val="000510A7"/>
    <w:rPr>
      <w:sz w:val="18"/>
      <w:szCs w:val="18"/>
    </w:rPr>
  </w:style>
  <w:style w:type="paragraph" w:customStyle="1" w:styleId="MarginEdition">
    <w:name w:val="Margin Edition"/>
    <w:basedOn w:val="MarginNote"/>
    <w:rsid w:val="000510A7"/>
    <w:pPr>
      <w:spacing w:before="0" w:after="0"/>
    </w:pPr>
    <w:rPr>
      <w:rFonts w:ascii="Times New Roman" w:hAnsi="Times New Roman"/>
      <w:color w:val="999999"/>
    </w:rPr>
  </w:style>
  <w:style w:type="paragraph" w:customStyle="1" w:styleId="Spacer">
    <w:name w:val="Spacer"/>
    <w:basedOn w:val="Normal"/>
    <w:rsid w:val="000510A7"/>
    <w:rPr>
      <w:sz w:val="2"/>
      <w:szCs w:val="2"/>
    </w:rPr>
  </w:style>
  <w:style w:type="character" w:customStyle="1" w:styleId="Small">
    <w:name w:val="Small"/>
    <w:basedOn w:val="DefaultParagraphFont"/>
    <w:rsid w:val="000510A7"/>
    <w:rPr>
      <w:sz w:val="16"/>
    </w:rPr>
  </w:style>
  <w:style w:type="paragraph" w:customStyle="1" w:styleId="WideTable">
    <w:name w:val="Wide Table"/>
    <w:basedOn w:val="Normal"/>
    <w:rsid w:val="000510A7"/>
    <w:pPr>
      <w:ind w:left="-1418"/>
    </w:pPr>
    <w:rPr>
      <w:sz w:val="2"/>
      <w:szCs w:val="2"/>
    </w:rPr>
  </w:style>
  <w:style w:type="character" w:styleId="PageNumber">
    <w:name w:val="page number"/>
    <w:basedOn w:val="DefaultParagraphFont"/>
    <w:rsid w:val="000510A7"/>
  </w:style>
  <w:style w:type="paragraph" w:styleId="Quote">
    <w:name w:val="Quote"/>
    <w:basedOn w:val="Heading1"/>
    <w:link w:val="QuoteChar"/>
    <w:qFormat/>
    <w:rsid w:val="000510A7"/>
    <w:rPr>
      <w:b w:val="0"/>
      <w:sz w:val="72"/>
      <w:szCs w:val="72"/>
      <w:lang w:val="en-NZ"/>
    </w:rPr>
  </w:style>
  <w:style w:type="character" w:customStyle="1" w:styleId="QuoteChar">
    <w:name w:val="Quote Char"/>
    <w:basedOn w:val="DefaultParagraphFont"/>
    <w:link w:val="Quote"/>
    <w:rsid w:val="00051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0A7"/>
    <w:pPr>
      <w:pageBreakBefore/>
    </w:pPr>
  </w:style>
  <w:style w:type="paragraph" w:customStyle="1" w:styleId="Border">
    <w:name w:val="Border"/>
    <w:basedOn w:val="Normal"/>
    <w:qFormat/>
    <w:rsid w:val="00051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0A7"/>
    <w:rPr>
      <w:b/>
      <w:bCs/>
      <w:i/>
      <w:iCs/>
      <w:color w:val="auto"/>
    </w:rPr>
  </w:style>
  <w:style w:type="paragraph" w:styleId="IntenseQuote">
    <w:name w:val="Intense Quote"/>
    <w:basedOn w:val="Normal"/>
    <w:next w:val="Normal"/>
    <w:link w:val="IntenseQuoteChar"/>
    <w:uiPriority w:val="30"/>
    <w:qFormat/>
    <w:rsid w:val="00051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0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0A7"/>
    <w:rPr>
      <w:smallCaps/>
      <w:color w:val="auto"/>
      <w:u w:val="single"/>
    </w:rPr>
  </w:style>
  <w:style w:type="character" w:styleId="IntenseReference">
    <w:name w:val="Intense Reference"/>
    <w:basedOn w:val="DefaultParagraphFont"/>
    <w:uiPriority w:val="32"/>
    <w:qFormat/>
    <w:rsid w:val="000510A7"/>
    <w:rPr>
      <w:b/>
      <w:bCs/>
      <w:smallCaps/>
      <w:color w:val="auto"/>
      <w:spacing w:val="5"/>
      <w:u w:val="single"/>
    </w:rPr>
  </w:style>
  <w:style w:type="paragraph" w:customStyle="1" w:styleId="2ColumnHeading">
    <w:name w:val="2Column Heading"/>
    <w:basedOn w:val="BodyText"/>
    <w:qFormat/>
    <w:rsid w:val="000510A7"/>
    <w:pPr>
      <w:spacing w:after="60"/>
      <w:ind w:left="-2268"/>
    </w:pPr>
    <w:rPr>
      <w:b/>
    </w:rPr>
  </w:style>
  <w:style w:type="paragraph" w:customStyle="1" w:styleId="Heading1TOC">
    <w:name w:val="Heading1 TOC"/>
    <w:basedOn w:val="Normal"/>
    <w:qFormat/>
    <w:rsid w:val="000510A7"/>
    <w:pPr>
      <w:spacing w:before="240" w:after="120"/>
    </w:pPr>
    <w:rPr>
      <w:rFonts w:ascii="Times New Roman" w:hAnsi="Times New Roman"/>
      <w:b/>
      <w:sz w:val="32"/>
    </w:rPr>
  </w:style>
  <w:style w:type="paragraph" w:customStyle="1" w:styleId="Heading2TOC">
    <w:name w:val="Heading2 TOC"/>
    <w:basedOn w:val="Normal"/>
    <w:qFormat/>
    <w:rsid w:val="000510A7"/>
    <w:pPr>
      <w:spacing w:before="240" w:after="60"/>
    </w:pPr>
    <w:rPr>
      <w:rFonts w:ascii="Times New Roman" w:hAnsi="Times New Roman"/>
      <w:b/>
      <w:sz w:val="28"/>
    </w:rPr>
  </w:style>
  <w:style w:type="character" w:customStyle="1" w:styleId="Underline">
    <w:name w:val="Underline"/>
    <w:basedOn w:val="DefaultParagraphFont"/>
    <w:qFormat/>
    <w:rsid w:val="000510A7"/>
    <w:rPr>
      <w:u w:val="single"/>
    </w:rPr>
  </w:style>
  <w:style w:type="paragraph" w:styleId="BalloonText">
    <w:name w:val="Balloon Text"/>
    <w:basedOn w:val="Normal"/>
    <w:link w:val="BalloonTextChar"/>
    <w:rsid w:val="000510A7"/>
    <w:rPr>
      <w:rFonts w:ascii="Tahoma" w:hAnsi="Tahoma" w:cs="Tahoma"/>
      <w:sz w:val="16"/>
      <w:szCs w:val="16"/>
    </w:rPr>
  </w:style>
  <w:style w:type="character" w:customStyle="1" w:styleId="BalloonTextChar">
    <w:name w:val="Balloon Text Char"/>
    <w:basedOn w:val="DefaultParagraphFont"/>
    <w:link w:val="BalloonText"/>
    <w:rsid w:val="000510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0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0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6583</Characters>
  <Application>Microsoft Office Word</Application>
  <DocSecurity>0</DocSecurity>
  <Lines>282</Lines>
  <Paragraphs>122</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SITXHRM008A Manage workplace relations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