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16F" w:rsidP="009B516F">
      <w:pPr>
        <w:pStyle w:val="Title"/>
      </w:pPr>
      <w:r>
        <w:fldChar w:fldCharType="begin"/>
      </w:r>
      <w:r>
        <w:instrText xml:space="preserve"> TITLE   \* MERGEFORMAT </w:instrText>
      </w:r>
      <w:r>
        <w:fldChar w:fldCharType="separate"/>
      </w:r>
      <w:r>
        <w:t>SITXEVT013A Manage event staging</w:t>
      </w:r>
      <w:r>
        <w:fldChar w:fldCharType="end"/>
      </w:r>
    </w:p>
    <w:p w:rsidR="009B516F" w:rsidP="009B516F">
      <w:pPr>
        <w:pStyle w:val="Version"/>
        <w:sectPr w:rsidSect="00114D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4D33" w:rsidP="00114D33">
      <w:pPr>
        <w:pStyle w:val="SuperHeading"/>
      </w:pPr>
      <w:r w:rsidRPr="00114D33">
        <w:t>SITXEVT013A Manage event staging</w:t>
      </w:r>
    </w:p>
    <w:p w:rsidR="00000000" w:rsidRPr="00114D33" w:rsidP="00114D33">
      <w:pPr>
        <w:pStyle w:val="SuperHeading"/>
      </w:pPr>
    </w:p>
    <w:p w:rsidR="00000000" w:rsidRPr="00114D33" w:rsidP="00114D33">
      <w:pPr>
        <w:pStyle w:val="Heading1"/>
      </w:pPr>
      <w:bookmarkStart w:id="1" w:name="O_148371"/>
      <w:bookmarkEnd w:id="1"/>
      <w:r w:rsidRPr="00114D33">
        <w:t>Modification History</w:t>
      </w:r>
    </w:p>
    <w:p w:rsidR="00000000" w:rsidRPr="00114D33" w:rsidP="00114D33">
      <w:pPr>
        <w:pStyle w:val="BodyText"/>
      </w:pPr>
      <w:r w:rsidRPr="00114D33">
        <w:t>Not applicable.</w:t>
      </w:r>
    </w:p>
    <w:p w:rsidR="00000000" w:rsidRPr="00114D33" w:rsidP="00114D33">
      <w:pPr>
        <w:pStyle w:val="AllowPageBreak"/>
      </w:pPr>
    </w:p>
    <w:p w:rsidR="00000000" w:rsidRPr="00114D33" w:rsidP="00114D33">
      <w:pPr>
        <w:pStyle w:val="Heading1"/>
      </w:pPr>
      <w:bookmarkStart w:id="2" w:name="O_148372"/>
      <w:bookmarkEnd w:id="2"/>
      <w:r w:rsidRPr="00114D33">
        <w:t>Unit Descriptor</w:t>
      </w:r>
    </w:p>
    <w:tbl>
      <w:tblPr>
        <w:tblW w:w="0" w:type="auto"/>
        <w:tblLayout w:type="fixed"/>
        <w:tblCellMar>
          <w:left w:w="62" w:type="dxa"/>
          <w:right w:w="62" w:type="dxa"/>
        </w:tblCellMar>
        <w:tblLook w:val="0000"/>
      </w:tblPr>
      <w:tblGrid>
        <w:gridCol w:w="2836"/>
        <w:gridCol w:w="6344"/>
      </w:tblGrid>
      <w:tr w:rsidTr="009B516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114D33" w:rsidP="00114D33">
            <w:pPr>
              <w:pStyle w:val="BodyText"/>
            </w:pPr>
            <w:r w:rsidRPr="00114D33">
              <w:t>This unit describes the performance outcomes, skills and knowledge required to manage the staging and op</w:t>
            </w:r>
            <w:r w:rsidRPr="00114D33">
              <w:t xml:space="preserve">eration of a complex event comprising multiple components. </w:t>
            </w:r>
          </w:p>
          <w:p w:rsidR="00000000" w:rsidP="00114D33">
            <w:pPr>
              <w:pStyle w:val="BodyText"/>
              <w:rPr>
                <w:lang w:val="en-NZ"/>
              </w:rPr>
            </w:pPr>
            <w:r w:rsidRPr="00114D33">
              <w:t>No licensing, legislative, regulatory or certification requirements apply to this unit at the time of endorsement.</w:t>
            </w:r>
          </w:p>
        </w:tc>
      </w:tr>
      <w:tr w:rsidTr="009B516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14D33" w:rsidP="00114D33">
            <w:pPr>
              <w:pStyle w:val="BodyText"/>
            </w:pPr>
          </w:p>
        </w:tc>
      </w:tr>
    </w:tbl>
    <w:p w:rsidR="00000000" w:rsidRPr="00114D33" w:rsidP="00114D33">
      <w:pPr>
        <w:pStyle w:val="BodyText"/>
      </w:pPr>
    </w:p>
    <w:p w:rsidR="00000000" w:rsidRPr="00114D33" w:rsidP="00114D33">
      <w:pPr>
        <w:pStyle w:val="AllowPageBreak"/>
      </w:pPr>
    </w:p>
    <w:p w:rsidR="00000000" w:rsidRPr="00114D33" w:rsidP="00114D33">
      <w:pPr>
        <w:pStyle w:val="Heading1"/>
      </w:pPr>
      <w:bookmarkStart w:id="3" w:name="O_148373"/>
      <w:bookmarkEnd w:id="3"/>
      <w:r w:rsidRPr="00114D33">
        <w:t>Application of the Unit</w:t>
      </w:r>
    </w:p>
    <w:tbl>
      <w:tblPr>
        <w:tblW w:w="0" w:type="auto"/>
        <w:tblLayout w:type="fixed"/>
        <w:tblCellMar>
          <w:left w:w="62" w:type="dxa"/>
          <w:right w:w="62" w:type="dxa"/>
        </w:tblCellMar>
        <w:tblLook w:val="0000"/>
      </w:tblPr>
      <w:tblGrid>
        <w:gridCol w:w="2836"/>
        <w:gridCol w:w="6344"/>
      </w:tblGrid>
      <w:tr w:rsidTr="009B516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114D33" w:rsidP="00114D33">
            <w:pPr>
              <w:pStyle w:val="BodyText"/>
            </w:pPr>
            <w:r w:rsidRPr="00114D33">
              <w:t>This unit applies to staging management for any type of event. It may be relevant in any industry context, but has particular application in the cultural, community, hospitality, sporting and tourism sectors. The unit focuses on the key knowledge and skill</w:t>
            </w:r>
            <w:r w:rsidRPr="00114D33">
              <w:t>s required to manage overall event staging from an organisational and contractor management perspective. It requires the application of advanced planning, organisation and communication skills combined with a detailed knowledge of the event management proc</w:t>
            </w:r>
            <w:r w:rsidRPr="00114D33">
              <w:t>ess and broad understanding of individual specialist services.</w:t>
            </w:r>
          </w:p>
          <w:p w:rsidR="00000000" w:rsidRPr="00114D33" w:rsidP="00114D33">
            <w:pPr>
              <w:pStyle w:val="BodyText"/>
            </w:pPr>
            <w:r w:rsidRPr="00114D33">
              <w:t>A complex event comprising multiple components must involve:</w:t>
            </w:r>
          </w:p>
          <w:p w:rsidR="00000000" w:rsidRPr="00114D33" w:rsidP="00114D33">
            <w:pPr>
              <w:pStyle w:val="ListBullet"/>
            </w:pPr>
            <w:r w:rsidRPr="00114D33">
              <w:t xml:space="preserve">need for a comprehensive and multifaceted event plan </w:t>
            </w:r>
          </w:p>
          <w:p w:rsidR="00000000" w:rsidRPr="00114D33" w:rsidP="00114D33">
            <w:pPr>
              <w:pStyle w:val="ListBullet"/>
            </w:pPr>
            <w:r w:rsidRPr="00114D33">
              <w:t xml:space="preserve">need for a formal internal or external communications strategy </w:t>
            </w:r>
          </w:p>
          <w:p w:rsidR="00000000" w:rsidRPr="00114D33" w:rsidP="00114D33">
            <w:pPr>
              <w:pStyle w:val="ListBullet"/>
            </w:pPr>
            <w:r w:rsidRPr="00114D33">
              <w:t>dedicated and diverse event budget</w:t>
            </w:r>
          </w:p>
          <w:p w:rsidR="00000000" w:rsidRPr="00114D33" w:rsidP="00114D33">
            <w:pPr>
              <w:pStyle w:val="ListBullet"/>
            </w:pPr>
            <w:r w:rsidRPr="00114D33">
              <w:t xml:space="preserve">multiple administrative and operational components </w:t>
            </w:r>
          </w:p>
          <w:p w:rsidR="00000000" w:rsidRPr="00114D33" w:rsidP="00114D33">
            <w:pPr>
              <w:pStyle w:val="ListBullet"/>
            </w:pPr>
            <w:r w:rsidRPr="00114D33">
              <w:t xml:space="preserve">a wide range of stakeholders </w:t>
            </w:r>
          </w:p>
          <w:p w:rsidR="00000000" w:rsidRPr="00114D33" w:rsidP="00114D33">
            <w:pPr>
              <w:pStyle w:val="ListBullet"/>
            </w:pPr>
            <w:r w:rsidRPr="00114D33">
              <w:t>an event operations team.</w:t>
            </w:r>
          </w:p>
          <w:p w:rsidR="00000000" w:rsidRPr="00114D33" w:rsidP="00114D33">
            <w:pPr>
              <w:pStyle w:val="BodyText"/>
            </w:pPr>
            <w:r w:rsidRPr="00114D33">
              <w:t>It does not cover the high levels of technical expertise required to provide individual specialist services, incl</w:t>
            </w:r>
            <w:r w:rsidRPr="00114D33">
              <w:t>uding catering, technical, creative and sporting. The unit is distinct from staging specialisation units that apply to staging technicians and stage managers in the entertainment industry.</w:t>
            </w:r>
          </w:p>
          <w:p w:rsidR="00000000" w:rsidP="00114D33">
            <w:pPr>
              <w:pStyle w:val="BodyText"/>
              <w:rPr>
                <w:lang w:val="en-NZ"/>
              </w:rPr>
            </w:pPr>
            <w:r w:rsidRPr="00114D33">
              <w:t>Depending on the event type and context, this role may be undertake</w:t>
            </w:r>
            <w:r w:rsidRPr="00114D33">
              <w:t>n by a manager working within a venue or site, by an independent event manager or by a combination of both.</w:t>
            </w:r>
          </w:p>
        </w:tc>
      </w:tr>
      <w:tr w:rsidTr="009B516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14D33" w:rsidP="00114D33">
            <w:pPr>
              <w:pStyle w:val="BodyText"/>
            </w:pPr>
          </w:p>
        </w:tc>
      </w:tr>
    </w:tbl>
    <w:p w:rsidR="00000000" w:rsidRPr="00114D33" w:rsidP="00114D33">
      <w:pPr>
        <w:pStyle w:val="BodyText"/>
      </w:pPr>
    </w:p>
    <w:p w:rsidR="00000000" w:rsidRPr="00114D33" w:rsidP="00114D33">
      <w:pPr>
        <w:pStyle w:val="AllowPageBreak"/>
      </w:pPr>
    </w:p>
    <w:p w:rsidR="00000000" w:rsidRPr="00114D33" w:rsidP="00114D33">
      <w:pPr>
        <w:pStyle w:val="Heading1"/>
      </w:pPr>
      <w:bookmarkStart w:id="4" w:name="O_148374"/>
      <w:bookmarkEnd w:id="4"/>
      <w:r w:rsidRPr="00114D33">
        <w:t>Licensing/Regulatory Information</w:t>
      </w:r>
    </w:p>
    <w:p w:rsidR="00000000" w:rsidRPr="00114D33" w:rsidP="00114D33">
      <w:pPr>
        <w:pStyle w:val="BodyText"/>
      </w:pPr>
      <w:r w:rsidRPr="00114D33">
        <w:t>Not applicable.</w:t>
      </w:r>
    </w:p>
    <w:p w:rsidR="00000000" w:rsidRPr="00114D33" w:rsidP="00114D33">
      <w:pPr>
        <w:pStyle w:val="AllowPageBreak"/>
      </w:pPr>
    </w:p>
    <w:p w:rsidR="00000000" w:rsidRPr="00114D33" w:rsidP="00114D33">
      <w:pPr>
        <w:pStyle w:val="Heading1"/>
      </w:pPr>
      <w:bookmarkStart w:id="5" w:name="O_148375"/>
      <w:bookmarkEnd w:id="5"/>
      <w:r w:rsidRPr="00114D33">
        <w:t>Pre-Requisites</w:t>
      </w:r>
    </w:p>
    <w:tbl>
      <w:tblPr>
        <w:tblW w:w="0" w:type="auto"/>
        <w:tblLayout w:type="fixed"/>
        <w:tblCellMar>
          <w:left w:w="62" w:type="dxa"/>
          <w:right w:w="62" w:type="dxa"/>
        </w:tblCellMar>
        <w:tblLook w:val="0000"/>
      </w:tblPr>
      <w:tblGrid>
        <w:gridCol w:w="2836"/>
        <w:gridCol w:w="6344"/>
      </w:tblGrid>
      <w:tr w:rsidTr="009B516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t>Nil</w:t>
            </w:r>
          </w:p>
        </w:tc>
      </w:tr>
      <w:tr w:rsidTr="009B516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14D33" w:rsidP="00114D33">
            <w:pPr>
              <w:pStyle w:val="BodyText"/>
            </w:pPr>
          </w:p>
        </w:tc>
      </w:tr>
    </w:tbl>
    <w:p w:rsidR="00000000" w:rsidRPr="00114D33" w:rsidP="00114D33">
      <w:pPr>
        <w:pStyle w:val="BodyText"/>
      </w:pPr>
    </w:p>
    <w:p w:rsidR="00000000" w:rsidRPr="00114D33" w:rsidP="00114D33">
      <w:pPr>
        <w:pStyle w:val="AllowPageBreak"/>
      </w:pPr>
    </w:p>
    <w:p w:rsidR="00000000" w:rsidRPr="00114D33" w:rsidP="00114D33">
      <w:pPr>
        <w:pStyle w:val="Heading1"/>
      </w:pPr>
      <w:bookmarkStart w:id="6" w:name="O_148376"/>
      <w:bookmarkEnd w:id="6"/>
      <w:r w:rsidRPr="00114D33">
        <w:t>Employability Skills Information</w:t>
      </w:r>
    </w:p>
    <w:tbl>
      <w:tblPr>
        <w:tblW w:w="0" w:type="auto"/>
        <w:tblLayout w:type="fixed"/>
        <w:tblCellMar>
          <w:left w:w="62" w:type="dxa"/>
          <w:right w:w="62" w:type="dxa"/>
        </w:tblCellMar>
        <w:tblLook w:val="0000"/>
      </w:tblPr>
      <w:tblGrid>
        <w:gridCol w:w="2836"/>
        <w:gridCol w:w="6344"/>
      </w:tblGrid>
      <w:tr w:rsidTr="009B516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t>The required outcomes described in this unit of competency contain applicable facets of employability skills. The Employability Skills Summary of the qualification in which this unit is packaged will as</w:t>
            </w:r>
            <w:r w:rsidRPr="00114D33">
              <w:t>sist in identifying employability skills requirements.</w:t>
            </w:r>
          </w:p>
        </w:tc>
      </w:tr>
      <w:tr w:rsidTr="009B516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14D33" w:rsidP="00114D33">
            <w:pPr>
              <w:pStyle w:val="BodyText"/>
            </w:pPr>
          </w:p>
        </w:tc>
      </w:tr>
    </w:tbl>
    <w:p w:rsidR="00000000" w:rsidRPr="00114D33" w:rsidP="00114D33">
      <w:pPr>
        <w:pStyle w:val="BodyText"/>
      </w:pPr>
    </w:p>
    <w:p w:rsidR="00000000" w:rsidRPr="00114D33" w:rsidP="00114D33">
      <w:pPr>
        <w:pStyle w:val="AllowPageBreak"/>
      </w:pPr>
    </w:p>
    <w:p w:rsidR="00000000" w:rsidRPr="00114D33" w:rsidP="00114D33">
      <w:pPr>
        <w:pStyle w:val="Heading1"/>
      </w:pPr>
      <w:bookmarkStart w:id="7" w:name="O_148377"/>
      <w:bookmarkEnd w:id="7"/>
      <w:r w:rsidRPr="00114D33">
        <w:t>Elements and Performance Criteria Pre-Content</w:t>
      </w:r>
    </w:p>
    <w:tbl>
      <w:tblPr>
        <w:tblW w:w="0" w:type="auto"/>
        <w:tblLayout w:type="fixed"/>
        <w:tblCellMar>
          <w:left w:w="62" w:type="dxa"/>
          <w:right w:w="62" w:type="dxa"/>
        </w:tblCellMar>
        <w:tblLook w:val="0000"/>
      </w:tblPr>
      <w:tblGrid>
        <w:gridCol w:w="2836"/>
        <w:gridCol w:w="6344"/>
      </w:tblGrid>
      <w:tr w:rsidTr="009B516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14D33" w:rsidP="00114D33">
            <w:pPr>
              <w:pStyle w:val="BodyText"/>
            </w:pPr>
            <w:r w:rsidRPr="00114D33">
              <w:t xml:space="preserve">Performance criteria describe the required performance needed to demonstrate achievement of the element. Where </w:t>
            </w:r>
            <w:r w:rsidRPr="00114D33">
              <w:rPr>
                <w:rStyle w:val="BoldandItalics"/>
              </w:rPr>
              <w:t>bold italicised</w:t>
            </w:r>
            <w:r w:rsidRPr="00114D33">
              <w:t xml:space="preserve"> text is used, further information is detailed in the required skills and knowledge and/or the range statement. Assessment of perf</w:t>
            </w:r>
            <w:r w:rsidRPr="00114D33">
              <w:t>ormance is to be consistent with the evidence guide.</w:t>
            </w:r>
          </w:p>
        </w:tc>
      </w:tr>
    </w:tbl>
    <w:p w:rsidR="00000000" w:rsidRPr="00114D33" w:rsidP="00114D33">
      <w:pPr>
        <w:pStyle w:val="BodyText"/>
      </w:pPr>
    </w:p>
    <w:p w:rsidR="00000000" w:rsidRPr="00114D33" w:rsidP="00114D33">
      <w:pPr>
        <w:pStyle w:val="AllowPageBreak"/>
      </w:pPr>
    </w:p>
    <w:p w:rsidR="00000000" w:rsidRPr="00114D33" w:rsidP="00114D33">
      <w:pPr>
        <w:pStyle w:val="Heading1"/>
      </w:pPr>
      <w:bookmarkStart w:id="8" w:name="O_148378"/>
      <w:bookmarkEnd w:id="8"/>
      <w:r w:rsidRPr="00114D3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B516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14D33" w:rsidP="00114D33">
            <w:pPr>
              <w:pStyle w:val="List"/>
            </w:pPr>
            <w:r w:rsidRPr="00114D3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rPr>
                <w:rStyle w:val="SpecialBold"/>
              </w:rPr>
              <w:t>PERFORMANCE CRITERIA</w:t>
            </w:r>
          </w:p>
        </w:tc>
      </w:tr>
      <w:tr w:rsidTr="009B516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1</w:t>
            </w:r>
          </w:p>
        </w:tc>
        <w:tc>
          <w:tcPr>
            <w:tcW w:w="2410" w:type="dxa"/>
            <w:vMerge w:val="restart"/>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Analyse event staging requirements.</w:t>
            </w:r>
          </w:p>
        </w:tc>
        <w:tc>
          <w:tcPr>
            <w:tcW w:w="56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1.1</w:t>
            </w:r>
          </w:p>
        </w:tc>
        <w:tc>
          <w:tcPr>
            <w:tcW w:w="577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 xml:space="preserve">Analyse </w:t>
            </w:r>
            <w:r w:rsidRPr="00114D33">
              <w:rPr>
                <w:rStyle w:val="BoldandItalics"/>
              </w:rPr>
              <w:t>event staging requirements</w:t>
            </w:r>
            <w:r w:rsidRPr="00114D33">
              <w:t xml:space="preserve"> based on detailed review </w:t>
            </w:r>
            <w:r w:rsidRPr="00114D33">
              <w:t>of all aspects of the proposed event.</w:t>
            </w:r>
          </w:p>
        </w:tc>
      </w:tr>
      <w:tr w:rsidTr="009B516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1.2</w:t>
            </w:r>
          </w:p>
        </w:tc>
        <w:tc>
          <w:tcPr>
            <w:tcW w:w="577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 xml:space="preserve">Develop an accurate summary of staging requirements for each event component in consultation with </w:t>
            </w:r>
            <w:r w:rsidRPr="00114D33">
              <w:rPr>
                <w:rStyle w:val="BoldandItalics"/>
              </w:rPr>
              <w:t>key stakeholders</w:t>
            </w:r>
            <w:r w:rsidRPr="00114D33">
              <w:t>.</w:t>
            </w:r>
          </w:p>
        </w:tc>
      </w:tr>
      <w:tr w:rsidTr="009B516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1.3</w:t>
            </w:r>
          </w:p>
        </w:tc>
        <w:tc>
          <w:tcPr>
            <w:tcW w:w="577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Incorporate safety and risk management issues into all planning of event staging.</w:t>
            </w:r>
          </w:p>
        </w:tc>
      </w:tr>
      <w:tr w:rsidTr="009B516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2</w:t>
            </w:r>
          </w:p>
        </w:tc>
        <w:tc>
          <w:tcPr>
            <w:tcW w:w="2410" w:type="dxa"/>
            <w:vMerge w:val="restart"/>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Source and negotiate staging contractors.</w:t>
            </w:r>
          </w:p>
        </w:tc>
        <w:tc>
          <w:tcPr>
            <w:tcW w:w="56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2.1</w:t>
            </w:r>
          </w:p>
        </w:tc>
        <w:tc>
          <w:tcPr>
            <w:tcW w:w="577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 xml:space="preserve">Identify and source appropriate </w:t>
            </w:r>
            <w:r w:rsidRPr="00114D33">
              <w:rPr>
                <w:rStyle w:val="BoldandItalics"/>
              </w:rPr>
              <w:t>contractors</w:t>
            </w:r>
            <w:r w:rsidRPr="00114D33">
              <w:t xml:space="preserve"> to provide services for the event.</w:t>
            </w:r>
          </w:p>
        </w:tc>
      </w:tr>
      <w:tr w:rsidTr="009B516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2.2</w:t>
            </w:r>
          </w:p>
        </w:tc>
        <w:tc>
          <w:tcPr>
            <w:tcW w:w="577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 xml:space="preserve">Provide accurate and complete </w:t>
            </w:r>
            <w:r w:rsidRPr="00114D33">
              <w:rPr>
                <w:rStyle w:val="BoldandItalics"/>
              </w:rPr>
              <w:t>staging specifications</w:t>
            </w:r>
            <w:r w:rsidRPr="00114D33">
              <w:t xml:space="preserve"> detailing precise requirements to contractors, based on sound product</w:t>
            </w:r>
            <w:r w:rsidRPr="00114D33">
              <w:t xml:space="preserve"> and service knowledge.</w:t>
            </w:r>
          </w:p>
        </w:tc>
      </w:tr>
      <w:tr w:rsidTr="009B516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2.3</w:t>
            </w:r>
          </w:p>
        </w:tc>
        <w:tc>
          <w:tcPr>
            <w:tcW w:w="577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Obtain complete and timely quotations for the provision of products and services.</w:t>
            </w:r>
          </w:p>
        </w:tc>
      </w:tr>
      <w:tr w:rsidTr="009B516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2.4</w:t>
            </w:r>
          </w:p>
        </w:tc>
        <w:tc>
          <w:tcPr>
            <w:tcW w:w="577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Analyse quotations, conduct negotiations and select contractors using product and service knowledge to make informed decisions.</w:t>
            </w:r>
          </w:p>
        </w:tc>
      </w:tr>
      <w:tr w:rsidTr="009B516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2.5</w:t>
            </w:r>
          </w:p>
        </w:tc>
        <w:tc>
          <w:tcPr>
            <w:tcW w:w="577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Confirm agreements with contractors in writing to include details and costs of all services.</w:t>
            </w:r>
          </w:p>
        </w:tc>
      </w:tr>
      <w:tr w:rsidTr="009B516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3</w:t>
            </w:r>
          </w:p>
        </w:tc>
        <w:tc>
          <w:tcPr>
            <w:tcW w:w="2410" w:type="dxa"/>
            <w:vMerge w:val="restart"/>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Monitor staging contractors.</w:t>
            </w:r>
          </w:p>
        </w:tc>
        <w:tc>
          <w:tcPr>
            <w:tcW w:w="56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3.1</w:t>
            </w:r>
          </w:p>
        </w:tc>
        <w:tc>
          <w:tcPr>
            <w:tcW w:w="577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Monitor pre-event progress with staging components at regular intervals through ongoing liaison with contractors and other stakeholders.</w:t>
            </w:r>
          </w:p>
        </w:tc>
      </w:tr>
      <w:tr w:rsidTr="009B516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3.2</w:t>
            </w:r>
          </w:p>
        </w:tc>
        <w:tc>
          <w:tcPr>
            <w:tcW w:w="577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Evaluate work completed against event requirements and time schedules, and take appropriate action to address de</w:t>
            </w:r>
            <w:r w:rsidRPr="00114D33">
              <w:t>lays or other problems to maintain event quality and integrity.</w:t>
            </w:r>
          </w:p>
        </w:tc>
      </w:tr>
      <w:tr w:rsidTr="009B516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3.3</w:t>
            </w:r>
          </w:p>
        </w:tc>
        <w:tc>
          <w:tcPr>
            <w:tcW w:w="577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 xml:space="preserve">Assess the need for </w:t>
            </w:r>
            <w:r w:rsidRPr="00114D33">
              <w:rPr>
                <w:rStyle w:val="BoldandItalics"/>
              </w:rPr>
              <w:t>staging adjustments</w:t>
            </w:r>
            <w:r w:rsidRPr="00114D33">
              <w:t xml:space="preserve"> to maintain event quality and integrity and negotiate appropriate changes.</w:t>
            </w:r>
          </w:p>
        </w:tc>
      </w:tr>
      <w:tr w:rsidTr="009B516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14D33">
            <w:pPr>
              <w:pStyle w:val="List"/>
              <w:rPr>
                <w:lang w:val="en-NZ"/>
              </w:rPr>
            </w:pPr>
            <w:r w:rsidRPr="00114D33">
              <w:t>3.4</w:t>
            </w:r>
          </w:p>
        </w:tc>
        <w:tc>
          <w:tcPr>
            <w:tcW w:w="5777" w:type="dxa"/>
            <w:tcBorders>
              <w:top w:val="nil"/>
              <w:left w:val="nil"/>
              <w:bottom w:val="nil"/>
              <w:right w:val="nil"/>
            </w:tcBorders>
            <w:tcMar>
              <w:top w:w="0" w:type="dxa"/>
              <w:left w:w="62" w:type="dxa"/>
              <w:bottom w:w="0" w:type="dxa"/>
              <w:right w:w="62" w:type="dxa"/>
            </w:tcMar>
          </w:tcPr>
          <w:p w:rsidR="00000000" w:rsidRPr="00114D33" w:rsidP="00114D33">
            <w:pPr>
              <w:pStyle w:val="List"/>
            </w:pPr>
            <w:r w:rsidRPr="00114D33">
              <w:t>Negotiate and confirm adjustments to maintain event quality and integrity.</w:t>
            </w:r>
          </w:p>
        </w:tc>
      </w:tr>
    </w:tbl>
    <w:p w:rsidR="00000000" w:rsidRPr="00114D33" w:rsidP="00114D33">
      <w:pPr>
        <w:pStyle w:val="BodyText"/>
      </w:pPr>
    </w:p>
    <w:p w:rsidR="00000000" w:rsidRPr="00114D33" w:rsidP="00114D33">
      <w:pPr>
        <w:pStyle w:val="AllowPageBreak"/>
      </w:pPr>
    </w:p>
    <w:p w:rsidR="00000000" w:rsidRPr="00114D33" w:rsidP="00114D33">
      <w:pPr>
        <w:pStyle w:val="Heading1"/>
      </w:pPr>
      <w:bookmarkStart w:id="9" w:name="O_148379"/>
      <w:bookmarkEnd w:id="9"/>
      <w:r w:rsidRPr="00114D33">
        <w:t>Required Skills and Knowledge</w:t>
      </w:r>
    </w:p>
    <w:tbl>
      <w:tblPr>
        <w:tblW w:w="0" w:type="auto"/>
        <w:tblLayout w:type="fixed"/>
        <w:tblCellMar>
          <w:left w:w="62" w:type="dxa"/>
          <w:right w:w="62" w:type="dxa"/>
        </w:tblCellMar>
        <w:tblLook w:val="0000"/>
      </w:tblPr>
      <w:tblGrid>
        <w:gridCol w:w="9180"/>
      </w:tblGrid>
      <w:tr w:rsidTr="009B516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SpecialBold"/>
              </w:rPr>
              <w:t>REQUIRED SKILLS AND KNOWLEDGE</w:t>
            </w:r>
          </w:p>
        </w:tc>
      </w:tr>
      <w:tr w:rsidTr="009B516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t>This section describes the essential skills and knowledge and their level, required for this unit.</w:t>
            </w:r>
          </w:p>
        </w:tc>
      </w:tr>
      <w:tr w:rsidTr="009B516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14D33" w:rsidP="00114D33">
            <w:pPr>
              <w:pStyle w:val="BodyText"/>
            </w:pPr>
            <w:r w:rsidRPr="00114D33">
              <w:t>The following skills must be assessed as part of this unit:</w:t>
            </w:r>
          </w:p>
          <w:p w:rsidR="00000000" w:rsidRPr="00114D33" w:rsidP="00114D33">
            <w:pPr>
              <w:pStyle w:val="ListBullet"/>
            </w:pPr>
            <w:r w:rsidRPr="00114D33">
              <w:t>communication and negotiation skills to conduct complex negotiations for the supply of products and services, and to manage staging contractors during the event management and operations process</w:t>
            </w:r>
          </w:p>
          <w:p w:rsidR="00000000" w:rsidRPr="00114D33" w:rsidP="00114D33">
            <w:pPr>
              <w:pStyle w:val="ListBullet"/>
            </w:pPr>
            <w:r w:rsidRPr="00114D33">
              <w:t>problem solving skills to address complex issues, such as poorly-performing contractors, changing requirements and other operational constraints</w:t>
            </w:r>
          </w:p>
          <w:p w:rsidR="00000000" w:rsidRPr="00114D33" w:rsidP="00114D33">
            <w:pPr>
              <w:pStyle w:val="ListBullet"/>
            </w:pPr>
            <w:r w:rsidRPr="00114D33">
              <w:t>literacy skills to interpret and develop complex and detailed event documentation</w:t>
            </w:r>
          </w:p>
          <w:p w:rsidR="00000000" w:rsidP="00114D33">
            <w:pPr>
              <w:pStyle w:val="ListBullet"/>
              <w:rPr>
                <w:lang w:val="en-NZ"/>
              </w:rPr>
            </w:pPr>
            <w:r w:rsidRPr="00114D33">
              <w:t>numeracy skills to work with</w:t>
            </w:r>
            <w:r w:rsidRPr="00114D33">
              <w:t xml:space="preserve"> budgets and detailed quotations for the supply of products and services.</w:t>
            </w:r>
          </w:p>
        </w:tc>
      </w:tr>
      <w:tr w:rsidTr="009B516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14D33" w:rsidP="00114D33">
            <w:pPr>
              <w:pStyle w:val="BodyText"/>
            </w:pPr>
            <w:r w:rsidRPr="00114D33">
              <w:t>The following knowledge must be assessed as part of this unit:</w:t>
            </w:r>
          </w:p>
          <w:p w:rsidR="00000000" w:rsidRPr="00114D33" w:rsidP="00114D33">
            <w:pPr>
              <w:pStyle w:val="ListBullet"/>
            </w:pPr>
            <w:r w:rsidRPr="00114D33">
              <w:t>different roles and responsibilities of organisations involved in event staging</w:t>
            </w:r>
          </w:p>
          <w:p w:rsidR="00000000" w:rsidRPr="00114D33" w:rsidP="00114D33">
            <w:pPr>
              <w:pStyle w:val="ListBullet"/>
            </w:pPr>
            <w:r w:rsidRPr="00114D33">
              <w:t>suppliers of staging products and services and sources of information on staging services</w:t>
            </w:r>
          </w:p>
          <w:p w:rsidR="00000000" w:rsidRPr="00114D33" w:rsidP="00114D33">
            <w:pPr>
              <w:pStyle w:val="ListBullet"/>
            </w:pPr>
            <w:r w:rsidRPr="00114D33">
              <w:t>specific risk management issues to be considered for different areas of event staging</w:t>
            </w:r>
          </w:p>
          <w:p w:rsidR="00000000" w:rsidRPr="00114D33" w:rsidP="00114D33">
            <w:pPr>
              <w:pStyle w:val="ListBullet"/>
            </w:pPr>
            <w:r w:rsidRPr="00114D33">
              <w:t>product and service terminology, features and options, and current technology in</w:t>
            </w:r>
            <w:r w:rsidRPr="00114D33">
              <w:t xml:space="preserve"> key areas of staging, including:</w:t>
            </w:r>
          </w:p>
          <w:p w:rsidR="00000000" w:rsidRPr="00114D33" w:rsidP="00114D33">
            <w:pPr>
              <w:pStyle w:val="ListBullet2"/>
            </w:pPr>
            <w:r w:rsidRPr="00114D33">
              <w:t>catering</w:t>
            </w:r>
          </w:p>
          <w:p w:rsidR="00000000" w:rsidRPr="00114D33" w:rsidP="00114D33">
            <w:pPr>
              <w:pStyle w:val="ListBullet2"/>
            </w:pPr>
            <w:r w:rsidRPr="00114D33">
              <w:t>venue or site services and set-ups</w:t>
            </w:r>
          </w:p>
          <w:p w:rsidR="00000000" w:rsidRPr="00114D33" w:rsidP="00114D33">
            <w:pPr>
              <w:pStyle w:val="ListBullet2"/>
            </w:pPr>
            <w:r w:rsidRPr="00114D33">
              <w:t>technical services, including audiovisual, lighting, sound, rigging and special effects</w:t>
            </w:r>
          </w:p>
          <w:p w:rsidR="00000000" w:rsidRPr="00114D33" w:rsidP="00114D33">
            <w:pPr>
              <w:pStyle w:val="ListBullet2"/>
            </w:pPr>
            <w:r w:rsidRPr="00114D33">
              <w:t>entertainers</w:t>
            </w:r>
          </w:p>
          <w:p w:rsidR="00000000" w:rsidRPr="00114D33" w:rsidP="00114D33">
            <w:pPr>
              <w:pStyle w:val="ListBullet2"/>
            </w:pPr>
            <w:r w:rsidRPr="00114D33">
              <w:t>registration requirements and set-ups</w:t>
            </w:r>
          </w:p>
          <w:p w:rsidR="00000000" w:rsidRPr="00114D33" w:rsidP="00114D33">
            <w:pPr>
              <w:pStyle w:val="ListBullet2"/>
            </w:pPr>
            <w:r w:rsidRPr="00114D33">
              <w:t>physical elements, including display, furniture and temporary structures</w:t>
            </w:r>
          </w:p>
          <w:p w:rsidR="00000000" w:rsidRPr="00114D33" w:rsidP="00114D33">
            <w:pPr>
              <w:pStyle w:val="ListBullet2"/>
            </w:pPr>
            <w:r w:rsidRPr="00114D33">
              <w:t>security</w:t>
            </w:r>
          </w:p>
          <w:p w:rsidR="00000000" w:rsidRPr="00114D33" w:rsidP="00114D33">
            <w:pPr>
              <w:pStyle w:val="ListBullet2"/>
            </w:pPr>
            <w:r w:rsidRPr="00114D33">
              <w:t xml:space="preserve">media coverage </w:t>
            </w:r>
          </w:p>
          <w:p w:rsidR="00000000" w:rsidRPr="00114D33" w:rsidP="00114D33">
            <w:pPr>
              <w:pStyle w:val="ListBullet2"/>
            </w:pPr>
            <w:r w:rsidRPr="00114D33">
              <w:t>safety equipment</w:t>
            </w:r>
          </w:p>
          <w:p w:rsidR="00000000" w:rsidRPr="00114D33" w:rsidP="00114D33">
            <w:pPr>
              <w:pStyle w:val="ListBullet"/>
            </w:pPr>
            <w:r w:rsidRPr="00114D33">
              <w:t>key inclusions for contractor briefing and specification documents.</w:t>
            </w:r>
          </w:p>
        </w:tc>
      </w:tr>
    </w:tbl>
    <w:p w:rsidR="009B516F" w:rsidP="00114D33">
      <w:pPr>
        <w:pStyle w:val="BodyText"/>
      </w:pPr>
    </w:p>
    <w:p w:rsidR="009B516F" w:rsidP="00114D33">
      <w:pPr>
        <w:pStyle w:val="BodyText"/>
      </w:pPr>
    </w:p>
    <w:p w:rsidR="00000000" w:rsidRPr="00114D33" w:rsidP="00114D33">
      <w:pPr>
        <w:pStyle w:val="Heading1"/>
      </w:pPr>
      <w:bookmarkStart w:id="10" w:name="O_148380"/>
      <w:bookmarkEnd w:id="10"/>
      <w:r w:rsidRPr="00114D33">
        <w:t>Evidence Guide</w:t>
      </w:r>
    </w:p>
    <w:tbl>
      <w:tblPr>
        <w:tblW w:w="0" w:type="auto"/>
        <w:tblLayout w:type="fixed"/>
        <w:tblCellMar>
          <w:left w:w="62" w:type="dxa"/>
          <w:right w:w="62" w:type="dxa"/>
        </w:tblCellMar>
        <w:tblLook w:val="0000"/>
      </w:tblPr>
      <w:tblGrid>
        <w:gridCol w:w="3345"/>
        <w:gridCol w:w="5835"/>
      </w:tblGrid>
      <w:tr w:rsidTr="009B516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SpecialBold"/>
              </w:rPr>
              <w:t>EVIDENCE GUIDE</w:t>
            </w:r>
          </w:p>
        </w:tc>
      </w:tr>
      <w:tr w:rsidTr="009B516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t>The evidence guide provides advice on assessment and must be read in conjunction with the performance criteria, required skills and knowledge, the range statement and the Assessment Guidelines for this Training Package.</w:t>
            </w:r>
          </w:p>
        </w:tc>
      </w:tr>
      <w:tr w:rsidTr="009B516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14D33" w:rsidP="00114D33">
            <w:pPr>
              <w:pStyle w:val="BodyText"/>
            </w:pPr>
            <w:r w:rsidRPr="00114D33">
              <w:t>Evidence of the following is essential:</w:t>
            </w:r>
          </w:p>
          <w:p w:rsidR="00000000" w:rsidRPr="00114D33" w:rsidP="00114D33">
            <w:pPr>
              <w:pStyle w:val="ListBullet"/>
            </w:pPr>
            <w:r w:rsidRPr="00114D33">
              <w:t>general knowledge of the range of staging services and related terminology to allow for informed planning and decision-mak</w:t>
            </w:r>
            <w:r w:rsidRPr="00114D33">
              <w:t>ing</w:t>
            </w:r>
          </w:p>
          <w:p w:rsidR="00000000" w:rsidRPr="00114D33" w:rsidP="00114D33">
            <w:pPr>
              <w:pStyle w:val="ListBullet"/>
            </w:pPr>
            <w:r w:rsidRPr="00114D33">
              <w:t>ability to source, organise and coordinate multiple staging contractors as part of the overall event management process</w:t>
            </w:r>
          </w:p>
          <w:p w:rsidR="00000000" w:rsidP="00114D33">
            <w:pPr>
              <w:pStyle w:val="ListBullet"/>
              <w:rPr>
                <w:lang w:val="en-NZ"/>
              </w:rPr>
            </w:pPr>
            <w:r w:rsidRPr="00114D33">
              <w:t>management of the staging of at least one complex event.</w:t>
            </w: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14D33" w:rsidP="00114D33">
            <w:pPr>
              <w:pStyle w:val="BodyText"/>
            </w:pPr>
            <w:r w:rsidRPr="00114D33">
              <w:t>Assessment must ensure:</w:t>
            </w:r>
          </w:p>
          <w:p w:rsidR="00000000" w:rsidRPr="00114D33" w:rsidP="00114D33">
            <w:pPr>
              <w:pStyle w:val="ListBullet"/>
            </w:pPr>
            <w:r w:rsidRPr="00114D33">
              <w:t>access to an event venue</w:t>
            </w:r>
          </w:p>
          <w:p w:rsidR="00000000" w:rsidRPr="00114D33" w:rsidP="00114D33">
            <w:pPr>
              <w:pStyle w:val="ListBullet"/>
            </w:pPr>
            <w:r w:rsidRPr="00114D33">
              <w:t>access to all equipment required for the staging of an event</w:t>
            </w:r>
          </w:p>
          <w:p w:rsidR="00000000" w:rsidP="00114D33">
            <w:pPr>
              <w:pStyle w:val="ListBullet"/>
              <w:rPr>
                <w:lang w:val="en-NZ"/>
              </w:rPr>
            </w:pPr>
            <w:r w:rsidRPr="00114D33">
              <w:t>liaison with and involvement of multiple contractors.</w:t>
            </w: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14D33" w:rsidP="00114D33">
            <w:pPr>
              <w:pStyle w:val="BodyText"/>
            </w:pPr>
            <w:r w:rsidRPr="00114D33">
              <w:t xml:space="preserve">A range of assessment methods should be used to assess practical </w:t>
            </w:r>
            <w:r w:rsidRPr="00114D33">
              <w:t xml:space="preserve">skills and knowledge. The following examples are appropriate for this unit: </w:t>
            </w:r>
          </w:p>
          <w:p w:rsidR="00000000" w:rsidRPr="00114D33" w:rsidP="00114D33">
            <w:pPr>
              <w:pStyle w:val="ListBullet"/>
            </w:pPr>
            <w:r w:rsidRPr="00114D33">
              <w:t>evaluation of the staging of an event managed by the candidate through attendance at the event</w:t>
            </w:r>
          </w:p>
          <w:p w:rsidR="00000000" w:rsidRPr="00114D33" w:rsidP="00114D33">
            <w:pPr>
              <w:pStyle w:val="ListBullet"/>
            </w:pPr>
            <w:r w:rsidRPr="00114D33">
              <w:t>review of documentation used to manage staging contractors prepared by the candidate</w:t>
            </w:r>
          </w:p>
          <w:p w:rsidR="00000000" w:rsidRPr="00114D33" w:rsidP="00114D33">
            <w:pPr>
              <w:pStyle w:val="ListBullet"/>
            </w:pPr>
            <w:r w:rsidRPr="00114D33">
              <w:t>questioning of contractors to assess the organisational skills of the candidate</w:t>
            </w:r>
          </w:p>
          <w:p w:rsidR="00000000" w:rsidRPr="00114D33" w:rsidP="00114D33">
            <w:pPr>
              <w:pStyle w:val="ListBullet"/>
            </w:pPr>
            <w:r w:rsidRPr="00114D33">
              <w:t>case studies to assess ability to determine staging requirements for different events</w:t>
            </w:r>
          </w:p>
          <w:p w:rsidR="00000000" w:rsidRPr="00114D33" w:rsidP="00114D33">
            <w:pPr>
              <w:pStyle w:val="ListBullet"/>
            </w:pPr>
            <w:r w:rsidRPr="00114D33">
              <w:t xml:space="preserve">oral </w:t>
            </w:r>
            <w:r w:rsidRPr="00114D33">
              <w:t>or written questions to assess knowledge of key staging services and relevant terminology</w:t>
            </w:r>
          </w:p>
          <w:p w:rsidR="00000000" w:rsidRPr="00114D33" w:rsidP="00114D33">
            <w:pPr>
              <w:pStyle w:val="ListBullet"/>
            </w:pPr>
            <w:r w:rsidRPr="00114D33">
              <w:t>review of portfolios of evidence and third-party workplace reports of on-the-job performance by the candidate.</w:t>
            </w:r>
          </w:p>
          <w:p w:rsidR="00000000" w:rsidP="00114D33">
            <w:pPr>
              <w:pStyle w:val="BodyText"/>
              <w:rPr>
                <w:lang w:val="en-NZ"/>
              </w:rPr>
            </w:pPr>
            <w:r w:rsidRPr="00114D33">
              <w:t>Holistic assessment with other units relevant to the in</w:t>
            </w:r>
            <w:r w:rsidRPr="00114D33">
              <w:t>dustry sector, workplace and job role is recommended.</w:t>
            </w: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14D33" w:rsidP="00114D33">
            <w:pPr>
              <w:pStyle w:val="BodyText"/>
            </w:pPr>
            <w:r w:rsidRPr="00114D33">
              <w:t>Employability skills are integral to effective performance in the workplace and are broadly consistent across industry sectors. How these skills are applied varies bet</w:t>
            </w:r>
            <w:r w:rsidRPr="00114D33">
              <w:t>ween occupations and qualifications due to the different work functions and contexts.</w:t>
            </w:r>
          </w:p>
          <w:p w:rsidR="00000000" w:rsidRPr="00114D33" w:rsidP="00114D33">
            <w:pPr>
              <w:pStyle w:val="BodyText"/>
            </w:pPr>
            <w:r w:rsidRPr="00114D33">
              <w:t>Employability skills embedded in this unit should be assessed holistically with other relevant units that make up the skill set or qualification and in the context of the</w:t>
            </w:r>
            <w:r w:rsidRPr="00114D33">
              <w:t xml:space="preserve"> job role.</w:t>
            </w:r>
          </w:p>
        </w:tc>
      </w:tr>
    </w:tbl>
    <w:p w:rsidR="009B516F" w:rsidP="00114D33">
      <w:pPr>
        <w:pStyle w:val="BodyText"/>
      </w:pPr>
    </w:p>
    <w:p w:rsidR="009B516F" w:rsidP="00114D33">
      <w:pPr>
        <w:pStyle w:val="BodyText"/>
      </w:pPr>
    </w:p>
    <w:p w:rsidR="00000000" w:rsidRPr="00114D33" w:rsidP="00114D33">
      <w:pPr>
        <w:pStyle w:val="Heading1"/>
      </w:pPr>
      <w:bookmarkStart w:id="11" w:name="O_148381"/>
      <w:bookmarkEnd w:id="11"/>
      <w:r w:rsidRPr="00114D33">
        <w:t>Range Statement</w:t>
      </w:r>
    </w:p>
    <w:tbl>
      <w:tblPr>
        <w:tblW w:w="0" w:type="auto"/>
        <w:tblLayout w:type="fixed"/>
        <w:tblCellMar>
          <w:left w:w="62" w:type="dxa"/>
          <w:right w:w="62" w:type="dxa"/>
        </w:tblCellMar>
        <w:tblLook w:val="0000"/>
      </w:tblPr>
      <w:tblGrid>
        <w:gridCol w:w="3345"/>
        <w:gridCol w:w="5835"/>
      </w:tblGrid>
      <w:tr w:rsidTr="009B516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SpecialBold"/>
              </w:rPr>
              <w:t>RANGE STATEMENT</w:t>
            </w:r>
          </w:p>
        </w:tc>
      </w:tr>
      <w:tr w:rsidTr="009B516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t xml:space="preserve">The range statement relates to the unit of competency as a whole. It allows for different work environments and situations that may affect </w:t>
            </w:r>
            <w:r w:rsidRPr="00114D33">
              <w:t>performance. Bold italicised wording in the performance criteria is detailed below.</w:t>
            </w:r>
          </w:p>
        </w:tc>
      </w:tr>
      <w:tr w:rsidTr="009B516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BoldandItalics"/>
              </w:rPr>
              <w:t>Event staging requirements</w:t>
            </w:r>
            <w:r w:rsidRPr="00114D33">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114D33" w:rsidP="00114D33">
            <w:pPr>
              <w:pStyle w:val="ListBullet"/>
            </w:pPr>
            <w:r w:rsidRPr="00114D33">
              <w:t>exhibition set-up</w:t>
            </w:r>
          </w:p>
          <w:p w:rsidR="00000000" w:rsidRPr="00114D33" w:rsidP="00114D33">
            <w:pPr>
              <w:pStyle w:val="ListBullet"/>
            </w:pPr>
            <w:r w:rsidRPr="00114D33">
              <w:t>audiovisual</w:t>
            </w:r>
          </w:p>
          <w:p w:rsidR="00000000" w:rsidRPr="00114D33" w:rsidP="00114D33">
            <w:pPr>
              <w:pStyle w:val="ListBullet"/>
            </w:pPr>
            <w:r w:rsidRPr="00114D33">
              <w:t>disabled and emergency access</w:t>
            </w:r>
          </w:p>
          <w:p w:rsidR="00000000" w:rsidRPr="00114D33" w:rsidP="00114D33">
            <w:pPr>
              <w:pStyle w:val="ListBullet"/>
            </w:pPr>
            <w:r w:rsidRPr="00114D33">
              <w:t>display and decoration</w:t>
            </w:r>
          </w:p>
          <w:p w:rsidR="00000000" w:rsidRPr="00114D33" w:rsidP="00114D33">
            <w:pPr>
              <w:pStyle w:val="ListBullet"/>
            </w:pPr>
            <w:r w:rsidRPr="00114D33">
              <w:t>furniture and temporary structures</w:t>
            </w:r>
          </w:p>
          <w:p w:rsidR="00000000" w:rsidRPr="00114D33" w:rsidP="00114D33">
            <w:pPr>
              <w:pStyle w:val="ListBullet"/>
            </w:pPr>
            <w:r w:rsidRPr="00114D33">
              <w:t>special effects</w:t>
            </w:r>
          </w:p>
          <w:p w:rsidR="00000000" w:rsidRPr="00114D33" w:rsidP="00114D33">
            <w:pPr>
              <w:pStyle w:val="ListBullet"/>
            </w:pPr>
            <w:r w:rsidRPr="00114D33">
              <w:t>entertainment</w:t>
            </w:r>
          </w:p>
          <w:p w:rsidR="00000000" w:rsidRPr="00114D33" w:rsidP="00114D33">
            <w:pPr>
              <w:pStyle w:val="ListBullet"/>
            </w:pPr>
            <w:r w:rsidRPr="00114D33">
              <w:t>sound and lighting</w:t>
            </w:r>
          </w:p>
          <w:p w:rsidR="00000000" w:rsidRPr="00114D33" w:rsidP="00114D33">
            <w:pPr>
              <w:pStyle w:val="ListBullet"/>
            </w:pPr>
            <w:r w:rsidRPr="00114D33">
              <w:t>stage design</w:t>
            </w:r>
          </w:p>
          <w:p w:rsidR="00000000" w:rsidRPr="00114D33" w:rsidP="00114D33">
            <w:pPr>
              <w:pStyle w:val="ListBullet"/>
            </w:pPr>
            <w:r w:rsidRPr="00114D33">
              <w:t>rigging</w:t>
            </w:r>
          </w:p>
          <w:p w:rsidR="00000000" w:rsidRPr="00114D33" w:rsidP="00114D33">
            <w:pPr>
              <w:pStyle w:val="ListBullet"/>
            </w:pPr>
            <w:r w:rsidRPr="00114D33">
              <w:t>catering and catering set-up</w:t>
            </w:r>
          </w:p>
          <w:p w:rsidR="00000000" w:rsidP="00114D33">
            <w:pPr>
              <w:pStyle w:val="ListBullet"/>
              <w:rPr>
                <w:lang w:val="en-NZ"/>
              </w:rPr>
            </w:pPr>
            <w:r w:rsidRPr="00114D33">
              <w:t>security.</w:t>
            </w: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BoldandItalics"/>
              </w:rPr>
              <w:t>Key stakeholders</w:t>
            </w:r>
            <w:r w:rsidRPr="00114D3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14D33" w:rsidP="00114D33">
            <w:pPr>
              <w:pStyle w:val="ListBullet"/>
            </w:pPr>
            <w:r w:rsidRPr="00114D33">
              <w:t>attendees, delegates, guests or participants</w:t>
            </w:r>
          </w:p>
          <w:p w:rsidR="00000000" w:rsidRPr="00114D33" w:rsidP="00114D33">
            <w:pPr>
              <w:pStyle w:val="ListBullet"/>
            </w:pPr>
            <w:r w:rsidRPr="00114D33">
              <w:t>clients or host organisation</w:t>
            </w:r>
          </w:p>
          <w:p w:rsidR="00000000" w:rsidRPr="00114D33" w:rsidP="00114D33">
            <w:pPr>
              <w:pStyle w:val="ListBullet"/>
            </w:pPr>
            <w:r w:rsidRPr="00114D33">
              <w:t>contractors and suppliers</w:t>
            </w:r>
          </w:p>
          <w:p w:rsidR="00000000" w:rsidRPr="00114D33" w:rsidP="00114D33">
            <w:pPr>
              <w:pStyle w:val="ListBullet"/>
            </w:pPr>
            <w:r w:rsidRPr="00114D33">
              <w:t>sponsors</w:t>
            </w:r>
          </w:p>
          <w:p w:rsidR="00000000" w:rsidRPr="00114D33" w:rsidP="00114D33">
            <w:pPr>
              <w:pStyle w:val="ListBullet"/>
            </w:pPr>
            <w:r w:rsidRPr="00114D33">
              <w:t>emergency services</w:t>
            </w:r>
          </w:p>
          <w:p w:rsidR="00000000" w:rsidP="00114D33">
            <w:pPr>
              <w:pStyle w:val="ListBullet"/>
              <w:rPr>
                <w:lang w:val="en-NZ"/>
              </w:rPr>
            </w:pPr>
            <w:r w:rsidRPr="00114D33">
              <w:t>regulatory authorities.</w:t>
            </w: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BoldandItalics"/>
              </w:rPr>
              <w:t>Contractors</w:t>
            </w:r>
            <w:r w:rsidRPr="00114D3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14D33" w:rsidP="00114D33">
            <w:pPr>
              <w:pStyle w:val="ListBullet"/>
            </w:pPr>
            <w:r w:rsidRPr="00114D33">
              <w:t>venues and sites</w:t>
            </w:r>
          </w:p>
          <w:p w:rsidR="00000000" w:rsidRPr="00114D33" w:rsidP="00114D33">
            <w:pPr>
              <w:pStyle w:val="ListBullet"/>
            </w:pPr>
            <w:r w:rsidRPr="00114D33">
              <w:t>speakers and entertainers</w:t>
            </w:r>
          </w:p>
          <w:p w:rsidR="00000000" w:rsidRPr="00114D33" w:rsidP="00114D33">
            <w:pPr>
              <w:pStyle w:val="ListBullet"/>
            </w:pPr>
            <w:r w:rsidRPr="00114D33">
              <w:t>staging and technical specialists, including pyrotechnicians, special effects, sound and lighting</w:t>
            </w:r>
          </w:p>
          <w:p w:rsidR="00000000" w:rsidRPr="00114D33" w:rsidP="00114D33">
            <w:pPr>
              <w:pStyle w:val="ListBullet"/>
            </w:pPr>
            <w:r w:rsidRPr="00114D33">
              <w:t>display suppliers</w:t>
            </w:r>
          </w:p>
          <w:p w:rsidR="00000000" w:rsidRPr="00114D33" w:rsidP="00114D33">
            <w:pPr>
              <w:pStyle w:val="ListBullet"/>
            </w:pPr>
            <w:r w:rsidRPr="00114D33">
              <w:t>caterers</w:t>
            </w:r>
          </w:p>
          <w:p w:rsidR="00000000" w:rsidP="00114D33">
            <w:pPr>
              <w:pStyle w:val="ListBullet"/>
              <w:rPr>
                <w:lang w:val="en-NZ"/>
              </w:rPr>
            </w:pPr>
            <w:r w:rsidRPr="00114D33">
              <w:t>equipment hire companies.</w:t>
            </w: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BoldandItalics"/>
              </w:rPr>
              <w:t>Staging specifications</w:t>
            </w:r>
            <w:r w:rsidRPr="00114D33">
              <w:t xml:space="preserve"> may include or relate to:</w:t>
            </w:r>
          </w:p>
        </w:tc>
        <w:tc>
          <w:tcPr>
            <w:tcW w:w="5835" w:type="dxa"/>
            <w:tcBorders>
              <w:top w:val="nil"/>
              <w:left w:val="nil"/>
              <w:bottom w:val="nil"/>
              <w:right w:val="nil"/>
            </w:tcBorders>
            <w:tcMar>
              <w:top w:w="0" w:type="dxa"/>
              <w:left w:w="62" w:type="dxa"/>
              <w:bottom w:w="0" w:type="dxa"/>
              <w:right w:w="62" w:type="dxa"/>
            </w:tcMar>
          </w:tcPr>
          <w:p w:rsidR="00000000" w:rsidRPr="00114D33" w:rsidP="00114D33">
            <w:pPr>
              <w:pStyle w:val="ListBullet"/>
            </w:pPr>
            <w:r w:rsidRPr="00114D33">
              <w:t>price</w:t>
            </w:r>
          </w:p>
          <w:p w:rsidR="00000000" w:rsidRPr="00114D33" w:rsidP="00114D33">
            <w:pPr>
              <w:pStyle w:val="ListBullet"/>
            </w:pPr>
            <w:r w:rsidRPr="00114D33">
              <w:t>performance standards</w:t>
            </w:r>
          </w:p>
          <w:p w:rsidR="00000000" w:rsidRPr="00114D33" w:rsidP="00114D33">
            <w:pPr>
              <w:pStyle w:val="ListBullet"/>
            </w:pPr>
            <w:r w:rsidRPr="00114D33">
              <w:t>timelines</w:t>
            </w:r>
          </w:p>
          <w:p w:rsidR="00000000" w:rsidRPr="00114D33" w:rsidP="00114D33">
            <w:pPr>
              <w:pStyle w:val="ListBullet"/>
            </w:pPr>
            <w:r w:rsidRPr="00114D33">
              <w:t>technical specifications for such things as equipment</w:t>
            </w:r>
          </w:p>
          <w:p w:rsidR="00000000" w:rsidRPr="00114D33" w:rsidP="00114D33">
            <w:pPr>
              <w:pStyle w:val="ListBullet"/>
            </w:pPr>
            <w:r w:rsidRPr="00114D33">
              <w:t>theme-related requirements</w:t>
            </w:r>
          </w:p>
          <w:p w:rsidR="00000000" w:rsidP="00114D33">
            <w:pPr>
              <w:pStyle w:val="ListBullet"/>
              <w:rPr>
                <w:lang w:val="en-NZ"/>
              </w:rPr>
            </w:pPr>
            <w:r w:rsidRPr="00114D33">
              <w:t>regulatory requirements.</w:t>
            </w: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p>
        </w:tc>
      </w:tr>
      <w:tr w:rsidTr="009B516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BoldandItalics"/>
              </w:rPr>
              <w:t>Staging adjustments</w:t>
            </w:r>
            <w:r w:rsidRPr="00114D33">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114D33" w:rsidP="00114D33">
            <w:pPr>
              <w:pStyle w:val="ListBullet"/>
            </w:pPr>
            <w:r w:rsidRPr="00114D33">
              <w:t>changes in numbers</w:t>
            </w:r>
          </w:p>
          <w:p w:rsidR="00000000" w:rsidRPr="00114D33" w:rsidP="00114D33">
            <w:pPr>
              <w:pStyle w:val="ListBullet"/>
            </w:pPr>
            <w:r w:rsidRPr="00114D33">
              <w:t>capacity of supplier to deliver quality outcome</w:t>
            </w:r>
          </w:p>
          <w:p w:rsidR="00000000" w:rsidRPr="00114D33" w:rsidP="00114D33">
            <w:pPr>
              <w:pStyle w:val="ListBullet"/>
            </w:pPr>
            <w:r w:rsidRPr="00114D33">
              <w:t>budgetary changes</w:t>
            </w:r>
          </w:p>
          <w:p w:rsidR="00000000" w:rsidRPr="00114D33" w:rsidP="00114D33">
            <w:pPr>
              <w:pStyle w:val="ListBullet"/>
            </w:pPr>
            <w:r w:rsidRPr="00114D33">
              <w:t>unexpected difficulties with staging components.</w:t>
            </w:r>
          </w:p>
        </w:tc>
      </w:tr>
    </w:tbl>
    <w:p w:rsidR="009B516F" w:rsidP="00114D33">
      <w:pPr>
        <w:pStyle w:val="BodyText"/>
      </w:pPr>
    </w:p>
    <w:p w:rsidR="009B516F" w:rsidP="00114D33">
      <w:pPr>
        <w:pStyle w:val="BodyText"/>
      </w:pPr>
    </w:p>
    <w:p w:rsidR="00000000" w:rsidRPr="00114D33" w:rsidP="00114D33">
      <w:pPr>
        <w:pStyle w:val="Heading1"/>
      </w:pPr>
      <w:bookmarkStart w:id="12" w:name="O_148382"/>
      <w:bookmarkEnd w:id="12"/>
      <w:r w:rsidRPr="00114D33">
        <w:t>Unit Sector(s)</w:t>
      </w:r>
    </w:p>
    <w:tbl>
      <w:tblPr>
        <w:tblW w:w="0" w:type="auto"/>
        <w:tblLayout w:type="fixed"/>
        <w:tblCellMar>
          <w:left w:w="62" w:type="dxa"/>
          <w:right w:w="62" w:type="dxa"/>
        </w:tblCellMar>
        <w:tblLook w:val="0000"/>
      </w:tblPr>
      <w:tblGrid>
        <w:gridCol w:w="2836"/>
        <w:gridCol w:w="6344"/>
      </w:tblGrid>
      <w:tr w:rsidTr="009B516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14D33" w:rsidP="00114D33">
            <w:pPr>
              <w:pStyle w:val="BodyText"/>
            </w:pPr>
            <w:r w:rsidRPr="00114D33">
              <w:t>Cross-Sector</w:t>
            </w:r>
          </w:p>
        </w:tc>
      </w:tr>
    </w:tbl>
    <w:p w:rsidR="00000000" w:rsidRPr="00114D33" w:rsidP="00114D33">
      <w:pPr>
        <w:pStyle w:val="BodyText"/>
      </w:pPr>
    </w:p>
    <w:p w:rsidR="00000000" w:rsidRPr="00114D33" w:rsidP="00114D33">
      <w:pPr>
        <w:pStyle w:val="AllowPageBreak"/>
      </w:pPr>
    </w:p>
    <w:p w:rsidR="00000000" w:rsidRPr="00114D33" w:rsidP="00114D33">
      <w:pPr>
        <w:pStyle w:val="Heading1"/>
      </w:pPr>
      <w:bookmarkStart w:id="13" w:name="O_163463"/>
      <w:bookmarkEnd w:id="13"/>
      <w:r w:rsidRPr="00114D33">
        <w:t>Competency field</w:t>
      </w:r>
    </w:p>
    <w:tbl>
      <w:tblPr>
        <w:tblW w:w="0" w:type="auto"/>
        <w:tblLayout w:type="fixed"/>
        <w:tblCellMar>
          <w:left w:w="62" w:type="dxa"/>
          <w:right w:w="62" w:type="dxa"/>
        </w:tblCellMar>
        <w:tblLook w:val="0000"/>
      </w:tblPr>
      <w:tblGrid>
        <w:gridCol w:w="2836"/>
        <w:gridCol w:w="6344"/>
      </w:tblGrid>
      <w:tr w:rsidTr="009B516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14D33">
            <w:pPr>
              <w:pStyle w:val="BodyText"/>
              <w:rPr>
                <w:lang w:val="en-NZ"/>
              </w:rPr>
            </w:pPr>
            <w:r w:rsidRPr="00114D33">
              <w:t>Event Management</w:t>
            </w:r>
          </w:p>
        </w:tc>
      </w:tr>
      <w:tr w:rsidTr="009B516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14D33" w:rsidP="00114D33">
            <w:pPr>
              <w:pStyle w:val="BodyText"/>
            </w:pPr>
          </w:p>
        </w:tc>
      </w:tr>
    </w:tbl>
    <w:p w:rsidR="00000000" w:rsidRPr="00114D33" w:rsidP="00114D33">
      <w:pPr>
        <w:pStyle w:val="BodyText"/>
      </w:pPr>
    </w:p>
    <w:p w:rsidR="00000000" w:rsidRPr="00114D33" w:rsidP="00114D33"/>
    <w:sectPr w:rsidSect="00114D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16F" w:rsidP="009B51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6F" w:rsidP="00114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B516F" w:rsidP="00114D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B516F" w:rsidP="00114D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16F" w:rsidP="009B516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6F" w:rsidP="00114D33">
    <w:pPr>
      <w:pStyle w:val="Header"/>
      <w:framePr w:wrap="around"/>
    </w:pPr>
    <w:r>
      <w:fldChar w:fldCharType="begin"/>
    </w:r>
    <w:r>
      <w:instrText xml:space="preserve"> TITLE   \* MERGEFORMAT </w:instrText>
    </w:r>
    <w:r>
      <w:fldChar w:fldCharType="separate"/>
    </w:r>
    <w:r>
      <w:t>SITXEVT013A Manage event staging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516F" w:rsidP="00114D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3AC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F49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126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D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4D33"/>
    <w:pPr>
      <w:spacing w:before="360" w:after="60"/>
      <w:outlineLvl w:val="0"/>
    </w:pPr>
    <w:rPr>
      <w:sz w:val="32"/>
    </w:rPr>
  </w:style>
  <w:style w:type="paragraph" w:styleId="Heading2">
    <w:name w:val="heading 2"/>
    <w:basedOn w:val="HeadingBase"/>
    <w:next w:val="BodyText"/>
    <w:link w:val="Heading2Char"/>
    <w:qFormat/>
    <w:rsid w:val="00114D33"/>
    <w:pPr>
      <w:keepLines/>
      <w:spacing w:before="240" w:after="120"/>
      <w:outlineLvl w:val="1"/>
    </w:pPr>
    <w:rPr>
      <w:sz w:val="28"/>
      <w:szCs w:val="40"/>
    </w:rPr>
  </w:style>
  <w:style w:type="paragraph" w:styleId="Heading3">
    <w:name w:val="heading 3"/>
    <w:basedOn w:val="HeadingBase"/>
    <w:next w:val="BodyText"/>
    <w:link w:val="Heading3Char"/>
    <w:qFormat/>
    <w:rsid w:val="00114D33"/>
    <w:pPr>
      <w:spacing w:before="180" w:after="120"/>
      <w:outlineLvl w:val="2"/>
    </w:pPr>
    <w:rPr>
      <w:spacing w:val="-10"/>
      <w:kern w:val="32"/>
    </w:rPr>
  </w:style>
  <w:style w:type="paragraph" w:styleId="Heading4">
    <w:name w:val="heading 4"/>
    <w:basedOn w:val="HeadingBase"/>
    <w:next w:val="BodyText"/>
    <w:link w:val="Heading4Char"/>
    <w:qFormat/>
    <w:rsid w:val="00114D33"/>
    <w:pPr>
      <w:spacing w:before="160" w:after="120"/>
      <w:outlineLvl w:val="3"/>
    </w:pPr>
    <w:rPr>
      <w:sz w:val="22"/>
    </w:rPr>
  </w:style>
  <w:style w:type="paragraph" w:styleId="Heading5">
    <w:name w:val="heading 5"/>
    <w:basedOn w:val="HeadingBase"/>
    <w:next w:val="Normal"/>
    <w:link w:val="Heading5Char"/>
    <w:qFormat/>
    <w:rsid w:val="00114D33"/>
    <w:pPr>
      <w:spacing w:before="80"/>
      <w:outlineLvl w:val="4"/>
    </w:pPr>
    <w:rPr>
      <w:color w:val="918585"/>
      <w:sz w:val="20"/>
    </w:rPr>
  </w:style>
  <w:style w:type="paragraph" w:styleId="Heading6">
    <w:name w:val="heading 6"/>
    <w:basedOn w:val="HeadingBase"/>
    <w:next w:val="Normal"/>
    <w:link w:val="Heading6Char"/>
    <w:qFormat/>
    <w:rsid w:val="00114D33"/>
    <w:pPr>
      <w:spacing w:before="60"/>
      <w:outlineLvl w:val="5"/>
    </w:pPr>
    <w:rPr>
      <w:color w:val="918585"/>
      <w:sz w:val="20"/>
    </w:rPr>
  </w:style>
  <w:style w:type="paragraph" w:styleId="Heading7">
    <w:name w:val="heading 7"/>
    <w:basedOn w:val="Normal"/>
    <w:next w:val="Normal"/>
    <w:link w:val="Heading7Char"/>
    <w:qFormat/>
    <w:rsid w:val="00114D33"/>
    <w:pPr>
      <w:ind w:left="720"/>
      <w:outlineLvl w:val="6"/>
    </w:pPr>
    <w:rPr>
      <w:i/>
    </w:rPr>
  </w:style>
  <w:style w:type="paragraph" w:styleId="Heading8">
    <w:name w:val="heading 8"/>
    <w:basedOn w:val="Normal"/>
    <w:next w:val="Normal"/>
    <w:link w:val="Heading8Char"/>
    <w:qFormat/>
    <w:rsid w:val="00114D33"/>
    <w:pPr>
      <w:ind w:left="720"/>
      <w:outlineLvl w:val="7"/>
    </w:pPr>
    <w:rPr>
      <w:i/>
    </w:rPr>
  </w:style>
  <w:style w:type="paragraph" w:styleId="Heading9">
    <w:name w:val="heading 9"/>
    <w:basedOn w:val="Normal"/>
    <w:next w:val="Normal"/>
    <w:link w:val="Heading9Char"/>
    <w:qFormat/>
    <w:rsid w:val="00114D33"/>
    <w:pPr>
      <w:ind w:left="720"/>
      <w:outlineLvl w:val="8"/>
    </w:pPr>
    <w:rPr>
      <w:i/>
    </w:rPr>
  </w:style>
  <w:style w:type="character" w:default="1" w:styleId="DefaultParagraphFont">
    <w:name w:val="Default Paragraph Font"/>
    <w:uiPriority w:val="1"/>
    <w:unhideWhenUsed/>
    <w:rsid w:val="00114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D33"/>
  </w:style>
  <w:style w:type="character" w:customStyle="1" w:styleId="Heading1Char">
    <w:name w:val="Heading 1 Char"/>
    <w:link w:val="Heading1"/>
    <w:rsid w:val="00114D33"/>
    <w:rPr>
      <w:rFonts w:ascii="Times New Roman" w:eastAsia="Times New Roman" w:hAnsi="Times New Roman" w:cs="Times New Roman"/>
      <w:b/>
      <w:sz w:val="32"/>
      <w:szCs w:val="20"/>
      <w:lang w:eastAsia="en-US"/>
    </w:rPr>
  </w:style>
  <w:style w:type="paragraph" w:styleId="BodyText">
    <w:name w:val="Body Text"/>
    <w:basedOn w:val="Normal"/>
    <w:link w:val="BodyTextChar"/>
    <w:rsid w:val="00114D33"/>
    <w:pPr>
      <w:spacing w:before="120" w:after="120"/>
      <w:contextualSpacing/>
    </w:pPr>
    <w:rPr>
      <w:rFonts w:ascii="Times New Roman" w:hAnsi="Times New Roman"/>
      <w:sz w:val="24"/>
      <w:szCs w:val="22"/>
    </w:rPr>
  </w:style>
  <w:style w:type="character" w:customStyle="1" w:styleId="BodyTextChar">
    <w:name w:val="Body Text Char"/>
    <w:link w:val="BodyText"/>
    <w:rsid w:val="00114D33"/>
    <w:rPr>
      <w:rFonts w:ascii="Times New Roman" w:eastAsia="Times New Roman" w:hAnsi="Times New Roman" w:cs="Times New Roman"/>
      <w:sz w:val="24"/>
      <w:lang w:val="en-US" w:eastAsia="en-US"/>
    </w:rPr>
  </w:style>
  <w:style w:type="paragraph" w:styleId="Footer">
    <w:name w:val="footer"/>
    <w:basedOn w:val="Normal"/>
    <w:link w:val="FooterChar"/>
    <w:rsid w:val="00114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4D33"/>
    <w:rPr>
      <w:rFonts w:ascii="Times New Roman" w:eastAsia="Times New Roman" w:hAnsi="Times New Roman" w:cs="Times New Roman"/>
      <w:sz w:val="16"/>
      <w:lang w:val="en-US" w:eastAsia="en-US"/>
    </w:rPr>
  </w:style>
  <w:style w:type="paragraph" w:styleId="List">
    <w:name w:val="List"/>
    <w:basedOn w:val="BodyText"/>
    <w:next w:val="BodyText"/>
    <w:rsid w:val="00114D33"/>
    <w:pPr>
      <w:tabs>
        <w:tab w:val="left" w:pos="340"/>
      </w:tabs>
      <w:spacing w:before="60" w:after="60"/>
      <w:ind w:left="340" w:hanging="340"/>
    </w:pPr>
  </w:style>
  <w:style w:type="paragraph" w:styleId="ListBullet">
    <w:name w:val="List Bullet"/>
    <w:basedOn w:val="List"/>
    <w:rsid w:val="00114D33"/>
    <w:pPr>
      <w:numPr>
        <w:numId w:val="13"/>
      </w:numPr>
      <w:tabs>
        <w:tab w:val="clear" w:pos="340"/>
      </w:tabs>
      <w:spacing w:before="40" w:after="40"/>
    </w:pPr>
  </w:style>
  <w:style w:type="character" w:customStyle="1" w:styleId="SpecialBold">
    <w:name w:val="Special Bold"/>
    <w:rsid w:val="00114D33"/>
    <w:rPr>
      <w:b/>
      <w:spacing w:val="0"/>
    </w:rPr>
  </w:style>
  <w:style w:type="paragraph" w:styleId="ListBullet2">
    <w:name w:val="List Bullet 2"/>
    <w:basedOn w:val="List2"/>
    <w:rsid w:val="00114D33"/>
    <w:pPr>
      <w:numPr>
        <w:numId w:val="14"/>
      </w:numPr>
      <w:tabs>
        <w:tab w:val="clear" w:pos="680"/>
      </w:tabs>
    </w:pPr>
  </w:style>
  <w:style w:type="paragraph" w:styleId="Header">
    <w:name w:val="header"/>
    <w:basedOn w:val="Normal"/>
    <w:link w:val="HeaderChar"/>
    <w:rsid w:val="00114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4D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4D33"/>
    <w:pPr>
      <w:spacing w:before="240" w:after="120"/>
      <w:outlineLvl w:val="0"/>
    </w:pPr>
    <w:rPr>
      <w:rFonts w:ascii="Times New Roman" w:hAnsi="Times New Roman"/>
      <w:b/>
      <w:sz w:val="28"/>
    </w:rPr>
  </w:style>
  <w:style w:type="paragraph" w:customStyle="1" w:styleId="AllowPageBreak">
    <w:name w:val="AllowPageBreak"/>
    <w:rsid w:val="00114D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14D33"/>
    <w:rPr>
      <w:b/>
      <w:i/>
      <w:u w:val="none"/>
    </w:rPr>
  </w:style>
  <w:style w:type="character" w:customStyle="1" w:styleId="Heading2Char">
    <w:name w:val="Heading 2 Char"/>
    <w:link w:val="Heading2"/>
    <w:rsid w:val="00114D33"/>
    <w:rPr>
      <w:rFonts w:ascii="Times New Roman" w:eastAsia="Times New Roman" w:hAnsi="Times New Roman" w:cs="Times New Roman"/>
      <w:b/>
      <w:sz w:val="28"/>
      <w:szCs w:val="40"/>
      <w:lang w:eastAsia="en-US"/>
    </w:rPr>
  </w:style>
  <w:style w:type="character" w:customStyle="1" w:styleId="Heading3Char">
    <w:name w:val="Heading 3 Char"/>
    <w:link w:val="Heading3"/>
    <w:rsid w:val="00114D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4D33"/>
    <w:rPr>
      <w:rFonts w:ascii="Times New Roman" w:eastAsia="Times New Roman" w:hAnsi="Times New Roman" w:cs="Times New Roman"/>
      <w:b/>
      <w:szCs w:val="20"/>
      <w:lang w:eastAsia="en-US"/>
    </w:rPr>
  </w:style>
  <w:style w:type="character" w:customStyle="1" w:styleId="Heading5Char">
    <w:name w:val="Heading 5 Char"/>
    <w:link w:val="Heading5"/>
    <w:rsid w:val="00114D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4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D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4D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4D33"/>
    <w:rPr>
      <w:rFonts w:ascii="Courier New" w:eastAsia="Times New Roman" w:hAnsi="Courier New" w:cs="Times New Roman"/>
      <w:i/>
      <w:szCs w:val="20"/>
      <w:lang w:val="en-US" w:eastAsia="en-US"/>
    </w:rPr>
  </w:style>
  <w:style w:type="paragraph" w:customStyle="1" w:styleId="HeadingBase">
    <w:name w:val="Heading Base"/>
    <w:rsid w:val="00114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D33"/>
    <w:pPr>
      <w:tabs>
        <w:tab w:val="right" w:leader="dot" w:pos="9072"/>
      </w:tabs>
      <w:ind w:left="567"/>
    </w:pPr>
    <w:rPr>
      <w:szCs w:val="22"/>
    </w:rPr>
  </w:style>
  <w:style w:type="paragraph" w:customStyle="1" w:styleId="TOCBase">
    <w:name w:val="TOC Base"/>
    <w:rsid w:val="00114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D33"/>
    <w:pPr>
      <w:tabs>
        <w:tab w:val="right" w:leader="dot" w:pos="9072"/>
      </w:tabs>
      <w:spacing w:before="40" w:after="40"/>
      <w:ind w:left="284"/>
    </w:pPr>
    <w:rPr>
      <w:rFonts w:ascii="Times New Roman" w:hAnsi="Times New Roman"/>
    </w:rPr>
  </w:style>
  <w:style w:type="paragraph" w:styleId="TOC1">
    <w:name w:val="toc 1"/>
    <w:basedOn w:val="TOCBase"/>
    <w:next w:val="Normal"/>
    <w:rsid w:val="00114D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4D33"/>
    <w:pPr>
      <w:spacing w:before="5040"/>
      <w:jc w:val="center"/>
    </w:pPr>
    <w:rPr>
      <w:sz w:val="48"/>
      <w:szCs w:val="72"/>
      <w:lang w:val="en-US"/>
    </w:rPr>
  </w:style>
  <w:style w:type="character" w:customStyle="1" w:styleId="TitleChar">
    <w:name w:val="Title Char"/>
    <w:link w:val="Title"/>
    <w:rsid w:val="00114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D33"/>
    <w:pPr>
      <w:tabs>
        <w:tab w:val="left" w:pos="3600"/>
        <w:tab w:val="left" w:pos="3958"/>
      </w:tabs>
    </w:pPr>
  </w:style>
  <w:style w:type="paragraph" w:customStyle="1" w:styleId="Note">
    <w:name w:val="Note"/>
    <w:basedOn w:val="BodyText"/>
    <w:rsid w:val="00114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D33"/>
    <w:pPr>
      <w:framePr w:wrap="auto" w:hAnchor="text" w:y="6049"/>
    </w:pPr>
    <w:rPr>
      <w:color w:val="000000"/>
      <w:sz w:val="40"/>
    </w:rPr>
  </w:style>
  <w:style w:type="paragraph" w:customStyle="1" w:styleId="TOCTitle">
    <w:name w:val="TOCTitle"/>
    <w:basedOn w:val="Heading1"/>
    <w:rsid w:val="00114D33"/>
    <w:pPr>
      <w:spacing w:after="240"/>
      <w:jc w:val="center"/>
      <w:outlineLvl w:val="9"/>
    </w:pPr>
    <w:rPr>
      <w:caps/>
    </w:rPr>
  </w:style>
  <w:style w:type="paragraph" w:customStyle="1" w:styleId="Version">
    <w:name w:val="Version"/>
    <w:rsid w:val="00114D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D33"/>
    <w:pPr>
      <w:keepNext w:val="0"/>
      <w:tabs>
        <w:tab w:val="right" w:pos="4176"/>
      </w:tabs>
      <w:ind w:left="198" w:hanging="198"/>
    </w:pPr>
    <w:rPr>
      <w:rFonts w:ascii="Garamond" w:hAnsi="Garamond"/>
    </w:rPr>
  </w:style>
  <w:style w:type="paragraph" w:styleId="IndexHeading">
    <w:name w:val="index heading"/>
    <w:basedOn w:val="Normal"/>
    <w:next w:val="Index1"/>
    <w:semiHidden/>
    <w:rsid w:val="00114D33"/>
    <w:pPr>
      <w:spacing w:before="120" w:after="120"/>
    </w:pPr>
    <w:rPr>
      <w:rFonts w:ascii="Arial" w:hAnsi="Arial"/>
      <w:b/>
      <w:color w:val="918585"/>
      <w:sz w:val="24"/>
    </w:rPr>
  </w:style>
  <w:style w:type="paragraph" w:customStyle="1" w:styleId="Chapter">
    <w:name w:val="Chapter"/>
    <w:basedOn w:val="Normal"/>
    <w:rsid w:val="00114D33"/>
    <w:pPr>
      <w:spacing w:before="240"/>
    </w:pPr>
    <w:rPr>
      <w:rFonts w:ascii="Times New Roman" w:hAnsi="Times New Roman"/>
      <w:smallCaps/>
      <w:spacing w:val="80"/>
      <w:sz w:val="28"/>
    </w:rPr>
  </w:style>
  <w:style w:type="paragraph" w:customStyle="1" w:styleId="InChapter">
    <w:name w:val="InChapter"/>
    <w:basedOn w:val="Heading3"/>
    <w:rsid w:val="00114D33"/>
    <w:pPr>
      <w:spacing w:after="240"/>
      <w:outlineLvl w:val="9"/>
    </w:pPr>
    <w:rPr>
      <w:noProof/>
    </w:rPr>
  </w:style>
  <w:style w:type="paragraph" w:styleId="Index2">
    <w:name w:val="index 2"/>
    <w:basedOn w:val="Normal"/>
    <w:next w:val="Normal"/>
    <w:semiHidden/>
    <w:rsid w:val="00114D33"/>
    <w:pPr>
      <w:tabs>
        <w:tab w:val="right" w:pos="4176"/>
      </w:tabs>
      <w:ind w:left="568" w:hanging="284"/>
    </w:pPr>
    <w:rPr>
      <w:rFonts w:ascii="Garamond" w:hAnsi="Garamond"/>
    </w:rPr>
  </w:style>
  <w:style w:type="paragraph" w:customStyle="1" w:styleId="Byline">
    <w:name w:val="Byline"/>
    <w:rsid w:val="00114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D33"/>
    <w:pPr>
      <w:tabs>
        <w:tab w:val="clear" w:pos="3600"/>
        <w:tab w:val="clear" w:pos="3958"/>
      </w:tabs>
      <w:jc w:val="right"/>
    </w:pPr>
  </w:style>
  <w:style w:type="character" w:styleId="Emphasis">
    <w:name w:val="Emphasis"/>
    <w:qFormat/>
    <w:rsid w:val="00114D33"/>
    <w:rPr>
      <w:i/>
    </w:rPr>
  </w:style>
  <w:style w:type="paragraph" w:styleId="Caption">
    <w:name w:val="caption"/>
    <w:basedOn w:val="BodyText"/>
    <w:next w:val="Normal"/>
    <w:qFormat/>
    <w:rsid w:val="00114D33"/>
    <w:pPr>
      <w:framePr w:w="2268" w:hSpace="181" w:vSpace="181" w:wrap="around" w:vAnchor="text" w:hAnchor="page" w:x="1135" w:y="285" w:anchorLock="1"/>
    </w:pPr>
    <w:rPr>
      <w:i/>
    </w:rPr>
  </w:style>
  <w:style w:type="paragraph" w:customStyle="1" w:styleId="MiniTOCTitle">
    <w:name w:val="MiniTOCTitle"/>
    <w:basedOn w:val="Heading4"/>
    <w:rsid w:val="00114D33"/>
    <w:pPr>
      <w:spacing w:before="240"/>
      <w:outlineLvl w:val="9"/>
    </w:pPr>
    <w:rPr>
      <w:noProof/>
      <w:sz w:val="24"/>
    </w:rPr>
  </w:style>
  <w:style w:type="paragraph" w:customStyle="1" w:styleId="MiniTOCItem">
    <w:name w:val="MiniTOCItem"/>
    <w:basedOn w:val="ListBullet"/>
    <w:rsid w:val="00114D33"/>
    <w:pPr>
      <w:numPr>
        <w:numId w:val="0"/>
      </w:numPr>
      <w:tabs>
        <w:tab w:val="right" w:leader="dot" w:pos="6521"/>
      </w:tabs>
      <w:spacing w:before="0" w:after="0"/>
    </w:pPr>
  </w:style>
  <w:style w:type="paragraph" w:customStyle="1" w:styleId="TOFTitle">
    <w:name w:val="TOFTitle"/>
    <w:basedOn w:val="TOCTitle"/>
    <w:rsid w:val="00114D33"/>
  </w:style>
  <w:style w:type="paragraph" w:styleId="TableofFigures">
    <w:name w:val="table of figures"/>
    <w:basedOn w:val="Normal"/>
    <w:next w:val="Normal"/>
    <w:semiHidden/>
    <w:rsid w:val="00114D33"/>
    <w:pPr>
      <w:tabs>
        <w:tab w:val="right" w:leader="dot" w:pos="9072"/>
      </w:tabs>
      <w:ind w:left="970" w:hanging="403"/>
    </w:pPr>
    <w:rPr>
      <w:rFonts w:ascii="Times New Roman" w:hAnsi="Times New Roman"/>
      <w:b/>
    </w:rPr>
  </w:style>
  <w:style w:type="paragraph" w:styleId="ListNumber">
    <w:name w:val="List Number"/>
    <w:basedOn w:val="List"/>
    <w:rsid w:val="00114D33"/>
    <w:pPr>
      <w:numPr>
        <w:numId w:val="11"/>
      </w:numPr>
    </w:pPr>
  </w:style>
  <w:style w:type="character" w:customStyle="1" w:styleId="WingdingSymbols">
    <w:name w:val="Wingding Symbols"/>
    <w:rsid w:val="00114D33"/>
    <w:rPr>
      <w:rFonts w:ascii="Wingdings" w:hAnsi="Wingdings"/>
    </w:rPr>
  </w:style>
  <w:style w:type="paragraph" w:customStyle="1" w:styleId="TableHeading">
    <w:name w:val="Table Heading"/>
    <w:basedOn w:val="HeadingBase"/>
    <w:rsid w:val="00114D33"/>
    <w:pPr>
      <w:keepLines/>
      <w:pBdr>
        <w:bottom w:val="single" w:sz="6" w:space="1" w:color="918585"/>
      </w:pBdr>
      <w:spacing w:before="240"/>
    </w:pPr>
  </w:style>
  <w:style w:type="character" w:customStyle="1" w:styleId="HotSpot">
    <w:name w:val="HotSpot"/>
    <w:rsid w:val="00114D33"/>
    <w:rPr>
      <w:color w:val="0033CC"/>
      <w:u w:val="none"/>
    </w:rPr>
  </w:style>
  <w:style w:type="paragraph" w:customStyle="1" w:styleId="BodyTextRight">
    <w:name w:val="Body Text Right"/>
    <w:basedOn w:val="BodyText"/>
    <w:rsid w:val="00114D33"/>
    <w:pPr>
      <w:spacing w:before="0" w:after="0"/>
      <w:jc w:val="right"/>
    </w:pPr>
  </w:style>
  <w:style w:type="paragraph" w:styleId="Index3">
    <w:name w:val="index 3"/>
    <w:basedOn w:val="ListNumber2"/>
    <w:next w:val="Normal"/>
    <w:semiHidden/>
    <w:rsid w:val="00114D33"/>
    <w:pPr>
      <w:numPr>
        <w:numId w:val="0"/>
      </w:numPr>
      <w:tabs>
        <w:tab w:val="right" w:leader="dot" w:pos="4176"/>
      </w:tabs>
    </w:pPr>
  </w:style>
  <w:style w:type="paragraph" w:styleId="ListNumber2">
    <w:name w:val="List Number 2"/>
    <w:basedOn w:val="List2"/>
    <w:rsid w:val="00114D33"/>
    <w:pPr>
      <w:numPr>
        <w:numId w:val="10"/>
      </w:numPr>
      <w:tabs>
        <w:tab w:val="clear" w:pos="1060"/>
      </w:tabs>
    </w:pPr>
  </w:style>
  <w:style w:type="paragraph" w:customStyle="1" w:styleId="MarginNote">
    <w:name w:val="Margin Note"/>
    <w:basedOn w:val="BodyText"/>
    <w:rsid w:val="00114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4D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4D33"/>
    <w:rPr>
      <w:sz w:val="32"/>
    </w:rPr>
  </w:style>
  <w:style w:type="paragraph" w:customStyle="1" w:styleId="HeadingProcedure">
    <w:name w:val="Heading Procedure"/>
    <w:basedOn w:val="HeadingBase"/>
    <w:next w:val="Normal"/>
    <w:rsid w:val="00114D33"/>
    <w:pPr>
      <w:tabs>
        <w:tab w:val="left" w:pos="0"/>
      </w:tabs>
      <w:spacing w:before="120" w:after="60"/>
    </w:pPr>
    <w:rPr>
      <w:i/>
      <w:color w:val="918585"/>
      <w:sz w:val="22"/>
    </w:rPr>
  </w:style>
  <w:style w:type="paragraph" w:customStyle="1" w:styleId="TableBodyText">
    <w:name w:val="Table Body Text"/>
    <w:basedOn w:val="BodyText"/>
    <w:rsid w:val="00114D33"/>
    <w:pPr>
      <w:spacing w:before="60" w:after="60"/>
    </w:pPr>
  </w:style>
  <w:style w:type="paragraph" w:styleId="ListContinue">
    <w:name w:val="List Continue"/>
    <w:basedOn w:val="List"/>
    <w:rsid w:val="00114D33"/>
    <w:pPr>
      <w:ind w:firstLine="0"/>
    </w:pPr>
  </w:style>
  <w:style w:type="paragraph" w:customStyle="1" w:styleId="ListNote">
    <w:name w:val="List Note"/>
    <w:basedOn w:val="List"/>
    <w:rsid w:val="00114D33"/>
    <w:pPr>
      <w:pBdr>
        <w:top w:val="single" w:sz="6" w:space="2" w:color="918585"/>
        <w:bottom w:val="single" w:sz="6" w:space="2" w:color="918585"/>
      </w:pBdr>
      <w:tabs>
        <w:tab w:val="left" w:pos="1021"/>
      </w:tabs>
      <w:ind w:firstLine="0"/>
    </w:pPr>
  </w:style>
  <w:style w:type="paragraph" w:customStyle="1" w:styleId="Warning">
    <w:name w:val="Warning"/>
    <w:basedOn w:val="BodyText"/>
    <w:rsid w:val="00114D33"/>
    <w:pPr>
      <w:shd w:val="clear" w:color="auto" w:fill="D9D9D9"/>
      <w:tabs>
        <w:tab w:val="left" w:pos="992"/>
      </w:tabs>
      <w:ind w:left="119" w:right="119"/>
    </w:pPr>
    <w:rPr>
      <w:sz w:val="20"/>
    </w:rPr>
  </w:style>
  <w:style w:type="paragraph" w:customStyle="1" w:styleId="MarginIcons">
    <w:name w:val="Margin Icons"/>
    <w:basedOn w:val="BodyText"/>
    <w:rsid w:val="00114D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4D33"/>
    <w:rPr>
      <w:rFonts w:ascii="Courier New" w:hAnsi="Courier New"/>
    </w:rPr>
  </w:style>
  <w:style w:type="paragraph" w:customStyle="1" w:styleId="NoteBullet">
    <w:name w:val="Note Bullet"/>
    <w:basedOn w:val="Note"/>
    <w:rsid w:val="00114D33"/>
    <w:pPr>
      <w:tabs>
        <w:tab w:val="clear" w:pos="680"/>
      </w:tabs>
      <w:spacing w:before="60" w:after="60"/>
    </w:pPr>
  </w:style>
  <w:style w:type="paragraph" w:customStyle="1" w:styleId="SubHeading2">
    <w:name w:val="SubHeading2"/>
    <w:basedOn w:val="HeadingBase"/>
    <w:rsid w:val="00114D33"/>
    <w:pPr>
      <w:spacing w:before="240" w:after="60"/>
    </w:pPr>
    <w:rPr>
      <w:sz w:val="20"/>
    </w:rPr>
  </w:style>
  <w:style w:type="paragraph" w:customStyle="1" w:styleId="SubHeading1">
    <w:name w:val="SubHeading1"/>
    <w:basedOn w:val="HeadingBase"/>
    <w:rsid w:val="00114D33"/>
    <w:pPr>
      <w:spacing w:before="240" w:after="60"/>
    </w:pPr>
    <w:rPr>
      <w:color w:val="918585"/>
      <w:sz w:val="22"/>
    </w:rPr>
  </w:style>
  <w:style w:type="paragraph" w:customStyle="1" w:styleId="SideHeading">
    <w:name w:val="Side Heading"/>
    <w:basedOn w:val="HeadingBase"/>
    <w:rsid w:val="00114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D33"/>
    <w:pPr>
      <w:numPr>
        <w:numId w:val="12"/>
      </w:numPr>
    </w:pPr>
  </w:style>
  <w:style w:type="paragraph" w:styleId="PlainText">
    <w:name w:val="Plain Text"/>
    <w:basedOn w:val="Normal"/>
    <w:link w:val="PlainTextChar"/>
    <w:rsid w:val="00114D33"/>
    <w:rPr>
      <w:sz w:val="20"/>
    </w:rPr>
  </w:style>
  <w:style w:type="character" w:customStyle="1" w:styleId="PlainTextChar">
    <w:name w:val="Plain Text Char"/>
    <w:basedOn w:val="DefaultParagraphFont"/>
    <w:link w:val="PlainText"/>
    <w:rsid w:val="00114D33"/>
    <w:rPr>
      <w:rFonts w:ascii="Courier New" w:eastAsia="Times New Roman" w:hAnsi="Courier New" w:cs="Times New Roman"/>
      <w:sz w:val="20"/>
      <w:szCs w:val="20"/>
      <w:lang w:val="en-US" w:eastAsia="en-US"/>
    </w:rPr>
  </w:style>
  <w:style w:type="character" w:customStyle="1" w:styleId="MenuOption">
    <w:name w:val="Menu Option"/>
    <w:rsid w:val="00114D33"/>
    <w:rPr>
      <w:b/>
      <w:smallCaps/>
    </w:rPr>
  </w:style>
  <w:style w:type="paragraph" w:customStyle="1" w:styleId="TableListNumber">
    <w:name w:val="Table List Number"/>
    <w:basedOn w:val="ListNumber"/>
    <w:rsid w:val="00114D33"/>
    <w:pPr>
      <w:numPr>
        <w:numId w:val="0"/>
      </w:numPr>
    </w:pPr>
  </w:style>
  <w:style w:type="paragraph" w:styleId="TOC4">
    <w:name w:val="toc 4"/>
    <w:basedOn w:val="TOCBase"/>
    <w:next w:val="Normal"/>
    <w:semiHidden/>
    <w:rsid w:val="00114D33"/>
    <w:pPr>
      <w:tabs>
        <w:tab w:val="right" w:leader="dot" w:pos="9071"/>
      </w:tabs>
      <w:ind w:left="1701"/>
    </w:pPr>
  </w:style>
  <w:style w:type="paragraph" w:customStyle="1" w:styleId="ListAlpha">
    <w:name w:val="List Alpha"/>
    <w:basedOn w:val="List"/>
    <w:rsid w:val="00114D33"/>
    <w:pPr>
      <w:numPr>
        <w:numId w:val="9"/>
      </w:numPr>
    </w:pPr>
  </w:style>
  <w:style w:type="paragraph" w:customStyle="1" w:styleId="ListAlpha2">
    <w:name w:val="List Alpha 2"/>
    <w:basedOn w:val="List2"/>
    <w:rsid w:val="00114D33"/>
    <w:pPr>
      <w:numPr>
        <w:numId w:val="8"/>
      </w:numPr>
    </w:pPr>
  </w:style>
  <w:style w:type="paragraph" w:styleId="List2">
    <w:name w:val="List 2"/>
    <w:basedOn w:val="BodyText"/>
    <w:rsid w:val="00114D33"/>
    <w:pPr>
      <w:tabs>
        <w:tab w:val="left" w:pos="680"/>
      </w:tabs>
      <w:spacing w:before="60" w:after="60"/>
      <w:ind w:left="680" w:hanging="340"/>
    </w:pPr>
  </w:style>
  <w:style w:type="paragraph" w:styleId="List3">
    <w:name w:val="List 3"/>
    <w:basedOn w:val="BodyText"/>
    <w:rsid w:val="00114D33"/>
    <w:pPr>
      <w:tabs>
        <w:tab w:val="left" w:pos="1021"/>
      </w:tabs>
      <w:spacing w:before="60" w:after="60"/>
      <w:ind w:left="1020" w:hanging="340"/>
    </w:pPr>
  </w:style>
  <w:style w:type="paragraph" w:styleId="List4">
    <w:name w:val="List 4"/>
    <w:basedOn w:val="BodyText"/>
    <w:rsid w:val="00114D33"/>
    <w:pPr>
      <w:tabs>
        <w:tab w:val="left" w:pos="1361"/>
      </w:tabs>
      <w:spacing w:before="60" w:after="60"/>
      <w:ind w:left="1361" w:hanging="340"/>
    </w:pPr>
  </w:style>
  <w:style w:type="paragraph" w:styleId="List5">
    <w:name w:val="List 5"/>
    <w:basedOn w:val="BodyText"/>
    <w:rsid w:val="00114D33"/>
    <w:pPr>
      <w:tabs>
        <w:tab w:val="left" w:pos="1701"/>
      </w:tabs>
      <w:spacing w:before="60" w:after="60"/>
      <w:ind w:left="1701" w:hanging="340"/>
    </w:pPr>
  </w:style>
  <w:style w:type="paragraph" w:styleId="ListBullet3">
    <w:name w:val="List Bullet 3"/>
    <w:basedOn w:val="List3"/>
    <w:rsid w:val="00114D33"/>
    <w:pPr>
      <w:numPr>
        <w:numId w:val="15"/>
      </w:numPr>
      <w:tabs>
        <w:tab w:val="clear" w:pos="1021"/>
      </w:tabs>
      <w:ind w:left="1037" w:hanging="357"/>
    </w:pPr>
  </w:style>
  <w:style w:type="paragraph" w:styleId="ListBullet4">
    <w:name w:val="List Bullet 4"/>
    <w:basedOn w:val="List4"/>
    <w:rsid w:val="00114D33"/>
    <w:pPr>
      <w:numPr>
        <w:numId w:val="3"/>
      </w:numPr>
    </w:pPr>
  </w:style>
  <w:style w:type="paragraph" w:styleId="ListBullet5">
    <w:name w:val="List Bullet 5"/>
    <w:basedOn w:val="List5"/>
    <w:rsid w:val="00114D33"/>
    <w:pPr>
      <w:numPr>
        <w:numId w:val="4"/>
      </w:numPr>
    </w:pPr>
  </w:style>
  <w:style w:type="paragraph" w:styleId="ListContinue2">
    <w:name w:val="List Continue 2"/>
    <w:basedOn w:val="List2"/>
    <w:rsid w:val="00114D33"/>
    <w:pPr>
      <w:ind w:firstLine="0"/>
    </w:pPr>
  </w:style>
  <w:style w:type="paragraph" w:styleId="ListContinue3">
    <w:name w:val="List Continue 3"/>
    <w:basedOn w:val="List3"/>
    <w:rsid w:val="00114D33"/>
    <w:pPr>
      <w:ind w:left="1021" w:firstLine="0"/>
    </w:pPr>
  </w:style>
  <w:style w:type="paragraph" w:styleId="ListContinue4">
    <w:name w:val="List Continue 4"/>
    <w:basedOn w:val="List4"/>
    <w:rsid w:val="00114D33"/>
    <w:pPr>
      <w:ind w:firstLine="0"/>
    </w:pPr>
  </w:style>
  <w:style w:type="paragraph" w:styleId="ListContinue5">
    <w:name w:val="List Continue 5"/>
    <w:basedOn w:val="List5"/>
    <w:rsid w:val="00114D33"/>
    <w:pPr>
      <w:ind w:firstLine="0"/>
    </w:pPr>
  </w:style>
  <w:style w:type="paragraph" w:styleId="ListNumber3">
    <w:name w:val="List Number 3"/>
    <w:basedOn w:val="List3"/>
    <w:rsid w:val="00114D33"/>
    <w:pPr>
      <w:numPr>
        <w:numId w:val="5"/>
      </w:numPr>
    </w:pPr>
  </w:style>
  <w:style w:type="paragraph" w:styleId="ListNumber4">
    <w:name w:val="List Number 4"/>
    <w:basedOn w:val="List4"/>
    <w:rsid w:val="00114D33"/>
    <w:pPr>
      <w:numPr>
        <w:numId w:val="6"/>
      </w:numPr>
    </w:pPr>
  </w:style>
  <w:style w:type="paragraph" w:styleId="ListNumber5">
    <w:name w:val="List Number 5"/>
    <w:basedOn w:val="List5"/>
    <w:rsid w:val="00114D33"/>
    <w:pPr>
      <w:numPr>
        <w:numId w:val="7"/>
      </w:numPr>
    </w:pPr>
  </w:style>
  <w:style w:type="paragraph" w:styleId="BlockText">
    <w:name w:val="Block Text"/>
    <w:basedOn w:val="Normal"/>
    <w:rsid w:val="00114D33"/>
    <w:pPr>
      <w:spacing w:after="120"/>
      <w:ind w:left="1440" w:right="1440"/>
    </w:pPr>
  </w:style>
  <w:style w:type="character" w:customStyle="1" w:styleId="Subscript">
    <w:name w:val="Subscript"/>
    <w:rsid w:val="00114D33"/>
    <w:rPr>
      <w:sz w:val="16"/>
      <w:vertAlign w:val="subscript"/>
    </w:rPr>
  </w:style>
  <w:style w:type="character" w:customStyle="1" w:styleId="Superscript">
    <w:name w:val="Superscript"/>
    <w:rsid w:val="00114D33"/>
    <w:rPr>
      <w:sz w:val="16"/>
      <w:vertAlign w:val="superscript"/>
    </w:rPr>
  </w:style>
  <w:style w:type="character" w:customStyle="1" w:styleId="Symbols">
    <w:name w:val="Symbols"/>
    <w:rsid w:val="00114D33"/>
    <w:rPr>
      <w:rFonts w:ascii="Symbol" w:hAnsi="Symbol"/>
    </w:rPr>
  </w:style>
  <w:style w:type="character" w:customStyle="1" w:styleId="MenuOptions">
    <w:name w:val="Menu Options"/>
    <w:rsid w:val="00114D33"/>
    <w:rPr>
      <w:rFonts w:ascii="Arial Narrow" w:hAnsi="Arial Narrow"/>
      <w:smallCaps/>
    </w:rPr>
  </w:style>
  <w:style w:type="character" w:customStyle="1" w:styleId="Buttons">
    <w:name w:val="Buttons"/>
    <w:rsid w:val="00114D33"/>
    <w:rPr>
      <w:b/>
    </w:rPr>
  </w:style>
  <w:style w:type="character" w:customStyle="1" w:styleId="Underlined">
    <w:name w:val="Underlined"/>
    <w:rsid w:val="00114D33"/>
    <w:rPr>
      <w:u w:val="single"/>
    </w:rPr>
  </w:style>
  <w:style w:type="paragraph" w:customStyle="1" w:styleId="TableBodyTextRight">
    <w:name w:val="Table Body Text Right"/>
    <w:basedOn w:val="TableBodyText"/>
    <w:rsid w:val="00114D33"/>
    <w:pPr>
      <w:widowControl w:val="0"/>
      <w:autoSpaceDE w:val="0"/>
      <w:autoSpaceDN w:val="0"/>
      <w:adjustRightInd w:val="0"/>
      <w:jc w:val="right"/>
    </w:pPr>
    <w:rPr>
      <w:rFonts w:cs="Arial"/>
      <w:szCs w:val="18"/>
    </w:rPr>
  </w:style>
  <w:style w:type="paragraph" w:customStyle="1" w:styleId="CopyrightText">
    <w:name w:val="Copyright Text"/>
    <w:basedOn w:val="BodyText"/>
    <w:rsid w:val="00114D33"/>
    <w:rPr>
      <w:sz w:val="18"/>
    </w:rPr>
  </w:style>
  <w:style w:type="paragraph" w:customStyle="1" w:styleId="BodySmallRight">
    <w:name w:val="Body Small Right"/>
    <w:basedOn w:val="BodyTextRight"/>
    <w:rsid w:val="00114D33"/>
    <w:rPr>
      <w:sz w:val="18"/>
      <w:szCs w:val="18"/>
    </w:rPr>
  </w:style>
  <w:style w:type="paragraph" w:customStyle="1" w:styleId="MarginEdition">
    <w:name w:val="Margin Edition"/>
    <w:basedOn w:val="MarginNote"/>
    <w:rsid w:val="00114D33"/>
    <w:pPr>
      <w:spacing w:before="0" w:after="0"/>
    </w:pPr>
    <w:rPr>
      <w:rFonts w:ascii="Times New Roman" w:hAnsi="Times New Roman"/>
      <w:color w:val="999999"/>
    </w:rPr>
  </w:style>
  <w:style w:type="paragraph" w:customStyle="1" w:styleId="Spacer">
    <w:name w:val="Spacer"/>
    <w:basedOn w:val="Normal"/>
    <w:rsid w:val="00114D33"/>
    <w:rPr>
      <w:sz w:val="2"/>
      <w:szCs w:val="2"/>
    </w:rPr>
  </w:style>
  <w:style w:type="character" w:customStyle="1" w:styleId="Small">
    <w:name w:val="Small"/>
    <w:rsid w:val="00114D33"/>
    <w:rPr>
      <w:sz w:val="16"/>
    </w:rPr>
  </w:style>
  <w:style w:type="paragraph" w:customStyle="1" w:styleId="WideTable">
    <w:name w:val="Wide Table"/>
    <w:basedOn w:val="Normal"/>
    <w:rsid w:val="00114D33"/>
    <w:pPr>
      <w:ind w:left="-1418"/>
    </w:pPr>
    <w:rPr>
      <w:sz w:val="2"/>
      <w:szCs w:val="2"/>
    </w:rPr>
  </w:style>
  <w:style w:type="character" w:styleId="PageNumber">
    <w:name w:val="page number"/>
    <w:rsid w:val="00114D33"/>
  </w:style>
  <w:style w:type="paragraph" w:styleId="Quote">
    <w:name w:val="Quote"/>
    <w:basedOn w:val="Heading1"/>
    <w:link w:val="QuoteChar"/>
    <w:qFormat/>
    <w:rsid w:val="00114D33"/>
    <w:rPr>
      <w:b w:val="0"/>
      <w:sz w:val="72"/>
      <w:szCs w:val="72"/>
      <w:lang w:val="en-NZ"/>
    </w:rPr>
  </w:style>
  <w:style w:type="character" w:customStyle="1" w:styleId="QuoteChar">
    <w:name w:val="Quote Char"/>
    <w:link w:val="Quote"/>
    <w:rsid w:val="00114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D33"/>
    <w:pPr>
      <w:pageBreakBefore/>
    </w:pPr>
  </w:style>
  <w:style w:type="paragraph" w:customStyle="1" w:styleId="Border">
    <w:name w:val="Border"/>
    <w:basedOn w:val="Normal"/>
    <w:qFormat/>
    <w:rsid w:val="00114D33"/>
    <w:pPr>
      <w:pBdr>
        <w:top w:val="single" w:sz="18" w:space="1" w:color="auto"/>
      </w:pBdr>
    </w:pPr>
    <w:rPr>
      <w:rFonts w:ascii="Times New Roman" w:hAnsi="Times New Roman"/>
      <w:color w:val="FFFFFF"/>
      <w:sz w:val="2"/>
    </w:rPr>
  </w:style>
  <w:style w:type="character" w:styleId="IntenseEmphasis">
    <w:name w:val="Intense Emphasis"/>
    <w:uiPriority w:val="21"/>
    <w:qFormat/>
    <w:rsid w:val="00114D33"/>
    <w:rPr>
      <w:b/>
      <w:bCs/>
      <w:i/>
      <w:iCs/>
      <w:color w:val="auto"/>
    </w:rPr>
  </w:style>
  <w:style w:type="paragraph" w:styleId="IntenseQuote">
    <w:name w:val="Intense Quote"/>
    <w:basedOn w:val="Normal"/>
    <w:next w:val="Normal"/>
    <w:link w:val="IntenseQuoteChar"/>
    <w:uiPriority w:val="30"/>
    <w:qFormat/>
    <w:rsid w:val="00114D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4D33"/>
    <w:rPr>
      <w:rFonts w:ascii="Courier New" w:eastAsia="Times New Roman" w:hAnsi="Courier New" w:cs="Times New Roman"/>
      <w:b/>
      <w:bCs/>
      <w:i/>
      <w:iCs/>
      <w:szCs w:val="20"/>
      <w:lang w:val="en-US" w:eastAsia="en-US"/>
    </w:rPr>
  </w:style>
  <w:style w:type="character" w:styleId="SubtleReference">
    <w:name w:val="Subtle Reference"/>
    <w:uiPriority w:val="31"/>
    <w:qFormat/>
    <w:rsid w:val="00114D33"/>
    <w:rPr>
      <w:smallCaps/>
      <w:color w:val="auto"/>
      <w:u w:val="single"/>
    </w:rPr>
  </w:style>
  <w:style w:type="character" w:styleId="IntenseReference">
    <w:name w:val="Intense Reference"/>
    <w:uiPriority w:val="32"/>
    <w:qFormat/>
    <w:rsid w:val="00114D33"/>
    <w:rPr>
      <w:b/>
      <w:bCs/>
      <w:smallCaps/>
      <w:color w:val="auto"/>
      <w:spacing w:val="5"/>
      <w:u w:val="single"/>
    </w:rPr>
  </w:style>
  <w:style w:type="paragraph" w:customStyle="1" w:styleId="2ColumnHeading">
    <w:name w:val="2Column Heading"/>
    <w:basedOn w:val="BodyText"/>
    <w:qFormat/>
    <w:rsid w:val="00114D33"/>
    <w:pPr>
      <w:spacing w:after="60"/>
      <w:ind w:left="-2268"/>
    </w:pPr>
    <w:rPr>
      <w:b/>
    </w:rPr>
  </w:style>
  <w:style w:type="paragraph" w:customStyle="1" w:styleId="Heading1TOC">
    <w:name w:val="Heading1 TOC"/>
    <w:basedOn w:val="Normal"/>
    <w:qFormat/>
    <w:rsid w:val="00114D33"/>
    <w:pPr>
      <w:spacing w:before="240" w:after="120"/>
    </w:pPr>
    <w:rPr>
      <w:rFonts w:ascii="Times New Roman" w:hAnsi="Times New Roman"/>
      <w:b/>
      <w:sz w:val="32"/>
    </w:rPr>
  </w:style>
  <w:style w:type="paragraph" w:customStyle="1" w:styleId="Heading2TOC">
    <w:name w:val="Heading2 TOC"/>
    <w:basedOn w:val="Normal"/>
    <w:qFormat/>
    <w:rsid w:val="00114D33"/>
    <w:pPr>
      <w:spacing w:before="240" w:after="60"/>
    </w:pPr>
    <w:rPr>
      <w:rFonts w:ascii="Times New Roman" w:hAnsi="Times New Roman"/>
      <w:b/>
      <w:sz w:val="28"/>
    </w:rPr>
  </w:style>
  <w:style w:type="character" w:customStyle="1" w:styleId="Underline">
    <w:name w:val="Underline"/>
    <w:qFormat/>
    <w:rsid w:val="00114D33"/>
    <w:rPr>
      <w:u w:val="single"/>
    </w:rPr>
  </w:style>
  <w:style w:type="paragraph" w:styleId="BalloonText">
    <w:name w:val="Balloon Text"/>
    <w:basedOn w:val="Normal"/>
    <w:link w:val="BalloonTextChar"/>
    <w:rsid w:val="00114D33"/>
    <w:rPr>
      <w:rFonts w:ascii="Tahoma" w:hAnsi="Tahoma" w:cs="Tahoma"/>
      <w:sz w:val="16"/>
      <w:szCs w:val="16"/>
    </w:rPr>
  </w:style>
  <w:style w:type="character" w:customStyle="1" w:styleId="BalloonTextChar">
    <w:name w:val="Balloon Text Char"/>
    <w:link w:val="BalloonText"/>
    <w:rsid w:val="00114D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4D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4D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1295</Words>
  <Characters>8097</Characters>
  <Application>Microsoft Office Word</Application>
  <DocSecurity>0</DocSecurity>
  <Lines>337</Lines>
  <Paragraphs>161</Paragraphs>
  <ScaleCrop>false</ScaleCrop>
  <Company>Author-it Software Corporation Ltd.</Company>
  <LinksUpToDate>false</LinksUpToDate>
  <CharactersWithSpaces>9307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SITXEVT013A Manage event staging</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2012-05-26T10:32:00Z</dcterms:created>
  <dcterms:modified xsi:type="dcterms:W3CDTF">2012-05-26T10:32:00Z</dcterms:modified>
</cp:coreProperties>
</file>