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943" w:rsidP="00760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SITXEVT010B Evaluate and address event regulatory requirements</w:t>
      </w:r>
      <w:r>
        <w:fldChar w:fldCharType="end"/>
      </w:r>
    </w:p>
    <w:p w:rsidR="00760943" w:rsidP="00760943">
      <w:pPr>
        <w:pStyle w:val="Version"/>
        <w:sectPr w:rsidSect="00BC43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C43EB" w:rsidP="00BC43EB">
      <w:pPr>
        <w:pStyle w:val="SuperHeading"/>
      </w:pPr>
      <w:r w:rsidRPr="00BC43EB">
        <w:t>SITXEVT010B Evaluate and address event regulatory requirements</w:t>
      </w:r>
    </w:p>
    <w:p w:rsidR="00000000" w:rsidRPr="00BC43EB" w:rsidP="00BC43EB">
      <w:pPr>
        <w:pStyle w:val="SuperHeading"/>
      </w:pPr>
    </w:p>
    <w:p w:rsidR="00000000" w:rsidRPr="00BC43EB" w:rsidP="00BC43EB">
      <w:pPr>
        <w:pStyle w:val="Heading1"/>
      </w:pPr>
      <w:bookmarkStart w:id="1" w:name="O_148335"/>
      <w:bookmarkEnd w:id="1"/>
      <w:r w:rsidRPr="00BC43EB">
        <w:t>Modification History</w:t>
      </w:r>
    </w:p>
    <w:p w:rsidR="00000000" w:rsidRPr="00BC43EB" w:rsidP="00BC43EB">
      <w:pPr>
        <w:pStyle w:val="BodyText"/>
      </w:pPr>
      <w:r w:rsidRPr="00BC43EB">
        <w:t>Not applicable.</w:t>
      </w:r>
    </w:p>
    <w:p w:rsidR="00000000" w:rsidRPr="00BC43EB" w:rsidP="00BC43EB">
      <w:pPr>
        <w:pStyle w:val="AllowPageBreak"/>
      </w:pPr>
    </w:p>
    <w:p w:rsidR="00000000" w:rsidRPr="00BC43EB" w:rsidP="00BC43EB">
      <w:pPr>
        <w:pStyle w:val="Heading1"/>
      </w:pPr>
      <w:bookmarkStart w:id="2" w:name="O_148336"/>
      <w:bookmarkEnd w:id="2"/>
      <w:r w:rsidRPr="00BC43E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t>This unit describes the performance outcomes, skills and knowledge require</w:t>
            </w:r>
            <w:r w:rsidRPr="00BC43EB">
              <w:t>d to assess the regulatory requirements that impact on a complex event comprising multiple components, and to incorporate appropriate responses into event planning and management.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</w:p>
        </w:tc>
      </w:tr>
    </w:tbl>
    <w:p w:rsidR="00000000" w:rsidRPr="00BC43EB" w:rsidP="00BC43EB">
      <w:pPr>
        <w:pStyle w:val="BodyText"/>
      </w:pPr>
    </w:p>
    <w:p w:rsidR="00000000" w:rsidRPr="00BC43EB" w:rsidP="00BC43EB">
      <w:pPr>
        <w:pStyle w:val="AllowPageBreak"/>
      </w:pPr>
    </w:p>
    <w:p w:rsidR="00000000" w:rsidRPr="00BC43EB" w:rsidP="00BC43EB">
      <w:pPr>
        <w:pStyle w:val="Heading1"/>
      </w:pPr>
      <w:bookmarkStart w:id="3" w:name="O_148337"/>
      <w:bookmarkEnd w:id="3"/>
      <w:r w:rsidRPr="00BC43E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  <w:r w:rsidRPr="00BC43EB">
              <w:t>This unit may apply to individuals coordinating events in any industry context, but is particularly relevant to event specialists who operate in the cultural, community, hospitality, sporting and tourism sectors.</w:t>
            </w:r>
          </w:p>
          <w:p w:rsidR="00000000" w:rsidRPr="00BC43EB" w:rsidP="00BC43EB">
            <w:pPr>
              <w:pStyle w:val="BodyText"/>
            </w:pPr>
            <w:r w:rsidRPr="00BC43EB">
              <w:t>A complex event comprising multiple compone</w:t>
            </w:r>
            <w:r w:rsidRPr="00BC43EB">
              <w:t>nts must involve:</w:t>
            </w:r>
          </w:p>
          <w:p w:rsidR="00000000" w:rsidRPr="00BC43EB" w:rsidP="00BC43EB">
            <w:pPr>
              <w:pStyle w:val="ListBullet"/>
            </w:pPr>
            <w:r w:rsidRPr="00BC43EB">
              <w:t xml:space="preserve">need for a comprehensive and multifaceted event plan </w:t>
            </w:r>
          </w:p>
          <w:p w:rsidR="00000000" w:rsidRPr="00BC43EB" w:rsidP="00BC43EB">
            <w:pPr>
              <w:pStyle w:val="ListBullet"/>
            </w:pPr>
            <w:r w:rsidRPr="00BC43EB">
              <w:t xml:space="preserve">need for a formal internal or external communications strategy </w:t>
            </w:r>
          </w:p>
          <w:p w:rsidR="00000000" w:rsidRPr="00BC43EB" w:rsidP="00BC43EB">
            <w:pPr>
              <w:pStyle w:val="ListBullet"/>
            </w:pPr>
            <w:r w:rsidRPr="00BC43EB">
              <w:t>dedicated and diverse event budget</w:t>
            </w:r>
          </w:p>
          <w:p w:rsidR="00000000" w:rsidRPr="00BC43EB" w:rsidP="00BC43EB">
            <w:pPr>
              <w:pStyle w:val="ListBullet"/>
            </w:pPr>
            <w:r w:rsidRPr="00BC43EB">
              <w:t xml:space="preserve">multiple administrative and operational components </w:t>
            </w:r>
          </w:p>
          <w:p w:rsidR="00000000" w:rsidRPr="00BC43EB" w:rsidP="00BC43EB">
            <w:pPr>
              <w:pStyle w:val="ListBullet"/>
            </w:pPr>
            <w:r w:rsidRPr="00BC43EB">
              <w:t xml:space="preserve">a wide range of stakeholders </w:t>
            </w:r>
          </w:p>
          <w:p w:rsidR="00000000" w:rsidRPr="00BC43EB" w:rsidP="00BC43EB">
            <w:pPr>
              <w:pStyle w:val="ListBullet"/>
            </w:pPr>
            <w:r w:rsidRPr="00BC43EB">
              <w:t>an event operations team.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A senior event coordinator or event manager would undertake this role.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</w:p>
        </w:tc>
      </w:tr>
    </w:tbl>
    <w:p w:rsidR="00000000" w:rsidRPr="00BC43EB" w:rsidP="00BC43EB">
      <w:pPr>
        <w:pStyle w:val="BodyText"/>
      </w:pPr>
    </w:p>
    <w:p w:rsidR="00000000" w:rsidRPr="00BC43EB" w:rsidP="00BC43EB">
      <w:pPr>
        <w:pStyle w:val="AllowPageBreak"/>
      </w:pPr>
    </w:p>
    <w:p w:rsidR="00000000" w:rsidRPr="00BC43EB" w:rsidP="00BC43EB">
      <w:pPr>
        <w:pStyle w:val="Heading1"/>
      </w:pPr>
      <w:bookmarkStart w:id="4" w:name="O_148338"/>
      <w:bookmarkEnd w:id="4"/>
      <w:r w:rsidRPr="00BC43EB">
        <w:t>Licensing/Regulatory Information</w:t>
      </w:r>
    </w:p>
    <w:p w:rsidR="00000000" w:rsidRPr="00BC43EB" w:rsidP="00BC43EB">
      <w:pPr>
        <w:pStyle w:val="BodyText"/>
      </w:pPr>
      <w:r w:rsidRPr="00BC43EB">
        <w:t>Not applicable.</w:t>
      </w:r>
    </w:p>
    <w:p w:rsidR="00000000" w:rsidRPr="00BC43EB" w:rsidP="00BC43EB">
      <w:pPr>
        <w:pStyle w:val="AllowPageBreak"/>
      </w:pPr>
    </w:p>
    <w:p w:rsidR="00000000" w:rsidRPr="00BC43EB" w:rsidP="00BC43EB">
      <w:pPr>
        <w:pStyle w:val="Heading1"/>
      </w:pPr>
      <w:bookmarkStart w:id="5" w:name="O_148339"/>
      <w:bookmarkEnd w:id="5"/>
      <w:r w:rsidRPr="00BC43E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t>Nil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</w:p>
        </w:tc>
      </w:tr>
    </w:tbl>
    <w:p w:rsidR="00000000" w:rsidRPr="00BC43EB" w:rsidP="00BC43EB">
      <w:pPr>
        <w:pStyle w:val="BodyText"/>
      </w:pPr>
    </w:p>
    <w:p w:rsidR="00000000" w:rsidRPr="00BC43EB" w:rsidP="00BC43EB">
      <w:pPr>
        <w:pStyle w:val="AllowPageBreak"/>
      </w:pPr>
    </w:p>
    <w:p w:rsidR="00000000" w:rsidRPr="00BC43EB" w:rsidP="00BC43EB">
      <w:pPr>
        <w:pStyle w:val="Heading1"/>
      </w:pPr>
      <w:bookmarkStart w:id="6" w:name="O_148340"/>
      <w:bookmarkEnd w:id="6"/>
      <w:r w:rsidRPr="00BC43E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t>The required outcomes described in this unit of competency contain applicable facets of employability skills. The Employability Skills Summary of the qualification in which this unit is packaged will as</w:t>
            </w:r>
            <w:r w:rsidRPr="00BC43EB">
              <w:t>sist in identifying employability skills requirements.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</w:p>
        </w:tc>
      </w:tr>
    </w:tbl>
    <w:p w:rsidR="00000000" w:rsidRPr="00BC43EB" w:rsidP="00BC43EB">
      <w:pPr>
        <w:pStyle w:val="BodyText"/>
      </w:pPr>
    </w:p>
    <w:p w:rsidR="00000000" w:rsidRPr="00BC43EB" w:rsidP="00BC43EB">
      <w:pPr>
        <w:pStyle w:val="AllowPageBreak"/>
      </w:pPr>
    </w:p>
    <w:p w:rsidR="00000000" w:rsidRPr="00BC43EB" w:rsidP="00BC43EB">
      <w:pPr>
        <w:pStyle w:val="Heading1"/>
      </w:pPr>
      <w:bookmarkStart w:id="7" w:name="O_148341"/>
      <w:bookmarkEnd w:id="7"/>
      <w:r w:rsidRPr="00BC43E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  <w:r w:rsidRPr="00BC43EB">
              <w:t xml:space="preserve">Performance criteria describe the required performance needed to demonstrate achievement of the element. Where </w:t>
            </w:r>
            <w:r w:rsidRPr="00BC43EB">
              <w:rPr>
                <w:rStyle w:val="BoldandItalics"/>
              </w:rPr>
              <w:t>bold italicised</w:t>
            </w:r>
            <w:r w:rsidRPr="00BC43EB">
              <w:t xml:space="preserve"> text is used, further information is detailed in the required skills and knowledge and/or the range statement. Assessment of perf</w:t>
            </w:r>
            <w:r w:rsidRPr="00BC43EB">
              <w:t>ormance is to be consistent with the evidence guide.</w:t>
            </w:r>
          </w:p>
        </w:tc>
      </w:tr>
    </w:tbl>
    <w:p w:rsidR="00000000" w:rsidRPr="00BC43EB" w:rsidP="00BC43EB">
      <w:pPr>
        <w:pStyle w:val="BodyText"/>
      </w:pPr>
    </w:p>
    <w:p w:rsidR="00000000" w:rsidRPr="00BC43EB" w:rsidP="00BC43EB">
      <w:pPr>
        <w:pStyle w:val="AllowPageBreak"/>
      </w:pPr>
    </w:p>
    <w:p w:rsidR="00000000" w:rsidRPr="00BC43EB" w:rsidP="00BC43EB">
      <w:pPr>
        <w:pStyle w:val="Heading1"/>
      </w:pPr>
      <w:bookmarkStart w:id="8" w:name="O_148342"/>
      <w:bookmarkEnd w:id="8"/>
      <w:r w:rsidRPr="00BC43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"/>
            </w:pPr>
            <w:r w:rsidRPr="00BC43EB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rPr>
                <w:rStyle w:val="SpecialBold"/>
              </w:rPr>
              <w:t>PERFORMANCE CRITERIA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Analyse regulatory issues that impact on event management.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Analyse </w:t>
            </w:r>
            <w:r w:rsidRPr="00BC43EB">
              <w:rPr>
                <w:rStyle w:val="BoldandItalics"/>
              </w:rPr>
              <w:t>event information</w:t>
            </w:r>
            <w:r w:rsidRPr="00BC43EB">
              <w:t xml:space="preserve"> to determine the scope and nature of regulatory issues to be considered.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Research and assess the impact of </w:t>
            </w:r>
            <w:r w:rsidRPr="00BC43EB">
              <w:rPr>
                <w:rStyle w:val="BoldandItalics"/>
              </w:rPr>
              <w:t>specific event regulatory issues</w:t>
            </w:r>
            <w:r w:rsidRPr="00BC43EB">
              <w:t xml:space="preserve"> on event planning and operation.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Analyse </w:t>
            </w:r>
            <w:r w:rsidRPr="00BC43EB">
              <w:rPr>
                <w:rStyle w:val="BoldandItalics"/>
              </w:rPr>
              <w:t>specific risk management issues</w:t>
            </w:r>
            <w:r w:rsidRPr="00BC43EB">
              <w:t xml:space="preserve"> for identified </w:t>
            </w:r>
            <w:r w:rsidRPr="00BC43EB">
              <w:t>regulatory re</w:t>
            </w:r>
            <w:r w:rsidRPr="00BC43EB">
              <w:t>quirements and incorporate into overall risk management planning.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Establish and assess the role of different </w:t>
            </w:r>
            <w:r w:rsidRPr="00BC43EB">
              <w:rPr>
                <w:rStyle w:val="BoldandItalics"/>
              </w:rPr>
              <w:t>stakeholders</w:t>
            </w:r>
            <w:r w:rsidRPr="00BC43EB">
              <w:t xml:space="preserve"> in relation to regulatory issues.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1.5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Assess the need for </w:t>
            </w:r>
            <w:r w:rsidRPr="00BC43EB">
              <w:rPr>
                <w:rStyle w:val="BoldandItalics"/>
              </w:rPr>
              <w:t>specialist planning and operational advice or assistance</w:t>
            </w:r>
            <w:r w:rsidRPr="00BC43EB">
              <w:t xml:space="preserve"> to address regulatory requirements.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Establish strategies for working with regulatory authorities.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Determine the </w:t>
            </w:r>
            <w:r w:rsidRPr="00BC43EB">
              <w:rPr>
                <w:rStyle w:val="BoldandItalics"/>
              </w:rPr>
              <w:t>scope and complexity of required or desirable liaison</w:t>
            </w:r>
            <w:r w:rsidRPr="00BC43EB">
              <w:t xml:space="preserve"> with regulatory authorities.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Identify key organisations and individuals and establish effective consultation and communication processes. 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2.3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Include representatives from </w:t>
            </w:r>
            <w:r w:rsidRPr="00BC43EB">
              <w:rPr>
                <w:rStyle w:val="BoldandItalics"/>
              </w:rPr>
              <w:t>appropriate agencies</w:t>
            </w:r>
            <w:r w:rsidRPr="00BC43EB">
              <w:t xml:space="preserve"> in event management structures and consultation processes. 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Develop plans and procedures to address regulatory requirements.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Integrate approach to plans and procedures addressing regulatory issues, into </w:t>
            </w:r>
            <w:r w:rsidRPr="00BC43EB">
              <w:rPr>
                <w:rStyle w:val="BoldandItalics"/>
              </w:rPr>
              <w:t>broader event management structures</w:t>
            </w:r>
            <w:r w:rsidRPr="00BC43EB">
              <w:t xml:space="preserve">, </w:t>
            </w:r>
            <w:r w:rsidRPr="00BC43EB">
              <w:rPr>
                <w:rStyle w:val="BoldandItalics"/>
              </w:rPr>
              <w:t>processes and constraints</w:t>
            </w:r>
            <w:r w:rsidRPr="00BC43EB">
              <w:t>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Develop and document </w:t>
            </w:r>
            <w:r w:rsidRPr="00BC43EB">
              <w:rPr>
                <w:rStyle w:val="BoldandItalics"/>
              </w:rPr>
              <w:t>specific procedures that address event regulatory requirements</w:t>
            </w:r>
            <w:r w:rsidRPr="00BC43EB">
              <w:t>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3.3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Develop and monitor the production of any required </w:t>
            </w:r>
            <w:r w:rsidRPr="00BC43EB">
              <w:rPr>
                <w:rStyle w:val="BoldandItalics"/>
              </w:rPr>
              <w:t>compliance</w:t>
            </w:r>
            <w:r w:rsidRPr="00BC43EB">
              <w:t xml:space="preserve"> </w:t>
            </w:r>
            <w:r w:rsidRPr="00BC43EB">
              <w:rPr>
                <w:rStyle w:val="BoldandItalics"/>
              </w:rPr>
              <w:t>documentation</w:t>
            </w:r>
            <w:r w:rsidRPr="00BC43EB">
              <w:t>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3.4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Identify critical tasks and allocate responsibilities and timelines.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3.5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Develop and articulate contingency and critical incident procedures in relation to all regulatory requirements.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3.6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 xml:space="preserve">Provide </w:t>
            </w:r>
            <w:r w:rsidRPr="00BC43EB">
              <w:rPr>
                <w:rStyle w:val="BoldandItalics"/>
              </w:rPr>
              <w:t>briefings and relevant information</w:t>
            </w:r>
            <w:r w:rsidRPr="00BC43EB">
              <w:t xml:space="preserve"> to colleagues regarding regulatory requirements and procedures.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4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Evaluate event for regulatory compliance.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4.1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Assess different event elements in regard to compliance with regulatory requirements.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List"/>
              <w:rPr>
                <w:lang w:val="en-NZ"/>
              </w:rPr>
            </w:pPr>
            <w:r w:rsidRPr="00BC43EB">
              <w:t>4.2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"/>
            </w:pPr>
            <w:r w:rsidRPr="00BC43EB">
              <w:t>Incorporate outcomes of evaluation into future event planning.</w:t>
            </w:r>
          </w:p>
        </w:tc>
      </w:tr>
    </w:tbl>
    <w:p w:rsidR="00000000" w:rsidRPr="00BC43EB" w:rsidP="00BC43EB">
      <w:pPr>
        <w:pStyle w:val="BodyText"/>
      </w:pPr>
    </w:p>
    <w:p w:rsidR="00000000" w:rsidRPr="00BC43EB" w:rsidP="00BC43EB">
      <w:pPr>
        <w:pStyle w:val="AllowPageBreak"/>
      </w:pPr>
    </w:p>
    <w:p w:rsidR="00000000" w:rsidRPr="00BC43EB" w:rsidP="00BC43EB">
      <w:pPr>
        <w:pStyle w:val="Heading1"/>
      </w:pPr>
      <w:bookmarkStart w:id="9" w:name="O_148343"/>
      <w:bookmarkEnd w:id="9"/>
      <w:r w:rsidRPr="00BC43E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REQUIRED SKILLS AND KNOWLEDGE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t>This section describes the essential skills and knowledge and their level, required for this unit.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  <w:r w:rsidRPr="00BC43EB">
              <w:t>The following skills must be assessed as part of this unit:</w:t>
            </w:r>
          </w:p>
          <w:p w:rsidR="00000000" w:rsidRPr="00BC43EB" w:rsidP="00BC43EB">
            <w:pPr>
              <w:pStyle w:val="ListBullet"/>
            </w:pPr>
            <w:r w:rsidRPr="00BC43EB">
              <w:t>planning and organisational skills to develop practical plans and procedures</w:t>
            </w:r>
          </w:p>
          <w:p w:rsidR="00000000" w:rsidRPr="00BC43EB" w:rsidP="00BC43EB">
            <w:pPr>
              <w:pStyle w:val="ListBullet"/>
            </w:pPr>
            <w:r w:rsidRPr="00BC43EB">
              <w:t xml:space="preserve">communication and negotiation skills to liaise with people with varying responsibilities working in different contexts (e.g. operational staff and government officials) </w:t>
            </w:r>
          </w:p>
          <w:p w:rsidR="00000000" w:rsidRPr="00BC43EB" w:rsidP="00BC43EB">
            <w:pPr>
              <w:pStyle w:val="ListBullet"/>
            </w:pPr>
            <w:r w:rsidRPr="00BC43EB">
              <w:t xml:space="preserve">research </w:t>
            </w:r>
            <w:r w:rsidRPr="00BC43EB">
              <w:t xml:space="preserve">skills to source information on event regulatory requirements 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literacy skills to interpret regulatory documentation and develop complex plans, procedures and other documentation.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  <w:r w:rsidRPr="00BC43EB">
              <w:t>The following knowledge must be assessed as part of this unit:</w:t>
            </w:r>
          </w:p>
          <w:p w:rsidR="00000000" w:rsidRPr="00BC43EB" w:rsidP="00BC43EB">
            <w:pPr>
              <w:pStyle w:val="ListBullet"/>
            </w:pPr>
            <w:r w:rsidRPr="00BC43EB">
              <w:t xml:space="preserve">range of </w:t>
            </w:r>
            <w:r w:rsidRPr="00BC43EB">
              <w:t>regulatory issues that impact on different types of event</w:t>
            </w:r>
          </w:p>
          <w:p w:rsidR="00000000" w:rsidRPr="00BC43EB" w:rsidP="00BC43EB">
            <w:pPr>
              <w:pStyle w:val="ListBullet"/>
            </w:pPr>
            <w:r w:rsidRPr="00BC43EB">
              <w:t xml:space="preserve">the primary components of state, territory and local council laws that impact on event delivery and actions that must be adhered to by event operators during event set-up, operation and break-down, </w:t>
            </w:r>
            <w:r w:rsidRPr="00BC43EB">
              <w:t xml:space="preserve">in particular laws that cover: </w:t>
            </w:r>
          </w:p>
          <w:p w:rsidR="00000000" w:rsidRPr="00BC43EB" w:rsidP="00BC43EB">
            <w:pPr>
              <w:pStyle w:val="ListBullet2"/>
            </w:pPr>
            <w:r w:rsidRPr="00BC43EB">
              <w:t>occupational health and safety (this would include requirements that must be met for providing a safe workplace, hazard identification and assessment and control of associated risks)</w:t>
            </w:r>
          </w:p>
          <w:p w:rsidR="00000000" w:rsidRPr="00BC43EB" w:rsidP="00BC43EB">
            <w:pPr>
              <w:pStyle w:val="ListBullet2"/>
            </w:pPr>
            <w:r w:rsidRPr="00BC43EB">
              <w:t>workers' compensation (this would include insurance requirements, injury reporting and occupational rehabilitation requirements)</w:t>
            </w:r>
          </w:p>
          <w:p w:rsidR="00000000" w:rsidRPr="00BC43EB" w:rsidP="00BC43EB">
            <w:pPr>
              <w:pStyle w:val="ListBullet2"/>
            </w:pPr>
            <w:r w:rsidRPr="00BC43EB">
              <w:t xml:space="preserve">workplace relations </w:t>
            </w:r>
          </w:p>
          <w:p w:rsidR="00000000" w:rsidRPr="00BC43EB" w:rsidP="00BC43EB">
            <w:pPr>
              <w:pStyle w:val="ListBullet2"/>
            </w:pPr>
            <w:r w:rsidRPr="00BC43EB">
              <w:t>legal liability and duty of care of customers</w:t>
            </w:r>
          </w:p>
          <w:p w:rsidR="00000000" w:rsidRPr="00BC43EB" w:rsidP="00BC43EB">
            <w:pPr>
              <w:pStyle w:val="ListBullet2"/>
            </w:pPr>
            <w:r w:rsidRPr="00BC43EB">
              <w:t>environmental protection (this would include requirements th</w:t>
            </w:r>
            <w:r w:rsidRPr="00BC43EB">
              <w:t>at must be met for environmental hazard identification, use of minimal impact practices and reporting of incidents)</w:t>
            </w:r>
          </w:p>
          <w:p w:rsidR="00000000" w:rsidRPr="00BC43EB" w:rsidP="00BC43EB">
            <w:pPr>
              <w:pStyle w:val="ListBullet2"/>
            </w:pPr>
            <w:r w:rsidRPr="00BC43EB">
              <w:t>local community protection (this would include land ownership, management and access requirements that must be met and requirements to maint</w:t>
            </w:r>
            <w:r w:rsidRPr="00BC43EB">
              <w:t>ain the lifestyle of neighboring residents)</w:t>
            </w:r>
          </w:p>
          <w:p w:rsidR="00000000" w:rsidRPr="00BC43EB" w:rsidP="00BC43EB">
            <w:pPr>
              <w:pStyle w:val="ListBullet2"/>
            </w:pPr>
            <w:r w:rsidRPr="00BC43EB">
              <w:t>consumer protection (this would include refund requirements that must be met, terms and conditions of quotations and cancellation fees)</w:t>
            </w:r>
          </w:p>
          <w:p w:rsidR="00000000" w:rsidRPr="00BC43EB" w:rsidP="00BC43EB">
            <w:pPr>
              <w:pStyle w:val="ListBullet2"/>
            </w:pPr>
            <w:r w:rsidRPr="00BC43EB">
              <w:t>responsible service of alcohol</w:t>
            </w:r>
          </w:p>
          <w:p w:rsidR="00000000" w:rsidRPr="00BC43EB" w:rsidP="00BC43EB">
            <w:pPr>
              <w:pStyle w:val="ListBullet2"/>
            </w:pPr>
            <w:r w:rsidRPr="00BC43EB">
              <w:t>food safety</w:t>
            </w:r>
          </w:p>
          <w:p w:rsidR="00000000" w:rsidRPr="00BC43EB" w:rsidP="00BC43EB">
            <w:pPr>
              <w:pStyle w:val="ListBullet"/>
            </w:pPr>
            <w:r w:rsidRPr="00BC43EB">
              <w:t xml:space="preserve">sources of detailed information </w:t>
            </w:r>
            <w:r w:rsidRPr="00BC43EB">
              <w:t>on specific regulatory issues including plain English documentation that explains the operational requirements of legislation</w:t>
            </w:r>
          </w:p>
          <w:p w:rsidR="00000000" w:rsidRPr="00BC43EB" w:rsidP="00BC43EB">
            <w:pPr>
              <w:pStyle w:val="ListBullet"/>
            </w:pPr>
            <w:r w:rsidRPr="00BC43EB">
              <w:t>ways in which regulatory issues need to be addressed, including policies procedures, systems and typical reporting and documentati</w:t>
            </w:r>
            <w:r w:rsidRPr="00BC43EB">
              <w:t>on requirements</w:t>
            </w:r>
          </w:p>
          <w:p w:rsidR="00000000" w:rsidRPr="00BC43EB" w:rsidP="00BC43EB">
            <w:pPr>
              <w:pStyle w:val="ListBullet"/>
            </w:pPr>
            <w:r w:rsidRPr="00BC43EB">
              <w:t>structures and general operating procedures of regulatory authorities</w:t>
            </w:r>
          </w:p>
          <w:p w:rsidR="00000000" w:rsidRPr="00BC43EB" w:rsidP="00BC43EB">
            <w:pPr>
              <w:pStyle w:val="ListBullet"/>
            </w:pPr>
            <w:r w:rsidRPr="00BC43EB">
              <w:t>insurance issues relevant to regulatory requirements</w:t>
            </w:r>
          </w:p>
          <w:p w:rsidR="00000000" w:rsidRPr="00BC43EB" w:rsidP="00BC43EB">
            <w:pPr>
              <w:pStyle w:val="ListBullet"/>
            </w:pPr>
            <w:r w:rsidRPr="00BC43EB">
              <w:t>different formats for and contents of typical procedures to manage regulatory requirements during the set-up, operati</w:t>
            </w:r>
            <w:r w:rsidRPr="00BC43EB">
              <w:t>on and break-down of events.</w:t>
            </w:r>
          </w:p>
        </w:tc>
      </w:tr>
    </w:tbl>
    <w:p w:rsidR="00760943" w:rsidP="00BC43EB">
      <w:pPr>
        <w:pStyle w:val="BodyText"/>
      </w:pPr>
    </w:p>
    <w:p w:rsidR="00760943" w:rsidP="00BC43EB">
      <w:pPr>
        <w:pStyle w:val="BodyText"/>
      </w:pPr>
    </w:p>
    <w:p w:rsidR="00000000" w:rsidRPr="00BC43EB" w:rsidP="00BC43EB">
      <w:pPr>
        <w:pStyle w:val="Heading1"/>
      </w:pPr>
      <w:bookmarkStart w:id="10" w:name="O_148344"/>
      <w:bookmarkEnd w:id="10"/>
      <w:r w:rsidRPr="00BC43E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EVIDENCE GUIDE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t xml:space="preserve">The evidence guide provides advice on assessment and must be read in conjunction with the performance criteria, required skills and knowledge, </w:t>
            </w:r>
            <w:r w:rsidRPr="00BC43EB">
              <w:t>the range statement and the Assessment Guidelines for this Training Package.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  <w:r w:rsidRPr="00BC43EB">
              <w:t>Evidence of the following is essential:</w:t>
            </w:r>
          </w:p>
          <w:p w:rsidR="00000000" w:rsidRPr="00BC43EB" w:rsidP="00BC43EB">
            <w:pPr>
              <w:pStyle w:val="ListBullet"/>
            </w:pPr>
            <w:r w:rsidRPr="00BC43EB">
              <w:t>ability to analyse, assess and respond t</w:t>
            </w:r>
            <w:r w:rsidRPr="00BC43EB">
              <w:t>o the range of regulatory issues affecting an event to ensure event compliance</w:t>
            </w:r>
          </w:p>
          <w:p w:rsidR="00000000" w:rsidRPr="00BC43EB" w:rsidP="00BC43EB">
            <w:pPr>
              <w:pStyle w:val="ListBullet"/>
            </w:pPr>
            <w:r w:rsidRPr="00BC43EB">
              <w:t>sound knowledge of the range of regulatory issues that affect different aspects of event staging, relevant networks and information sources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practical demonstration of skills through development of plans and procedures to address the regulatory requirements of a specific complex event.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  <w:r w:rsidRPr="00BC43EB">
              <w:t>Assessment must ensure:</w:t>
            </w:r>
          </w:p>
          <w:p w:rsidR="00000000" w:rsidRPr="00BC43EB" w:rsidP="00BC43EB">
            <w:pPr>
              <w:pStyle w:val="ListBullet"/>
            </w:pPr>
            <w:r w:rsidRPr="00BC43EB">
              <w:t>access to a complex event for wh</w:t>
            </w:r>
            <w:r w:rsidRPr="00BC43EB">
              <w:t>ich regulatory requirements must be addressed</w:t>
            </w:r>
          </w:p>
          <w:p w:rsidR="00000000" w:rsidRPr="00BC43EB" w:rsidP="00BC43EB">
            <w:pPr>
              <w:pStyle w:val="ListBullet"/>
            </w:pPr>
            <w:r w:rsidRPr="00BC43EB">
              <w:t>interaction with others to reflect the communication and negotiation aspects of the unit</w:t>
            </w:r>
          </w:p>
          <w:p w:rsidR="00000000" w:rsidRPr="00BC43EB" w:rsidP="00BC43EB">
            <w:pPr>
              <w:pStyle w:val="ListBullet"/>
            </w:pPr>
            <w:r w:rsidRPr="00BC43EB">
              <w:t xml:space="preserve">use of the appropriate state or territory legislation and plain English documents issued by regulatory authorities 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acces</w:t>
            </w:r>
            <w:r w:rsidRPr="00BC43EB">
              <w:t>s to current organisation policies and procedures, and plans used to manage regulatory issues.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  <w:r w:rsidRPr="00BC43EB">
              <w:t xml:space="preserve">A range of assessment methods should be used to assess practical skills and knowledge. The following examples are appropriate for this unit: </w:t>
            </w:r>
          </w:p>
          <w:p w:rsidR="00000000" w:rsidRPr="00BC43EB" w:rsidP="00BC43EB">
            <w:pPr>
              <w:pStyle w:val="ListBullet"/>
            </w:pPr>
            <w:r w:rsidRPr="00BC43EB">
              <w:t>evaluation of strategies and operational plans prepared by the candidate to address regulatory issues</w:t>
            </w:r>
          </w:p>
          <w:p w:rsidR="00000000" w:rsidRPr="00BC43EB" w:rsidP="00BC43EB">
            <w:pPr>
              <w:pStyle w:val="ListBullet"/>
            </w:pPr>
            <w:r w:rsidRPr="00BC43EB">
              <w:t>case studie</w:t>
            </w:r>
            <w:r w:rsidRPr="00BC43EB">
              <w:t xml:space="preserve">s to assess candidate's ability to develop approaches for a range of different events </w:t>
            </w:r>
          </w:p>
          <w:p w:rsidR="00000000" w:rsidRPr="00BC43EB" w:rsidP="00BC43EB">
            <w:pPr>
              <w:pStyle w:val="ListBullet"/>
            </w:pPr>
            <w:r w:rsidRPr="00BC43EB">
              <w:t>questions to assess detailed knowledge of different regulatory requirements and issues</w:t>
            </w:r>
          </w:p>
          <w:p w:rsidR="00000000" w:rsidRPr="00BC43EB" w:rsidP="00BC43EB">
            <w:pPr>
              <w:pStyle w:val="ListBullet"/>
            </w:pPr>
            <w:r w:rsidRPr="00BC43EB">
              <w:t>review of portfolios of evidence and third-party workplace reports of on-the-job p</w:t>
            </w:r>
            <w:r w:rsidRPr="00BC43EB">
              <w:t>erformance by the candidate.</w:t>
            </w:r>
          </w:p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t>Holistic assessment with other units relevant to the industry sector, workplace and job role is recommended.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  <w:r w:rsidRPr="00BC43EB">
              <w:t>Employability skills are integral to effective performance in the workplace and are</w:t>
            </w:r>
            <w:r w:rsidRPr="00BC43EB">
              <w:t xml:space="preserve"> broadly consistent across industry sectors. How these skills are applied varies between occupations and qualifications due to the different work functions and contexts.</w:t>
            </w:r>
          </w:p>
          <w:p w:rsidR="00000000" w:rsidRPr="00BC43EB" w:rsidP="00BC43EB">
            <w:pPr>
              <w:pStyle w:val="BodyText"/>
            </w:pPr>
            <w:r w:rsidRPr="00BC43EB">
              <w:t xml:space="preserve">Employability skills embedded in this unit should be assessed holistically with other </w:t>
            </w:r>
            <w:r w:rsidRPr="00BC43EB">
              <w:t>relevant units that make up the skill set or qualification and in the context of the job role.</w:t>
            </w:r>
          </w:p>
        </w:tc>
      </w:tr>
    </w:tbl>
    <w:p w:rsidR="00760943" w:rsidP="00BC43EB">
      <w:pPr>
        <w:pStyle w:val="BodyText"/>
      </w:pPr>
    </w:p>
    <w:p w:rsidR="00760943" w:rsidP="00BC43EB">
      <w:pPr>
        <w:pStyle w:val="BodyText"/>
      </w:pPr>
    </w:p>
    <w:p w:rsidR="00000000" w:rsidRPr="00BC43EB" w:rsidP="00BC43EB">
      <w:pPr>
        <w:pStyle w:val="Heading1"/>
      </w:pPr>
      <w:bookmarkStart w:id="11" w:name="O_148345"/>
      <w:bookmarkEnd w:id="11"/>
      <w:r w:rsidRPr="00BC43E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RANGE STATEMENT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t>The range statement relates to the unit of competency as a whole. It allows for different work environments and situations that may affect performance. Bold italicised wording in the performance criteria is detailed below.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BoldandItalics"/>
              </w:rPr>
              <w:t>Event information</w:t>
            </w:r>
            <w:r w:rsidRPr="00BC43E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Bullet"/>
            </w:pPr>
            <w:r w:rsidRPr="00BC43EB">
              <w:t>general nature of event</w:t>
            </w:r>
          </w:p>
          <w:p w:rsidR="00000000" w:rsidRPr="00BC43EB" w:rsidP="00BC43EB">
            <w:pPr>
              <w:pStyle w:val="ListBullet"/>
            </w:pPr>
            <w:r w:rsidRPr="00BC43EB">
              <w:t>event management structures</w:t>
            </w:r>
          </w:p>
          <w:p w:rsidR="00000000" w:rsidRPr="00BC43EB" w:rsidP="00BC43EB">
            <w:pPr>
              <w:pStyle w:val="ListBullet"/>
            </w:pPr>
            <w:r w:rsidRPr="00BC43EB">
              <w:t>level of government involvement</w:t>
            </w:r>
          </w:p>
          <w:p w:rsidR="00000000" w:rsidRPr="00BC43EB" w:rsidP="00BC43EB">
            <w:pPr>
              <w:pStyle w:val="ListBullet"/>
            </w:pPr>
            <w:r w:rsidRPr="00BC43EB">
              <w:t>location</w:t>
            </w:r>
          </w:p>
          <w:p w:rsidR="00000000" w:rsidRPr="00BC43EB" w:rsidP="00BC43EB">
            <w:pPr>
              <w:pStyle w:val="ListBullet"/>
            </w:pPr>
            <w:r w:rsidRPr="00BC43EB">
              <w:t>dates and times</w:t>
            </w:r>
          </w:p>
          <w:p w:rsidR="00000000" w:rsidRPr="00BC43EB" w:rsidP="00BC43EB">
            <w:pPr>
              <w:pStyle w:val="ListBullet"/>
            </w:pPr>
            <w:r w:rsidRPr="00BC43EB">
              <w:t>duration</w:t>
            </w:r>
          </w:p>
          <w:p w:rsidR="00000000" w:rsidRPr="00BC43EB" w:rsidP="00BC43EB">
            <w:pPr>
              <w:pStyle w:val="ListBullet"/>
            </w:pPr>
            <w:r w:rsidRPr="00BC43EB">
              <w:t>number of activities, sports or individual events</w:t>
            </w:r>
          </w:p>
          <w:p w:rsidR="00000000" w:rsidRPr="00BC43EB" w:rsidP="00BC43EB">
            <w:pPr>
              <w:pStyle w:val="ListBullet"/>
            </w:pPr>
            <w:r w:rsidRPr="00BC43EB">
              <w:t>numbers attending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scope of physical staging requirements.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BoldandItalics"/>
              </w:rPr>
              <w:t>Specific event regulatory issues</w:t>
            </w:r>
            <w:r w:rsidRPr="00BC43EB">
              <w:t xml:space="preserve"> may relate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Bullet"/>
            </w:pPr>
            <w:r w:rsidRPr="00BC43EB">
              <w:t>food safety</w:t>
            </w:r>
          </w:p>
          <w:p w:rsidR="00000000" w:rsidRPr="00BC43EB" w:rsidP="00BC43EB">
            <w:pPr>
              <w:pStyle w:val="ListBullet"/>
            </w:pPr>
            <w:r w:rsidRPr="00BC43EB">
              <w:t>security</w:t>
            </w:r>
          </w:p>
          <w:p w:rsidR="00000000" w:rsidRPr="00BC43EB" w:rsidP="00BC43EB">
            <w:pPr>
              <w:pStyle w:val="ListBullet"/>
            </w:pPr>
            <w:r w:rsidRPr="00BC43EB">
              <w:t>responsible service of alcohol</w:t>
            </w:r>
          </w:p>
          <w:p w:rsidR="00000000" w:rsidRPr="00BC43EB" w:rsidP="00BC43EB">
            <w:pPr>
              <w:pStyle w:val="ListBullet"/>
            </w:pPr>
            <w:r w:rsidRPr="00BC43EB">
              <w:t>use of licensed personnel, such as trades and pyrotechnicians</w:t>
            </w:r>
          </w:p>
          <w:p w:rsidR="00000000" w:rsidRPr="00BC43EB" w:rsidP="00BC43EB">
            <w:pPr>
              <w:pStyle w:val="ListBullet"/>
            </w:pPr>
            <w:r w:rsidRPr="00BC43EB">
              <w:t>crowd control</w:t>
            </w:r>
          </w:p>
          <w:p w:rsidR="00000000" w:rsidRPr="00BC43EB" w:rsidP="00BC43EB">
            <w:pPr>
              <w:pStyle w:val="ListBullet"/>
            </w:pPr>
            <w:r w:rsidRPr="00BC43EB">
              <w:t>legal liability and duty of care of customers</w:t>
            </w:r>
          </w:p>
          <w:p w:rsidR="00000000" w:rsidRPr="00BC43EB" w:rsidP="00BC43EB">
            <w:pPr>
              <w:pStyle w:val="ListBullet"/>
            </w:pPr>
            <w:r w:rsidRPr="00BC43EB">
              <w:t>local community protection</w:t>
            </w:r>
          </w:p>
          <w:p w:rsidR="00000000" w:rsidRPr="00BC43EB" w:rsidP="00BC43EB">
            <w:pPr>
              <w:pStyle w:val="ListBullet"/>
            </w:pPr>
            <w:r w:rsidRPr="00BC43EB">
              <w:t>consum</w:t>
            </w:r>
            <w:r w:rsidRPr="00BC43EB">
              <w:t>er protection</w:t>
            </w:r>
          </w:p>
          <w:p w:rsidR="00000000" w:rsidRPr="00BC43EB" w:rsidP="00BC43EB">
            <w:pPr>
              <w:pStyle w:val="ListBullet"/>
            </w:pPr>
            <w:r w:rsidRPr="00BC43EB">
              <w:t>environmental impacts and minimal impact practices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OHS and workers' compensation.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BoldandItalics"/>
              </w:rPr>
              <w:t>Specific risk management issues</w:t>
            </w:r>
            <w:r w:rsidRPr="00BC43E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Bullet"/>
            </w:pPr>
            <w:r w:rsidRPr="00BC43EB">
              <w:t>implications of non-compliance</w:t>
            </w:r>
          </w:p>
          <w:p w:rsidR="00000000" w:rsidRPr="00BC43EB" w:rsidP="00BC43EB">
            <w:pPr>
              <w:pStyle w:val="ListBullet"/>
            </w:pPr>
            <w:r w:rsidRPr="00BC43EB">
              <w:t>accountability, e.g. event organiser versus specific contractors</w:t>
            </w:r>
          </w:p>
          <w:p w:rsidR="00000000" w:rsidRPr="00BC43EB" w:rsidP="00BC43EB">
            <w:pPr>
              <w:pStyle w:val="ListBullet"/>
            </w:pPr>
            <w:r w:rsidRPr="00BC43EB">
              <w:t>safety issues</w:t>
            </w:r>
          </w:p>
          <w:p w:rsidR="00000000" w:rsidRPr="00BC43EB" w:rsidP="00BC43EB">
            <w:pPr>
              <w:pStyle w:val="ListBullet"/>
            </w:pPr>
            <w:r w:rsidRPr="00BC43EB">
              <w:t>need for clear communication and reporting protocols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minimisation of environmental impacts.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BoldandItalics"/>
              </w:rPr>
              <w:t>Stakeholders</w:t>
            </w:r>
            <w:r w:rsidRPr="00BC43E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Bullet"/>
            </w:pPr>
            <w:r w:rsidRPr="00BC43EB">
              <w:t>industry bodies</w:t>
            </w:r>
          </w:p>
          <w:p w:rsidR="00000000" w:rsidRPr="00BC43EB" w:rsidP="00BC43EB">
            <w:pPr>
              <w:pStyle w:val="ListBullet"/>
            </w:pPr>
            <w:r w:rsidRPr="00BC43EB">
              <w:t>professional associations</w:t>
            </w:r>
          </w:p>
          <w:p w:rsidR="00000000" w:rsidRPr="00BC43EB" w:rsidP="00BC43EB">
            <w:pPr>
              <w:pStyle w:val="ListBullet"/>
            </w:pPr>
            <w:r w:rsidRPr="00BC43EB">
              <w:t>state, territory &amp; local government management and regulatory authorities, including:</w:t>
            </w:r>
          </w:p>
          <w:p w:rsidR="00000000" w:rsidRPr="00BC43EB" w:rsidP="00BC43EB">
            <w:pPr>
              <w:pStyle w:val="ListBullet2"/>
            </w:pPr>
            <w:r w:rsidRPr="00BC43EB">
              <w:t>sport and recreation</w:t>
            </w:r>
          </w:p>
          <w:p w:rsidR="00000000" w:rsidRPr="00BC43EB" w:rsidP="00BC43EB">
            <w:pPr>
              <w:pStyle w:val="ListBullet2"/>
            </w:pPr>
            <w:r w:rsidRPr="00BC43EB">
              <w:t>facilities</w:t>
            </w:r>
          </w:p>
          <w:p w:rsidR="00000000" w:rsidRPr="00BC43EB" w:rsidP="00BC43EB">
            <w:pPr>
              <w:pStyle w:val="ListBullet2"/>
            </w:pPr>
            <w:r w:rsidRPr="00BC43EB">
              <w:t xml:space="preserve">parks and public places </w:t>
            </w:r>
          </w:p>
          <w:p w:rsidR="00000000" w:rsidRPr="00BC43EB" w:rsidP="00BC43EB">
            <w:pPr>
              <w:pStyle w:val="ListBullet2"/>
            </w:pPr>
            <w:r w:rsidRPr="00BC43EB">
              <w:t>transport</w:t>
            </w:r>
          </w:p>
          <w:p w:rsidR="00000000" w:rsidRPr="00BC43EB" w:rsidP="00BC43EB">
            <w:pPr>
              <w:pStyle w:val="ListBullet2"/>
            </w:pPr>
            <w:r w:rsidRPr="00BC43EB">
              <w:t>licensing</w:t>
            </w:r>
          </w:p>
          <w:p w:rsidR="00000000" w:rsidRPr="00BC43EB" w:rsidP="00BC43EB">
            <w:pPr>
              <w:pStyle w:val="ListBullet2"/>
            </w:pPr>
            <w:r w:rsidRPr="00BC43EB">
              <w:t>traffic</w:t>
            </w:r>
          </w:p>
          <w:p w:rsidR="00000000" w:rsidRPr="00BC43EB" w:rsidP="00BC43EB">
            <w:pPr>
              <w:pStyle w:val="ListBullet2"/>
            </w:pPr>
            <w:r w:rsidRPr="00BC43EB">
              <w:t>land management</w:t>
            </w:r>
          </w:p>
          <w:p w:rsidR="00000000" w:rsidRPr="00BC43EB" w:rsidP="00BC43EB">
            <w:pPr>
              <w:pStyle w:val="ListBullet2"/>
            </w:pPr>
            <w:r w:rsidRPr="00BC43EB">
              <w:t>environmental protection</w:t>
            </w:r>
          </w:p>
          <w:p w:rsidR="00000000" w:rsidRPr="00BC43EB" w:rsidP="00BC43EB">
            <w:pPr>
              <w:pStyle w:val="ListBullet2"/>
            </w:pPr>
            <w:r w:rsidRPr="00BC43EB">
              <w:t>waste management</w:t>
            </w:r>
          </w:p>
          <w:p w:rsidR="00000000" w:rsidRPr="00BC43EB" w:rsidP="00BC43EB">
            <w:pPr>
              <w:pStyle w:val="ListBullet2"/>
            </w:pPr>
            <w:r w:rsidRPr="00BC43EB">
              <w:t>utilities</w:t>
            </w:r>
          </w:p>
          <w:p w:rsidR="00000000" w:rsidRPr="00BC43EB" w:rsidP="00BC43EB">
            <w:pPr>
              <w:pStyle w:val="ListBullet2"/>
            </w:pPr>
            <w:r w:rsidRPr="00BC43EB">
              <w:t>information services</w:t>
            </w:r>
          </w:p>
          <w:p w:rsidR="00000000" w:rsidRPr="00BC43EB" w:rsidP="00BC43EB">
            <w:pPr>
              <w:pStyle w:val="ListBullet2"/>
            </w:pPr>
            <w:r w:rsidRPr="00BC43EB">
              <w:t>police</w:t>
            </w:r>
          </w:p>
          <w:p w:rsidR="00000000" w:rsidRPr="00BC43EB" w:rsidP="00BC43EB">
            <w:pPr>
              <w:pStyle w:val="ListBullet2"/>
            </w:pPr>
            <w:r w:rsidRPr="00BC43EB">
              <w:t>emergency services</w:t>
            </w:r>
          </w:p>
          <w:p w:rsidR="00000000" w:rsidRPr="00BC43EB" w:rsidP="00BC43EB">
            <w:pPr>
              <w:pStyle w:val="ListBullet2"/>
            </w:pPr>
            <w:r w:rsidRPr="00BC43EB">
              <w:t>convention and event sections</w:t>
            </w:r>
          </w:p>
          <w:p w:rsidR="00000000" w:rsidRPr="00BC43EB" w:rsidP="00BC43EB">
            <w:pPr>
              <w:pStyle w:val="ListBullet2"/>
            </w:pPr>
            <w:r w:rsidRPr="00BC43EB">
              <w:t>fair trading</w:t>
            </w:r>
          </w:p>
          <w:p w:rsidR="00000000" w:rsidRPr="00BC43EB" w:rsidP="00BC43EB">
            <w:pPr>
              <w:pStyle w:val="ListBullet2"/>
            </w:pPr>
            <w:r w:rsidRPr="00BC43EB">
              <w:t>occupational health and safety</w:t>
            </w:r>
          </w:p>
          <w:p w:rsidR="00000000" w:rsidRPr="00BC43EB" w:rsidP="00BC43EB">
            <w:pPr>
              <w:pStyle w:val="ListBullet"/>
            </w:pPr>
            <w:r w:rsidRPr="00BC43EB">
              <w:t>tourism authorities and organisations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unions.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BoldandItalics"/>
              </w:rPr>
              <w:t>Specialist planning and operational advice or assistance</w:t>
            </w:r>
            <w:r w:rsidRPr="00BC43E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Bullet"/>
            </w:pPr>
            <w:r w:rsidRPr="00BC43EB">
              <w:t>technical experts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local government management and regulatory authorities.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BoldandItalics"/>
              </w:rPr>
              <w:t>Scope and complexity of required or desirable liaison</w:t>
            </w:r>
            <w:r w:rsidRPr="00BC43EB">
              <w:t xml:space="preserve"> may be impacted by: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Bullet"/>
            </w:pPr>
            <w:r w:rsidRPr="00BC43EB">
              <w:t>scope of the event</w:t>
            </w:r>
          </w:p>
          <w:p w:rsidR="00000000" w:rsidRPr="00BC43EB" w:rsidP="00BC43EB">
            <w:pPr>
              <w:pStyle w:val="ListBullet"/>
            </w:pPr>
            <w:r w:rsidRPr="00BC43EB">
              <w:t>nature of the event in terms of complexity and number of associated regulatory issues</w:t>
            </w:r>
          </w:p>
          <w:p w:rsidR="00000000" w:rsidRPr="00BC43EB" w:rsidP="00BC43EB">
            <w:pPr>
              <w:pStyle w:val="ListBullet"/>
            </w:pPr>
            <w:r w:rsidRPr="00BC43EB">
              <w:t>current focus or requirements of relevant authority</w:t>
            </w:r>
          </w:p>
          <w:p w:rsidR="00000000" w:rsidRPr="00BC43EB" w:rsidP="00BC43EB">
            <w:pPr>
              <w:pStyle w:val="ListBullet"/>
            </w:pPr>
            <w:r w:rsidRPr="00BC43EB">
              <w:t>level of safety risk</w:t>
            </w:r>
          </w:p>
          <w:p w:rsidR="00000000" w:rsidRPr="00BC43EB" w:rsidP="00BC43EB">
            <w:pPr>
              <w:pStyle w:val="ListBullet"/>
            </w:pPr>
            <w:r w:rsidRPr="00BC43EB">
              <w:t>level of environmental risk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impact of the event on the physical environment.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BoldandItalics"/>
              </w:rPr>
              <w:t>Appropriate agencies</w:t>
            </w:r>
            <w:r w:rsidRPr="00BC43E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Bullet"/>
            </w:pPr>
            <w:r w:rsidRPr="00BC43EB">
              <w:t>WorkCover authorities</w:t>
            </w:r>
          </w:p>
          <w:p w:rsidR="00000000" w:rsidRPr="00BC43EB" w:rsidP="00BC43EB">
            <w:pPr>
              <w:pStyle w:val="ListBullet"/>
            </w:pPr>
            <w:r w:rsidRPr="00BC43EB">
              <w:t>licensing authorities</w:t>
            </w:r>
          </w:p>
          <w:p w:rsidR="00000000" w:rsidRPr="00BC43EB" w:rsidP="00BC43EB">
            <w:pPr>
              <w:pStyle w:val="ListBullet"/>
            </w:pPr>
            <w:r w:rsidRPr="00BC43EB">
              <w:t>local councils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federal, state and territory government departments.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BoldandItalics"/>
              </w:rPr>
              <w:t>Broader event management structures</w:t>
            </w:r>
            <w:r w:rsidRPr="00BC43EB">
              <w:t xml:space="preserve">, </w:t>
            </w:r>
            <w:r w:rsidRPr="00BC43EB">
              <w:rPr>
                <w:rStyle w:val="BoldandItalics"/>
              </w:rPr>
              <w:t>processes and constraints</w:t>
            </w:r>
            <w:r w:rsidRPr="00BC43E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Bullet"/>
            </w:pPr>
            <w:r w:rsidRPr="00BC43EB">
              <w:t>overall management structure for the event</w:t>
            </w:r>
          </w:p>
          <w:p w:rsidR="00000000" w:rsidRPr="00BC43EB" w:rsidP="00BC43EB">
            <w:pPr>
              <w:pStyle w:val="ListBullet"/>
            </w:pPr>
            <w:r w:rsidRPr="00BC43EB">
              <w:t>specific event objectives</w:t>
            </w:r>
          </w:p>
          <w:p w:rsidR="00000000" w:rsidRPr="00BC43EB" w:rsidP="00BC43EB">
            <w:pPr>
              <w:pStyle w:val="ListBullet"/>
            </w:pPr>
            <w:r w:rsidRPr="00BC43EB">
              <w:t>budget</w:t>
            </w:r>
          </w:p>
          <w:p w:rsidR="00000000" w:rsidRPr="00BC43EB" w:rsidP="00BC43EB">
            <w:pPr>
              <w:pStyle w:val="ListBullet"/>
            </w:pPr>
            <w:r w:rsidRPr="00BC43EB">
              <w:t>human resources</w:t>
            </w:r>
          </w:p>
          <w:p w:rsidR="00000000" w:rsidRPr="00BC43EB" w:rsidP="00BC43EB">
            <w:pPr>
              <w:pStyle w:val="ListBullet"/>
            </w:pPr>
            <w:r w:rsidRPr="00BC43EB">
              <w:t>other operational requirements</w:t>
            </w:r>
          </w:p>
          <w:p w:rsidR="00000000" w:rsidRPr="00BC43EB" w:rsidP="00BC43EB">
            <w:pPr>
              <w:pStyle w:val="ListBullet"/>
            </w:pPr>
            <w:r w:rsidRPr="00BC43EB">
              <w:t>promotional requirements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factors external to the event.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BoldandItalics"/>
              </w:rPr>
              <w:t>Specific procedures that address event regulatory requirements</w:t>
            </w:r>
            <w:r w:rsidRPr="00BC43EB">
              <w:t xml:space="preserve"> may relate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Bullet"/>
            </w:pPr>
            <w:r w:rsidRPr="00BC43EB">
              <w:t>transport, handling and storage of food</w:t>
            </w:r>
          </w:p>
          <w:p w:rsidR="00000000" w:rsidRPr="00BC43EB" w:rsidP="00BC43EB">
            <w:pPr>
              <w:pStyle w:val="ListBullet"/>
            </w:pPr>
            <w:r w:rsidRPr="00BC43EB">
              <w:t>documentation of roles and responsibilities, including restrictions for non-licensed personnel</w:t>
            </w:r>
          </w:p>
          <w:p w:rsidR="00000000" w:rsidRPr="00BC43EB" w:rsidP="00BC43EB">
            <w:pPr>
              <w:pStyle w:val="ListBullet"/>
            </w:pPr>
            <w:r w:rsidRPr="00BC43EB">
              <w:t>lines of communication</w:t>
            </w:r>
          </w:p>
          <w:p w:rsidR="00000000" w:rsidRPr="00BC43EB" w:rsidP="00BC43EB">
            <w:pPr>
              <w:pStyle w:val="ListBullet"/>
            </w:pPr>
            <w:r w:rsidRPr="00BC43EB">
              <w:t>reporting procedures</w:t>
            </w:r>
          </w:p>
          <w:p w:rsidR="00000000" w:rsidRPr="00BC43EB" w:rsidP="00BC43EB">
            <w:pPr>
              <w:pStyle w:val="ListBullet"/>
            </w:pPr>
            <w:r w:rsidRPr="00BC43EB">
              <w:t>emergency procedures</w:t>
            </w:r>
          </w:p>
          <w:p w:rsidR="00000000" w:rsidRPr="00BC43EB" w:rsidP="00BC43EB">
            <w:pPr>
              <w:pStyle w:val="ListBullet"/>
            </w:pPr>
            <w:r w:rsidRPr="00BC43EB">
              <w:t>hazard identification, reporting and assessment of associated risks</w:t>
            </w:r>
          </w:p>
          <w:p w:rsidR="00000000" w:rsidRPr="00BC43EB" w:rsidP="00BC43EB">
            <w:pPr>
              <w:pStyle w:val="ListBullet"/>
            </w:pPr>
            <w:r w:rsidRPr="00BC43EB">
              <w:t>minimal impact practices to reduce the negative environmental impacts of resource, water and energy use at event sites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waste management.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BoldandItalics"/>
              </w:rPr>
              <w:t>Compl</w:t>
            </w:r>
            <w:r w:rsidRPr="00BC43EB">
              <w:rPr>
                <w:rStyle w:val="BoldandItalics"/>
              </w:rPr>
              <w:t>iance documentation</w:t>
            </w:r>
            <w:r w:rsidRPr="00BC43E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Bullet"/>
            </w:pPr>
            <w:r w:rsidRPr="00BC43EB">
              <w:t>pre-event reports and requests to authorities</w:t>
            </w:r>
          </w:p>
          <w:p w:rsidR="00000000" w:rsidRPr="00BC43EB" w:rsidP="00BC43EB">
            <w:pPr>
              <w:pStyle w:val="ListBullet"/>
            </w:pPr>
            <w:r w:rsidRPr="00BC43EB">
              <w:t>details of licensed personnel</w:t>
            </w:r>
          </w:p>
          <w:p w:rsidR="00000000" w:rsidRPr="00BC43EB" w:rsidP="00BC43EB">
            <w:pPr>
              <w:pStyle w:val="ListBullet"/>
            </w:pPr>
            <w:r w:rsidRPr="00BC43EB">
              <w:t>activity logs</w:t>
            </w:r>
          </w:p>
          <w:p w:rsidR="00000000" w:rsidP="00BC43EB">
            <w:pPr>
              <w:pStyle w:val="ListBullet"/>
              <w:rPr>
                <w:lang w:val="en-NZ"/>
              </w:rPr>
            </w:pPr>
            <w:r w:rsidRPr="00BC43EB">
              <w:t>incident reports.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BoldandItalics"/>
              </w:rPr>
              <w:t>Briefings and relevant information</w:t>
            </w:r>
            <w:r w:rsidRPr="00BC43E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ListBullet"/>
            </w:pPr>
            <w:r w:rsidRPr="00BC43EB">
              <w:t>information on regulatory requirements</w:t>
            </w:r>
          </w:p>
          <w:p w:rsidR="00000000" w:rsidRPr="00BC43EB" w:rsidP="00BC43EB">
            <w:pPr>
              <w:pStyle w:val="ListBullet"/>
            </w:pPr>
            <w:r w:rsidRPr="00BC43EB">
              <w:t>specific procedures to follow in different situations</w:t>
            </w:r>
          </w:p>
          <w:p w:rsidR="00000000" w:rsidRPr="00BC43EB" w:rsidP="00BC43EB">
            <w:pPr>
              <w:pStyle w:val="ListBullet"/>
            </w:pPr>
            <w:r w:rsidRPr="00BC43EB">
              <w:t>contacts and procedures for emergency situations</w:t>
            </w:r>
          </w:p>
          <w:p w:rsidR="00000000" w:rsidRPr="00BC43EB" w:rsidP="00BC43EB">
            <w:pPr>
              <w:pStyle w:val="ListBullet"/>
            </w:pPr>
            <w:r w:rsidRPr="00BC43EB">
              <w:t>roles and responsibilities charts</w:t>
            </w:r>
          </w:p>
          <w:p w:rsidR="00000000" w:rsidRPr="00BC43EB" w:rsidP="00BC43EB">
            <w:pPr>
              <w:pStyle w:val="ListBullet"/>
            </w:pPr>
            <w:r w:rsidRPr="00BC43EB">
              <w:t>blank copies of documentation to be completed.</w:t>
            </w:r>
          </w:p>
        </w:tc>
      </w:tr>
    </w:tbl>
    <w:p w:rsidR="00760943" w:rsidP="00BC43EB">
      <w:pPr>
        <w:pStyle w:val="BodyText"/>
      </w:pPr>
    </w:p>
    <w:p w:rsidR="00760943" w:rsidP="00BC43EB">
      <w:pPr>
        <w:pStyle w:val="BodyText"/>
      </w:pPr>
    </w:p>
    <w:p w:rsidR="00000000" w:rsidRPr="00BC43EB" w:rsidP="00BC43EB">
      <w:pPr>
        <w:pStyle w:val="Heading1"/>
      </w:pPr>
      <w:bookmarkStart w:id="12" w:name="O_148346"/>
      <w:bookmarkEnd w:id="12"/>
      <w:r w:rsidRPr="00BC43EB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  <w:r w:rsidRPr="00BC43EB">
              <w:t>Cross-Sector</w:t>
            </w:r>
          </w:p>
        </w:tc>
      </w:tr>
    </w:tbl>
    <w:p w:rsidR="00000000" w:rsidRPr="00BC43EB" w:rsidP="00BC43EB">
      <w:pPr>
        <w:pStyle w:val="BodyText"/>
      </w:pPr>
    </w:p>
    <w:p w:rsidR="00000000" w:rsidRPr="00BC43EB" w:rsidP="00BC43EB">
      <w:pPr>
        <w:pStyle w:val="AllowPageBreak"/>
      </w:pPr>
    </w:p>
    <w:p w:rsidR="00000000" w:rsidRPr="00BC43EB" w:rsidP="00BC43EB">
      <w:pPr>
        <w:pStyle w:val="Heading1"/>
      </w:pPr>
      <w:bookmarkStart w:id="13" w:name="O_163460"/>
      <w:bookmarkEnd w:id="13"/>
      <w:r w:rsidRPr="00BC43EB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EB">
            <w:pPr>
              <w:pStyle w:val="BodyText"/>
              <w:rPr>
                <w:lang w:val="en-NZ"/>
              </w:rPr>
            </w:pPr>
            <w:r w:rsidRPr="00BC43EB">
              <w:t>Event Management</w:t>
            </w:r>
          </w:p>
        </w:tc>
      </w:tr>
      <w:tr w:rsidTr="00760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EB" w:rsidP="00BC43EB">
            <w:pPr>
              <w:pStyle w:val="BodyText"/>
            </w:pPr>
          </w:p>
        </w:tc>
      </w:tr>
    </w:tbl>
    <w:p w:rsidR="00000000" w:rsidRPr="00BC43EB" w:rsidP="00BC43EB">
      <w:pPr>
        <w:pStyle w:val="BodyText"/>
      </w:pPr>
    </w:p>
    <w:p w:rsidR="00000000" w:rsidRPr="00BC43EB" w:rsidP="00BC43EB"/>
    <w:sectPr w:rsidSect="00BC43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0943" w:rsidP="00760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943" w:rsidP="00BC4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60943" w:rsidP="00BC4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60943" w:rsidP="00BC43E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0943" w:rsidP="0076094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943" w:rsidP="00BC4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SITXEVT010B Evaluate and address event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60943" w:rsidP="00BC43E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DAA3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FA1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AED6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3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C43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3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3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3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3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3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3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3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3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3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3EB"/>
  </w:style>
  <w:style w:type="character" w:customStyle="1" w:styleId="Heading1Char">
    <w:name w:val="Heading 1 Char"/>
    <w:basedOn w:val="DefaultParagraphFont"/>
    <w:link w:val="Heading1"/>
    <w:rsid w:val="00BC43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3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3E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C43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3E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C43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43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3EB"/>
    <w:rPr>
      <w:b/>
      <w:spacing w:val="0"/>
    </w:rPr>
  </w:style>
  <w:style w:type="paragraph" w:styleId="ListBullet2">
    <w:name w:val="List Bullet 2"/>
    <w:basedOn w:val="List2"/>
    <w:rsid w:val="00BC43E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C43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3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C43E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C43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C43E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C43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3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3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3E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C43E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C43E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C43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3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3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3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3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C43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3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3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43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3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3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3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3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3E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C43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3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3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3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3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3EB"/>
    <w:rPr>
      <w:i/>
    </w:rPr>
  </w:style>
  <w:style w:type="paragraph" w:styleId="Caption">
    <w:name w:val="caption"/>
    <w:basedOn w:val="BodyText"/>
    <w:next w:val="Normal"/>
    <w:qFormat/>
    <w:rsid w:val="00BC43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3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3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3EB"/>
  </w:style>
  <w:style w:type="paragraph" w:styleId="TableofFigures">
    <w:name w:val="table of figures"/>
    <w:basedOn w:val="Normal"/>
    <w:next w:val="Normal"/>
    <w:semiHidden/>
    <w:rsid w:val="00BC43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3EB"/>
    <w:pPr>
      <w:numPr>
        <w:numId w:val="11"/>
      </w:numPr>
    </w:pPr>
  </w:style>
  <w:style w:type="character" w:customStyle="1" w:styleId="WingdingSymbols">
    <w:name w:val="Wingding Symbols"/>
    <w:rsid w:val="00BC43EB"/>
    <w:rPr>
      <w:rFonts w:ascii="Wingdings" w:hAnsi="Wingdings"/>
    </w:rPr>
  </w:style>
  <w:style w:type="paragraph" w:customStyle="1" w:styleId="TableHeading">
    <w:name w:val="Table Heading"/>
    <w:basedOn w:val="HeadingBase"/>
    <w:rsid w:val="00BC43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3EB"/>
    <w:rPr>
      <w:color w:val="0033CC"/>
      <w:u w:val="none"/>
    </w:rPr>
  </w:style>
  <w:style w:type="paragraph" w:customStyle="1" w:styleId="BodyTextRight">
    <w:name w:val="Body Text Right"/>
    <w:basedOn w:val="BodyText"/>
    <w:rsid w:val="00BC43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3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3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3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3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3E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C43EB"/>
    <w:rPr>
      <w:sz w:val="32"/>
    </w:rPr>
  </w:style>
  <w:style w:type="paragraph" w:customStyle="1" w:styleId="HeadingProcedure">
    <w:name w:val="Heading Procedure"/>
    <w:basedOn w:val="HeadingBase"/>
    <w:next w:val="Normal"/>
    <w:rsid w:val="00BC43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3EB"/>
    <w:pPr>
      <w:spacing w:before="60" w:after="60"/>
    </w:pPr>
  </w:style>
  <w:style w:type="paragraph" w:styleId="ListContinue">
    <w:name w:val="List Continue"/>
    <w:basedOn w:val="List"/>
    <w:rsid w:val="00BC43EB"/>
    <w:pPr>
      <w:ind w:firstLine="0"/>
    </w:pPr>
  </w:style>
  <w:style w:type="paragraph" w:customStyle="1" w:styleId="ListNote">
    <w:name w:val="List Note"/>
    <w:basedOn w:val="List"/>
    <w:rsid w:val="00BC43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3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3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3EB"/>
    <w:rPr>
      <w:rFonts w:ascii="Courier New" w:hAnsi="Courier New"/>
    </w:rPr>
  </w:style>
  <w:style w:type="paragraph" w:customStyle="1" w:styleId="NoteBullet">
    <w:name w:val="Note Bullet"/>
    <w:basedOn w:val="Note"/>
    <w:rsid w:val="00BC43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3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3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3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3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43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3E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C43EB"/>
    <w:rPr>
      <w:b/>
      <w:smallCaps/>
    </w:rPr>
  </w:style>
  <w:style w:type="paragraph" w:customStyle="1" w:styleId="TableListNumber">
    <w:name w:val="Table List Number"/>
    <w:basedOn w:val="ListNumber"/>
    <w:rsid w:val="00BC43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3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3EB"/>
    <w:pPr>
      <w:numPr>
        <w:numId w:val="9"/>
      </w:numPr>
    </w:pPr>
  </w:style>
  <w:style w:type="paragraph" w:customStyle="1" w:styleId="ListAlpha2">
    <w:name w:val="List Alpha 2"/>
    <w:basedOn w:val="List2"/>
    <w:rsid w:val="00BC43EB"/>
    <w:pPr>
      <w:numPr>
        <w:numId w:val="8"/>
      </w:numPr>
    </w:pPr>
  </w:style>
  <w:style w:type="paragraph" w:styleId="List2">
    <w:name w:val="List 2"/>
    <w:basedOn w:val="BodyText"/>
    <w:rsid w:val="00BC43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3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3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3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3E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3EB"/>
    <w:pPr>
      <w:numPr>
        <w:numId w:val="3"/>
      </w:numPr>
    </w:pPr>
  </w:style>
  <w:style w:type="paragraph" w:styleId="ListBullet5">
    <w:name w:val="List Bullet 5"/>
    <w:basedOn w:val="List5"/>
    <w:rsid w:val="00BC43EB"/>
    <w:pPr>
      <w:numPr>
        <w:numId w:val="4"/>
      </w:numPr>
    </w:pPr>
  </w:style>
  <w:style w:type="paragraph" w:styleId="ListContinue2">
    <w:name w:val="List Continue 2"/>
    <w:basedOn w:val="List2"/>
    <w:rsid w:val="00BC43EB"/>
    <w:pPr>
      <w:ind w:firstLine="0"/>
    </w:pPr>
  </w:style>
  <w:style w:type="paragraph" w:styleId="ListContinue3">
    <w:name w:val="List Continue 3"/>
    <w:basedOn w:val="List3"/>
    <w:rsid w:val="00BC43EB"/>
    <w:pPr>
      <w:ind w:left="1021" w:firstLine="0"/>
    </w:pPr>
  </w:style>
  <w:style w:type="paragraph" w:styleId="ListContinue4">
    <w:name w:val="List Continue 4"/>
    <w:basedOn w:val="List4"/>
    <w:rsid w:val="00BC43EB"/>
    <w:pPr>
      <w:ind w:firstLine="0"/>
    </w:pPr>
  </w:style>
  <w:style w:type="paragraph" w:styleId="ListContinue5">
    <w:name w:val="List Continue 5"/>
    <w:basedOn w:val="List5"/>
    <w:rsid w:val="00BC43EB"/>
    <w:pPr>
      <w:ind w:firstLine="0"/>
    </w:pPr>
  </w:style>
  <w:style w:type="paragraph" w:styleId="ListNumber3">
    <w:name w:val="List Number 3"/>
    <w:basedOn w:val="List3"/>
    <w:rsid w:val="00BC43EB"/>
    <w:pPr>
      <w:numPr>
        <w:numId w:val="5"/>
      </w:numPr>
    </w:pPr>
  </w:style>
  <w:style w:type="paragraph" w:styleId="ListNumber4">
    <w:name w:val="List Number 4"/>
    <w:basedOn w:val="List4"/>
    <w:rsid w:val="00BC43EB"/>
    <w:pPr>
      <w:numPr>
        <w:numId w:val="6"/>
      </w:numPr>
    </w:pPr>
  </w:style>
  <w:style w:type="paragraph" w:styleId="ListNumber5">
    <w:name w:val="List Number 5"/>
    <w:basedOn w:val="List5"/>
    <w:rsid w:val="00BC43EB"/>
    <w:pPr>
      <w:numPr>
        <w:numId w:val="7"/>
      </w:numPr>
    </w:pPr>
  </w:style>
  <w:style w:type="paragraph" w:styleId="BlockText">
    <w:name w:val="Block Text"/>
    <w:basedOn w:val="Normal"/>
    <w:rsid w:val="00BC43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3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3EB"/>
    <w:rPr>
      <w:sz w:val="16"/>
      <w:vertAlign w:val="superscript"/>
    </w:rPr>
  </w:style>
  <w:style w:type="character" w:customStyle="1" w:styleId="Symbols">
    <w:name w:val="Symbols"/>
    <w:basedOn w:val="DefaultParagraphFont"/>
    <w:rsid w:val="00BC43EB"/>
    <w:rPr>
      <w:rFonts w:ascii="Symbol" w:hAnsi="Symbol"/>
    </w:rPr>
  </w:style>
  <w:style w:type="character" w:customStyle="1" w:styleId="MenuOptions">
    <w:name w:val="Menu Options"/>
    <w:basedOn w:val="DefaultParagraphFont"/>
    <w:rsid w:val="00BC43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3EB"/>
    <w:rPr>
      <w:b/>
    </w:rPr>
  </w:style>
  <w:style w:type="character" w:customStyle="1" w:styleId="Underlined">
    <w:name w:val="Underlined"/>
    <w:basedOn w:val="DefaultParagraphFont"/>
    <w:rsid w:val="00BC43EB"/>
    <w:rPr>
      <w:u w:val="single"/>
    </w:rPr>
  </w:style>
  <w:style w:type="paragraph" w:customStyle="1" w:styleId="TableBodyTextRight">
    <w:name w:val="Table Body Text Right"/>
    <w:basedOn w:val="TableBodyText"/>
    <w:rsid w:val="00BC43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3EB"/>
    <w:rPr>
      <w:sz w:val="18"/>
    </w:rPr>
  </w:style>
  <w:style w:type="paragraph" w:customStyle="1" w:styleId="BodySmallRight">
    <w:name w:val="Body Small Right"/>
    <w:basedOn w:val="BodyTextRight"/>
    <w:rsid w:val="00BC43EB"/>
    <w:rPr>
      <w:sz w:val="18"/>
      <w:szCs w:val="18"/>
    </w:rPr>
  </w:style>
  <w:style w:type="paragraph" w:customStyle="1" w:styleId="MarginEdition">
    <w:name w:val="Margin Edition"/>
    <w:basedOn w:val="MarginNote"/>
    <w:rsid w:val="00BC43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3EB"/>
    <w:rPr>
      <w:sz w:val="2"/>
      <w:szCs w:val="2"/>
    </w:rPr>
  </w:style>
  <w:style w:type="character" w:customStyle="1" w:styleId="Small">
    <w:name w:val="Small"/>
    <w:basedOn w:val="DefaultParagraphFont"/>
    <w:rsid w:val="00BC43EB"/>
    <w:rPr>
      <w:sz w:val="16"/>
    </w:rPr>
  </w:style>
  <w:style w:type="paragraph" w:customStyle="1" w:styleId="WideTable">
    <w:name w:val="Wide Table"/>
    <w:basedOn w:val="Normal"/>
    <w:rsid w:val="00BC43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3EB"/>
  </w:style>
  <w:style w:type="paragraph" w:styleId="Quote">
    <w:name w:val="Quote"/>
    <w:basedOn w:val="Heading1"/>
    <w:link w:val="QuoteChar"/>
    <w:qFormat/>
    <w:rsid w:val="00BC43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3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3EB"/>
    <w:pPr>
      <w:pageBreakBefore/>
    </w:pPr>
  </w:style>
  <w:style w:type="paragraph" w:customStyle="1" w:styleId="Border">
    <w:name w:val="Border"/>
    <w:basedOn w:val="Normal"/>
    <w:qFormat/>
    <w:rsid w:val="00BC43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3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3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3E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C43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3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3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3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3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3EB"/>
    <w:rPr>
      <w:u w:val="single"/>
    </w:rPr>
  </w:style>
  <w:style w:type="paragraph" w:styleId="BalloonText">
    <w:name w:val="Balloon Text"/>
    <w:basedOn w:val="Normal"/>
    <w:link w:val="BalloonTextChar"/>
    <w:rsid w:val="00BC4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3E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C43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3E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1642</Words>
  <Characters>10691</Characters>
  <Application>Microsoft Office Word</Application>
  <DocSecurity>0</DocSecurity>
  <Lines>452</Lines>
  <Paragraphs>223</Paragraphs>
  <ScaleCrop>false</ScaleCrop>
  <Company>Author-it Software Corporation Ltd.</Company>
  <LinksUpToDate>false</LinksUpToDate>
  <CharactersWithSpaces>12242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SITXEVT010B Evaluate and address event regulatory requirements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2012-05-26T10:31:00Z</dcterms:created>
  <dcterms:modified xsi:type="dcterms:W3CDTF">2012-05-26T10:32:00Z</dcterms:modified>
</cp:coreProperties>
</file>