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50A" w:rsidP="003C550A">
      <w:pPr>
        <w:pStyle w:val="Title"/>
      </w:pPr>
      <w:r>
        <w:fldChar w:fldCharType="begin"/>
      </w:r>
      <w:r>
        <w:instrText xml:space="preserve"> TITLE   \* MERGEFORMAT </w:instrText>
      </w:r>
      <w:r>
        <w:fldChar w:fldCharType="separate"/>
      </w:r>
      <w:r>
        <w:t>SITXEVT010A Evaluate and address event regulatory requirements</w:t>
      </w:r>
      <w:r>
        <w:fldChar w:fldCharType="end"/>
      </w:r>
    </w:p>
    <w:p w:rsidR="003C550A" w:rsidP="003C550A">
      <w:pPr>
        <w:pStyle w:val="Version"/>
        <w:sectPr w:rsidSect="00AF2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B0E" w:rsidP="00AF2B0E">
      <w:pPr>
        <w:pStyle w:val="SuperHeading"/>
      </w:pPr>
      <w:r w:rsidRPr="00AF2B0E">
        <w:t>SITXEVT010A Evaluate and address event regulatory requirements</w:t>
      </w:r>
    </w:p>
    <w:p w:rsidR="00000000" w:rsidRPr="00AF2B0E" w:rsidP="00AF2B0E">
      <w:pPr>
        <w:pStyle w:val="Heading1"/>
      </w:pPr>
      <w:bookmarkStart w:id="1" w:name="O_320072"/>
      <w:bookmarkEnd w:id="1"/>
      <w:r w:rsidRPr="00AF2B0E">
        <w:t>Modification History</w:t>
      </w:r>
    </w:p>
    <w:p w:rsidR="00000000" w:rsidRPr="00AF2B0E" w:rsidP="00AF2B0E">
      <w:pPr>
        <w:pStyle w:val="BodyText"/>
      </w:pPr>
      <w:r w:rsidRPr="00AF2B0E">
        <w:t>Not applicable.</w:t>
      </w:r>
    </w:p>
    <w:p w:rsidR="00000000" w:rsidRPr="00AF2B0E" w:rsidP="00AF2B0E">
      <w:pPr>
        <w:pStyle w:val="AllowPageBreak"/>
      </w:pPr>
    </w:p>
    <w:p w:rsidR="00000000" w:rsidRPr="00AF2B0E" w:rsidP="00AF2B0E">
      <w:pPr>
        <w:pStyle w:val="Heading1"/>
      </w:pPr>
      <w:bookmarkStart w:id="2" w:name="O_320061"/>
      <w:bookmarkEnd w:id="2"/>
      <w:r w:rsidRPr="00AF2B0E">
        <w:t>Unit Descriptor</w:t>
      </w:r>
    </w:p>
    <w:p w:rsidR="00000000" w:rsidRPr="00AF2B0E" w:rsidP="00AF2B0E">
      <w:pPr>
        <w:pStyle w:val="BodyText"/>
      </w:pPr>
      <w:r w:rsidRPr="00AF2B0E">
        <w:t>This unit describes the performance outcomes, skills and knowledge required to assess the regulatory re</w:t>
      </w:r>
      <w:r w:rsidRPr="00AF2B0E">
        <w:t>quirements that impact on a complex event comprising multiple components, and to incorporate appropriate responses into event planning and management.</w:t>
      </w:r>
    </w:p>
    <w:p w:rsidR="00000000" w:rsidRPr="00AF2B0E" w:rsidP="00AF2B0E">
      <w:pPr>
        <w:pStyle w:val="AllowPageBreak"/>
      </w:pPr>
    </w:p>
    <w:p w:rsidR="00000000" w:rsidRPr="00AF2B0E" w:rsidP="00AF2B0E">
      <w:pPr>
        <w:pStyle w:val="Heading1"/>
      </w:pPr>
      <w:bookmarkStart w:id="3" w:name="O_320071"/>
      <w:bookmarkEnd w:id="3"/>
      <w:r w:rsidRPr="00AF2B0E">
        <w:t>Application of the Unit</w:t>
      </w:r>
    </w:p>
    <w:p w:rsidR="00000000" w:rsidRPr="00AF2B0E" w:rsidP="00AF2B0E">
      <w:pPr>
        <w:pStyle w:val="BodyText"/>
      </w:pPr>
      <w:r w:rsidRPr="00AF2B0E">
        <w:t>This unit may apply to individuals coordinating events in any in</w:t>
      </w:r>
      <w:r w:rsidRPr="00AF2B0E">
        <w:t>dustry context, but is particularly relevant to event specialists who operate in the cultural, community, hospitality, sporting and tourism sectors.</w:t>
      </w:r>
    </w:p>
    <w:p w:rsidR="00000000" w:rsidRPr="00AF2B0E" w:rsidP="00AF2B0E">
      <w:pPr>
        <w:pStyle w:val="BodyText"/>
      </w:pPr>
      <w:r w:rsidRPr="00AF2B0E">
        <w:t>A complex event comprising multiple components must involve:</w:t>
      </w:r>
    </w:p>
    <w:p w:rsidR="00000000" w:rsidRPr="00AF2B0E" w:rsidP="00AF2B0E">
      <w:pPr>
        <w:pStyle w:val="BodyText"/>
      </w:pPr>
      <w:r w:rsidRPr="00AF2B0E">
        <w:t>need for a comprehensive and multifaceted even</w:t>
      </w:r>
      <w:r w:rsidRPr="00AF2B0E">
        <w:t xml:space="preserve">t plan </w:t>
      </w:r>
    </w:p>
    <w:p w:rsidR="00000000" w:rsidRPr="00AF2B0E" w:rsidP="00AF2B0E">
      <w:pPr>
        <w:pStyle w:val="BodyText"/>
      </w:pPr>
      <w:r w:rsidRPr="00AF2B0E">
        <w:t xml:space="preserve">need for a formal internal or external communications strategy </w:t>
      </w:r>
    </w:p>
    <w:p w:rsidR="00000000" w:rsidRPr="00AF2B0E" w:rsidP="00AF2B0E">
      <w:pPr>
        <w:pStyle w:val="BodyText"/>
      </w:pPr>
      <w:r w:rsidRPr="00AF2B0E">
        <w:t>dedicated and diverse event budget</w:t>
      </w:r>
    </w:p>
    <w:p w:rsidR="00000000" w:rsidRPr="00AF2B0E" w:rsidP="00AF2B0E">
      <w:pPr>
        <w:pStyle w:val="BodyText"/>
      </w:pPr>
      <w:r w:rsidRPr="00AF2B0E">
        <w:t xml:space="preserve">multiple administrative and operational components </w:t>
      </w:r>
    </w:p>
    <w:p w:rsidR="00000000" w:rsidRPr="00AF2B0E" w:rsidP="00AF2B0E">
      <w:pPr>
        <w:pStyle w:val="BodyText"/>
      </w:pPr>
      <w:r w:rsidRPr="00AF2B0E">
        <w:t xml:space="preserve">a wide range of stakeholders </w:t>
      </w:r>
    </w:p>
    <w:p w:rsidR="00000000" w:rsidRPr="00AF2B0E" w:rsidP="00AF2B0E">
      <w:pPr>
        <w:pStyle w:val="BodyText"/>
      </w:pPr>
      <w:r w:rsidRPr="00AF2B0E">
        <w:t>an event operations team.</w:t>
      </w:r>
    </w:p>
    <w:p w:rsidR="00000000" w:rsidRPr="00AF2B0E" w:rsidP="00AF2B0E">
      <w:pPr>
        <w:pStyle w:val="BodyText"/>
      </w:pPr>
      <w:r w:rsidRPr="00AF2B0E">
        <w:t>A senior event coordinator or event manager would undertake this role.</w:t>
      </w:r>
    </w:p>
    <w:p w:rsidR="00000000" w:rsidRPr="00AF2B0E" w:rsidP="00AF2B0E">
      <w:pPr>
        <w:pStyle w:val="AllowPageBreak"/>
      </w:pPr>
    </w:p>
    <w:p w:rsidR="00000000" w:rsidRPr="00AF2B0E" w:rsidP="00AF2B0E">
      <w:pPr>
        <w:pStyle w:val="Heading1"/>
      </w:pPr>
      <w:bookmarkStart w:id="4" w:name="O_320070"/>
      <w:bookmarkEnd w:id="4"/>
      <w:r w:rsidRPr="00AF2B0E">
        <w:t>Licensing/Regulatory Information</w:t>
      </w:r>
    </w:p>
    <w:p w:rsidR="00000000" w:rsidRPr="00AF2B0E" w:rsidP="00AF2B0E">
      <w:pPr>
        <w:pStyle w:val="BodyText"/>
      </w:pPr>
      <w:r w:rsidRPr="00AF2B0E">
        <w:t>Not applicable.</w:t>
      </w:r>
    </w:p>
    <w:p w:rsidR="00000000" w:rsidRPr="00AF2B0E" w:rsidP="00AF2B0E">
      <w:pPr>
        <w:pStyle w:val="AllowPageBreak"/>
      </w:pPr>
    </w:p>
    <w:p w:rsidR="00000000" w:rsidRPr="00AF2B0E" w:rsidP="00AF2B0E">
      <w:pPr>
        <w:pStyle w:val="Heading1"/>
      </w:pPr>
      <w:bookmarkStart w:id="5" w:name="O_320069"/>
      <w:bookmarkEnd w:id="5"/>
      <w:r w:rsidRPr="00AF2B0E">
        <w:t>Pre-Requisites</w:t>
      </w:r>
    </w:p>
    <w:p w:rsidR="00000000" w:rsidRPr="00AF2B0E" w:rsidP="00AF2B0E">
      <w:pPr>
        <w:pStyle w:val="BodyText"/>
      </w:pPr>
      <w:r w:rsidRPr="00AF2B0E">
        <w:t>Nil</w:t>
      </w:r>
    </w:p>
    <w:p w:rsidR="00000000" w:rsidRPr="00AF2B0E" w:rsidP="00AF2B0E">
      <w:pPr>
        <w:pStyle w:val="AllowPageBreak"/>
      </w:pPr>
    </w:p>
    <w:p w:rsidR="00000000" w:rsidRPr="00AF2B0E" w:rsidP="00AF2B0E">
      <w:pPr>
        <w:pStyle w:val="Heading1"/>
      </w:pPr>
      <w:bookmarkStart w:id="6" w:name="O_320068"/>
      <w:bookmarkEnd w:id="6"/>
      <w:r w:rsidRPr="00AF2B0E">
        <w:t>Employability Skills Information</w:t>
      </w:r>
    </w:p>
    <w:p w:rsidR="00000000" w:rsidRPr="00AF2B0E" w:rsidP="00AF2B0E">
      <w:pPr>
        <w:pStyle w:val="BodyText"/>
      </w:pPr>
      <w:r w:rsidRPr="00AF2B0E">
        <w:t>The required outcomes described i</w:t>
      </w:r>
      <w:r w:rsidRPr="00AF2B0E">
        <w:t>n this unit of competency contain applicable facets of employability skills. The Employability Skills Summary of the qualification in which this unit is packaged will assist in identifying employability skills requirements.</w:t>
      </w:r>
    </w:p>
    <w:p w:rsidR="00000000" w:rsidRPr="00AF2B0E" w:rsidP="00AF2B0E">
      <w:pPr>
        <w:pStyle w:val="AllowPageBreak"/>
      </w:pPr>
    </w:p>
    <w:p w:rsidR="00000000" w:rsidRPr="00AF2B0E" w:rsidP="00AF2B0E">
      <w:pPr>
        <w:pStyle w:val="Heading1"/>
      </w:pPr>
      <w:bookmarkStart w:id="7" w:name="O_320067"/>
      <w:bookmarkEnd w:id="7"/>
      <w:r w:rsidRPr="00AF2B0E">
        <w:t>Elements and Performance Criteria Pre-Content</w:t>
      </w:r>
    </w:p>
    <w:p w:rsidR="00000000" w:rsidRPr="00AF2B0E" w:rsidP="00AF2B0E">
      <w:pPr>
        <w:pStyle w:val="BodyText"/>
      </w:pPr>
      <w:r w:rsidRPr="00AF2B0E">
        <w:t>Elements describe the essential outcomes of a unit of competency.</w:t>
      </w:r>
    </w:p>
    <w:p w:rsidR="00000000" w:rsidRPr="00AF2B0E" w:rsidP="00AF2B0E">
      <w:pPr>
        <w:pStyle w:val="BodyText"/>
      </w:pPr>
      <w:r w:rsidRPr="00AF2B0E">
        <w:t xml:space="preserve">Performance criteria describe the required performance needed to demonstrate achievement of the element. Where </w:t>
      </w:r>
      <w:r w:rsidRPr="00AF2B0E">
        <w:rPr>
          <w:rStyle w:val="SpecialBold"/>
        </w:rPr>
        <w:t xml:space="preserve">bold italicised </w:t>
      </w:r>
      <w:r w:rsidRPr="00AF2B0E">
        <w:t>text is used, fur</w:t>
      </w:r>
      <w:r w:rsidRPr="00AF2B0E">
        <w:t>ther information is detailed in the required skills and knowledge and/or the range statement. Assessment of performance is to be consistent with the evidence guide.</w:t>
      </w:r>
    </w:p>
    <w:p w:rsidR="00000000" w:rsidRPr="00AF2B0E" w:rsidP="00AF2B0E">
      <w:pPr>
        <w:pStyle w:val="AllowPageBreak"/>
      </w:pPr>
    </w:p>
    <w:p w:rsidR="00000000" w:rsidRPr="00AF2B0E" w:rsidP="00AF2B0E">
      <w:pPr>
        <w:pStyle w:val="Heading1"/>
      </w:pPr>
      <w:bookmarkStart w:id="8" w:name="O_320066"/>
      <w:bookmarkEnd w:id="8"/>
      <w:r w:rsidRPr="00AF2B0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550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Elements and Performance Criteria</w:t>
            </w:r>
          </w:p>
        </w:tc>
      </w:tr>
      <w:tr w:rsidTr="003C550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Performance Criteria</w:t>
            </w:r>
          </w:p>
        </w:tc>
      </w:tr>
      <w:tr w:rsidTr="003C55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w:t>
            </w:r>
          </w:p>
        </w:tc>
        <w:tc>
          <w:tcPr>
            <w:tcW w:w="30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Analyse regulatory issues that impact on event management.</w:t>
            </w: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1.1</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Analyse </w:t>
            </w:r>
            <w:r w:rsidRPr="00AF2B0E">
              <w:rPr>
                <w:rStyle w:val="SpecialBold"/>
              </w:rPr>
              <w:t xml:space="preserve">event information </w:t>
            </w:r>
            <w:r w:rsidRPr="00AF2B0E">
              <w:t>to determine the scope and nature of regulatory issues to be considered.</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1.2</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Research and assess the impact of </w:t>
            </w:r>
            <w:r w:rsidRPr="00AF2B0E">
              <w:rPr>
                <w:rStyle w:val="SpecialBold"/>
              </w:rPr>
              <w:t xml:space="preserve">specific event regulatory issues </w:t>
            </w:r>
            <w:r w:rsidRPr="00AF2B0E">
              <w:t>on event planning and operation.</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1.3</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Analyse </w:t>
            </w:r>
            <w:r w:rsidRPr="00AF2B0E">
              <w:rPr>
                <w:rStyle w:val="SpecialBold"/>
              </w:rPr>
              <w:t xml:space="preserve">specific risk management issues </w:t>
            </w:r>
            <w:r w:rsidRPr="00AF2B0E">
              <w:t>for identified regulatory requirements and incorporate into overall risk management planning.</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1.4</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Establish and assess the role of different</w:t>
            </w:r>
            <w:r w:rsidRPr="00AF2B0E">
              <w:t xml:space="preserve"> </w:t>
            </w:r>
            <w:r w:rsidRPr="00AF2B0E">
              <w:rPr>
                <w:rStyle w:val="SpecialBold"/>
              </w:rPr>
              <w:t xml:space="preserve">stakeholders </w:t>
            </w:r>
            <w:r w:rsidRPr="00AF2B0E">
              <w:t>in relation to regulatory issues.</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1.5</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Assess the need for </w:t>
            </w:r>
            <w:r w:rsidRPr="00AF2B0E">
              <w:rPr>
                <w:rStyle w:val="SpecialBold"/>
              </w:rPr>
              <w:t xml:space="preserve">specialist planning and operational advice or assistance </w:t>
            </w:r>
            <w:r w:rsidRPr="00AF2B0E">
              <w:t>to address regulatory requirements.</w:t>
            </w:r>
          </w:p>
        </w:tc>
      </w:tr>
      <w:tr w:rsidTr="003C55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2</w:t>
            </w:r>
          </w:p>
        </w:tc>
        <w:tc>
          <w:tcPr>
            <w:tcW w:w="30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Establish strategies for working with regulatory authorities.</w:t>
            </w: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2.1</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Determine the </w:t>
            </w:r>
            <w:r w:rsidRPr="00AF2B0E">
              <w:rPr>
                <w:rStyle w:val="SpecialBold"/>
              </w:rPr>
              <w:t xml:space="preserve">scope and complexity of required or desirable liaison </w:t>
            </w:r>
            <w:r w:rsidRPr="00AF2B0E">
              <w:t>with regulatory authorities.</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2.2</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Identify key organisations and individuals and establish effective consultation and communication processes. </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2.3</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Include representatives from </w:t>
            </w:r>
            <w:r w:rsidRPr="00AF2B0E">
              <w:rPr>
                <w:rStyle w:val="SpecialBold"/>
              </w:rPr>
              <w:t xml:space="preserve">appropriate agencies </w:t>
            </w:r>
            <w:r w:rsidRPr="00AF2B0E">
              <w:t xml:space="preserve">in event management structures and consultation processes. </w:t>
            </w:r>
          </w:p>
        </w:tc>
      </w:tr>
      <w:tr w:rsidTr="003C55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w:t>
            </w:r>
          </w:p>
        </w:tc>
        <w:tc>
          <w:tcPr>
            <w:tcW w:w="30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Develop plans and procedures to address regulatory requirements.</w:t>
            </w: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3.1</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Integrate approach to plans and procedures addressing regulatory issues, into </w:t>
            </w:r>
            <w:r w:rsidRPr="00AF2B0E">
              <w:rPr>
                <w:rStyle w:val="SpecialBold"/>
              </w:rPr>
              <w:t xml:space="preserve">broader event management </w:t>
            </w:r>
            <w:r w:rsidRPr="00AF2B0E">
              <w:rPr>
                <w:rStyle w:val="SpecialBold"/>
              </w:rPr>
              <w:t>structures, processes and constraints</w:t>
            </w:r>
            <w:r w:rsidRPr="00AF2B0E">
              <w:t>.</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3.2</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Develop and document </w:t>
            </w:r>
            <w:r w:rsidRPr="00AF2B0E">
              <w:rPr>
                <w:rStyle w:val="SpecialBold"/>
              </w:rPr>
              <w:t>specific procedures that address event regulatory requirements</w:t>
            </w:r>
            <w:r w:rsidRPr="00AF2B0E">
              <w:t>.</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3.3</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Develop and monitor the production of any required </w:t>
            </w:r>
            <w:r w:rsidRPr="00AF2B0E">
              <w:rPr>
                <w:rStyle w:val="SpecialBold"/>
              </w:rPr>
              <w:t>compliance documentation</w:t>
            </w:r>
            <w:r w:rsidRPr="00AF2B0E">
              <w:t>.</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3.4</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Identify critical tasks and allocate responsibilities and timelines.</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3.5</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Develop and articulate contingency and critical incident procedures in relation to all regulatory requirements.</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3.6</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 xml:space="preserve">Provide </w:t>
            </w:r>
            <w:r w:rsidRPr="00AF2B0E">
              <w:rPr>
                <w:rStyle w:val="SpecialBold"/>
              </w:rPr>
              <w:t xml:space="preserve">briefings and relevant information </w:t>
            </w:r>
            <w:r w:rsidRPr="00AF2B0E">
              <w:t>to colleagues regarding regulatory requirements and procedures.</w:t>
            </w:r>
          </w:p>
        </w:tc>
      </w:tr>
      <w:tr w:rsidTr="003C55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4</w:t>
            </w:r>
          </w:p>
        </w:tc>
        <w:tc>
          <w:tcPr>
            <w:tcW w:w="3000" w:type="dxa"/>
            <w:vMerge w:val="restart"/>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Evaluate event for regulatory compliance.</w:t>
            </w: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4.1</w:t>
            </w:r>
          </w:p>
        </w:tc>
        <w:tc>
          <w:tcPr>
            <w:tcW w:w="51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Assess different event elements in regard to compliance with regulatory requirements.</w:t>
            </w:r>
          </w:p>
        </w:tc>
      </w:tr>
      <w:tr w:rsidTr="003C55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4.2</w:t>
            </w:r>
          </w:p>
        </w:tc>
        <w:tc>
          <w:tcPr>
            <w:tcW w:w="51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Incorporate outcomes of evaluation into future eve</w:t>
            </w:r>
            <w:r w:rsidRPr="00AF2B0E">
              <w:t>nt planning.</w:t>
            </w:r>
          </w:p>
        </w:tc>
      </w:tr>
    </w:tbl>
    <w:p w:rsidR="00000000" w:rsidRPr="00AF2B0E" w:rsidP="00AF2B0E">
      <w:pPr>
        <w:pStyle w:val="BodyText"/>
      </w:pPr>
    </w:p>
    <w:p w:rsidR="00000000" w:rsidRPr="00AF2B0E" w:rsidP="00AF2B0E">
      <w:pPr>
        <w:pStyle w:val="AllowPageBreak"/>
      </w:pPr>
    </w:p>
    <w:p w:rsidR="00000000" w:rsidRPr="00AF2B0E" w:rsidP="00AF2B0E">
      <w:pPr>
        <w:pStyle w:val="Heading1"/>
      </w:pPr>
      <w:bookmarkStart w:id="9" w:name="O_320065"/>
      <w:bookmarkEnd w:id="9"/>
      <w:r w:rsidRPr="00AF2B0E">
        <w:t>Required Skills and Knowledge</w:t>
      </w:r>
    </w:p>
    <w:tbl>
      <w:tblPr>
        <w:tblW w:w="0" w:type="auto"/>
        <w:tblLayout w:type="fixed"/>
        <w:tblCellMar>
          <w:left w:w="62" w:type="dxa"/>
          <w:right w:w="62" w:type="dxa"/>
        </w:tblCellMar>
        <w:tblLook w:val="0000"/>
      </w:tblPr>
      <w:tblGrid>
        <w:gridCol w:w="9000"/>
      </w:tblGrid>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This section describes the essential skills and knowledge and their level, required for this unit.</w:t>
            </w:r>
          </w:p>
        </w:tc>
      </w:tr>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The following skills must be assessed as part of this unit:    </w:t>
            </w:r>
          </w:p>
          <w:p w:rsidR="00000000" w:rsidRPr="00AF2B0E" w:rsidP="00AF2B0E">
            <w:pPr>
              <w:pStyle w:val="BodyText"/>
            </w:pPr>
            <w:r w:rsidRPr="00AF2B0E">
              <w:t xml:space="preserve">planning and organisational skills to develop practical plans and procedures </w:t>
            </w:r>
          </w:p>
          <w:p w:rsidR="00000000" w:rsidRPr="00AF2B0E" w:rsidP="00AF2B0E">
            <w:pPr>
              <w:pStyle w:val="BodyText"/>
            </w:pPr>
            <w:r w:rsidRPr="00AF2B0E">
              <w:t xml:space="preserve">communication and negotiation skills to liaise with people with varying responsibilities working in different contexts (e.g. operational staff and government officials)  </w:t>
            </w:r>
          </w:p>
          <w:p w:rsidR="00000000" w:rsidRPr="00AF2B0E" w:rsidP="00AF2B0E">
            <w:pPr>
              <w:pStyle w:val="BodyText"/>
            </w:pPr>
            <w:r w:rsidRPr="00AF2B0E">
              <w:t>researc</w:t>
            </w:r>
            <w:r w:rsidRPr="00AF2B0E">
              <w:t xml:space="preserve">h skills to source information on event regulatory requirements  </w:t>
            </w:r>
          </w:p>
          <w:p w:rsidR="00000000" w:rsidP="00AF2B0E">
            <w:pPr>
              <w:pStyle w:val="BodyText"/>
              <w:rPr>
                <w:lang w:val="en-NZ"/>
              </w:rPr>
            </w:pPr>
            <w:r w:rsidRPr="00AF2B0E">
              <w:t>literacy skills to interpret regulatory documentation and develop complex plans, procedures and other documentation.</w:t>
            </w:r>
          </w:p>
        </w:tc>
      </w:tr>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The following knowledge must be assessed as part of this unit:    </w:t>
            </w:r>
          </w:p>
          <w:p w:rsidR="00000000" w:rsidRPr="00AF2B0E" w:rsidP="00AF2B0E">
            <w:pPr>
              <w:pStyle w:val="BodyText"/>
            </w:pPr>
            <w:r w:rsidRPr="00AF2B0E">
              <w:t>ran</w:t>
            </w:r>
            <w:r w:rsidRPr="00AF2B0E">
              <w:t xml:space="preserve">ge of regulatory issues that impact on different types of event </w:t>
            </w:r>
          </w:p>
          <w:p w:rsidR="00000000" w:rsidRPr="00AF2B0E" w:rsidP="00AF2B0E">
            <w:pPr>
              <w:pStyle w:val="BodyText"/>
            </w:pPr>
            <w:r w:rsidRPr="00AF2B0E">
              <w:t xml:space="preserve">specific regulatory issues that affect key areas of event staging, including overview of relevant legislation </w:t>
            </w:r>
          </w:p>
          <w:p w:rsidR="00000000" w:rsidRPr="00AF2B0E" w:rsidP="00AF2B0E">
            <w:pPr>
              <w:pStyle w:val="BodyText"/>
            </w:pPr>
            <w:r w:rsidRPr="00AF2B0E">
              <w:t xml:space="preserve">sources of detailed information on specific regulatory issues </w:t>
            </w:r>
          </w:p>
          <w:p w:rsidR="00000000" w:rsidRPr="00AF2B0E" w:rsidP="00AF2B0E">
            <w:pPr>
              <w:pStyle w:val="BodyText"/>
            </w:pPr>
            <w:r w:rsidRPr="00AF2B0E">
              <w:t>ways in which reg</w:t>
            </w:r>
            <w:r w:rsidRPr="00AF2B0E">
              <w:t xml:space="preserve">ulatory issues need to be addressed, including procedures, systems and typical reporting and documentation requirements </w:t>
            </w:r>
          </w:p>
          <w:p w:rsidR="00000000" w:rsidRPr="00AF2B0E" w:rsidP="00AF2B0E">
            <w:pPr>
              <w:pStyle w:val="BodyText"/>
            </w:pPr>
            <w:r w:rsidRPr="00AF2B0E">
              <w:t xml:space="preserve">structures and general operating procedures of regulatory authorities </w:t>
            </w:r>
          </w:p>
          <w:p w:rsidR="00000000" w:rsidRPr="00AF2B0E" w:rsidP="00AF2B0E">
            <w:pPr>
              <w:pStyle w:val="BodyText"/>
            </w:pPr>
            <w:r w:rsidRPr="00AF2B0E">
              <w:t>insurance issues relevant to regulatory requirements.</w:t>
            </w:r>
          </w:p>
        </w:tc>
      </w:tr>
    </w:tbl>
    <w:p w:rsidR="00000000" w:rsidRPr="00AF2B0E" w:rsidP="00AF2B0E">
      <w:pPr>
        <w:pStyle w:val="BodyText"/>
      </w:pPr>
    </w:p>
    <w:p w:rsidR="00000000" w:rsidRPr="00AF2B0E" w:rsidP="00AF2B0E">
      <w:pPr>
        <w:pStyle w:val="AllowPageBreak"/>
      </w:pPr>
    </w:p>
    <w:p w:rsidR="00000000" w:rsidRPr="00AF2B0E" w:rsidP="00AF2B0E">
      <w:pPr>
        <w:pStyle w:val="Heading1"/>
      </w:pPr>
      <w:bookmarkStart w:id="10" w:name="O_320064"/>
      <w:bookmarkEnd w:id="10"/>
      <w:r w:rsidRPr="00AF2B0E">
        <w:t>Evidence Guide</w:t>
      </w:r>
    </w:p>
    <w:tbl>
      <w:tblPr>
        <w:tblW w:w="0" w:type="auto"/>
        <w:tblLayout w:type="fixed"/>
        <w:tblCellMar>
          <w:left w:w="62" w:type="dxa"/>
          <w:right w:w="62" w:type="dxa"/>
        </w:tblCellMar>
        <w:tblLook w:val="0000"/>
      </w:tblPr>
      <w:tblGrid>
        <w:gridCol w:w="4500"/>
        <w:gridCol w:w="4500"/>
      </w:tblGrid>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The evidence guide provides advice on assessment and must be read in conjunction with the performance criteria, required skills and knowledge, the range statement and the Assessment Guidelines for this Training Package.</w:t>
            </w:r>
          </w:p>
        </w:tc>
      </w:tr>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Evidence of the following is essential:    </w:t>
            </w:r>
          </w:p>
          <w:p w:rsidR="00000000" w:rsidRPr="00AF2B0E" w:rsidP="00AF2B0E">
            <w:pPr>
              <w:pStyle w:val="BodyText"/>
            </w:pPr>
            <w:r w:rsidRPr="00AF2B0E">
              <w:t>ability to analyse, assess and respond to the range of regulatory issues affecting an event to ensure event complian</w:t>
            </w:r>
            <w:r w:rsidRPr="00AF2B0E">
              <w:t xml:space="preserve">ce </w:t>
            </w:r>
          </w:p>
          <w:p w:rsidR="00000000" w:rsidRPr="00AF2B0E" w:rsidP="00AF2B0E">
            <w:pPr>
              <w:pStyle w:val="BodyText"/>
            </w:pPr>
            <w:r w:rsidRPr="00AF2B0E">
              <w:t xml:space="preserve">sound knowledge of the range of regulatory issues that affect different aspects of event staging, relevant networks and information sources </w:t>
            </w:r>
          </w:p>
          <w:p w:rsidR="00000000" w:rsidP="00AF2B0E">
            <w:pPr>
              <w:pStyle w:val="BodyText"/>
              <w:rPr>
                <w:lang w:val="en-NZ"/>
              </w:rPr>
            </w:pPr>
            <w:r w:rsidRPr="00AF2B0E">
              <w:t>practical demonstration of skills through development of plans and procedures to address the regulatory requirements of a specific complex event.</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Assessment must ensure:    </w:t>
            </w:r>
          </w:p>
          <w:p w:rsidR="00000000" w:rsidRPr="00AF2B0E" w:rsidP="00AF2B0E">
            <w:pPr>
              <w:pStyle w:val="BodyText"/>
            </w:pPr>
            <w:r w:rsidRPr="00AF2B0E">
              <w:t>access to a complex event for</w:t>
            </w:r>
            <w:r w:rsidRPr="00AF2B0E">
              <w:t xml:space="preserve"> which regulatory requirements must be addressed </w:t>
            </w:r>
          </w:p>
          <w:p w:rsidR="00000000" w:rsidRPr="00AF2B0E" w:rsidP="00AF2B0E">
            <w:pPr>
              <w:pStyle w:val="BodyText"/>
            </w:pPr>
            <w:r w:rsidRPr="00AF2B0E">
              <w:t xml:space="preserve">interaction with others to reflect the communication and negotiation aspects of the unit </w:t>
            </w:r>
          </w:p>
          <w:p w:rsidR="00000000" w:rsidP="00AF2B0E">
            <w:pPr>
              <w:pStyle w:val="BodyText"/>
              <w:rPr>
                <w:lang w:val="en-NZ"/>
              </w:rPr>
            </w:pPr>
            <w:r w:rsidRPr="00AF2B0E">
              <w:t>use of current regulatory information.</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A range of assessment methods should be used to ass</w:t>
            </w:r>
            <w:r w:rsidRPr="00AF2B0E">
              <w:t xml:space="preserve">ess practical skills and knowledge. The following examples are appropriate for this unit:     </w:t>
            </w:r>
          </w:p>
          <w:p w:rsidR="00000000" w:rsidRPr="00AF2B0E" w:rsidP="00AF2B0E">
            <w:pPr>
              <w:pStyle w:val="BodyText"/>
            </w:pPr>
            <w:r w:rsidRPr="00AF2B0E">
              <w:t xml:space="preserve">evaluation of strategies and operational plans prepared by the candidate to address regulatory issues </w:t>
            </w:r>
          </w:p>
          <w:p w:rsidR="00000000" w:rsidRPr="00AF2B0E" w:rsidP="00AF2B0E">
            <w:pPr>
              <w:pStyle w:val="BodyText"/>
            </w:pPr>
            <w:r w:rsidRPr="00AF2B0E">
              <w:t>case studies to assess candidate's ability to develop appr</w:t>
            </w:r>
            <w:r w:rsidRPr="00AF2B0E">
              <w:t xml:space="preserve">oaches for a range of different events  </w:t>
            </w:r>
          </w:p>
          <w:p w:rsidR="00000000" w:rsidRPr="00AF2B0E" w:rsidP="00AF2B0E">
            <w:pPr>
              <w:pStyle w:val="BodyText"/>
            </w:pPr>
            <w:r w:rsidRPr="00AF2B0E">
              <w:t xml:space="preserve">questions to assess detailed knowledge of different regulatory requirements and issues </w:t>
            </w:r>
          </w:p>
          <w:p w:rsidR="00000000" w:rsidRPr="00AF2B0E" w:rsidP="00AF2B0E">
            <w:pPr>
              <w:pStyle w:val="BodyText"/>
            </w:pPr>
            <w:r w:rsidRPr="00AF2B0E">
              <w:t>review of portfolios of evidence and third-party workplace reports of on-the-job performance by the candidate.</w:t>
            </w:r>
          </w:p>
          <w:p w:rsidR="00000000" w:rsidP="00AF2B0E">
            <w:pPr>
              <w:pStyle w:val="BodyText"/>
              <w:rPr>
                <w:lang w:val="en-NZ"/>
              </w:rPr>
            </w:pPr>
            <w:r w:rsidRPr="00AF2B0E">
              <w:t>Holistic assessm</w:t>
            </w:r>
            <w:r w:rsidRPr="00AF2B0E">
              <w:t>ent with other units relevant to the industry sector, workplace and job role is recommended.</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Employability skills are integral to effective performance in the workplace and are broadly consistent across industry sectors. How these skills are applied varies between occupations and qualifications due to the different work functions and contexts.</w:t>
            </w:r>
            <w:r w:rsidRPr="00AF2B0E">
              <w:br/>
              <w:t>Emp</w:t>
            </w:r>
            <w:r w:rsidRPr="00AF2B0E">
              <w:t>loyability skills embedded in this unit should be assessed holistically with other relevant units that make up the skill set or qualification and in the context of the job role.</w:t>
            </w:r>
          </w:p>
        </w:tc>
      </w:tr>
    </w:tbl>
    <w:p w:rsidR="00000000" w:rsidRPr="00AF2B0E" w:rsidP="00AF2B0E">
      <w:pPr>
        <w:pStyle w:val="BodyText"/>
      </w:pPr>
    </w:p>
    <w:p w:rsidR="00000000" w:rsidRPr="00AF2B0E" w:rsidP="00AF2B0E">
      <w:pPr>
        <w:pStyle w:val="AllowPageBreak"/>
      </w:pPr>
    </w:p>
    <w:p w:rsidR="00000000" w:rsidRPr="00AF2B0E" w:rsidP="00AF2B0E">
      <w:pPr>
        <w:pStyle w:val="Heading1"/>
      </w:pPr>
      <w:bookmarkStart w:id="11" w:name="O_320063"/>
      <w:bookmarkEnd w:id="11"/>
      <w:r w:rsidRPr="00AF2B0E">
        <w:t>Range Statement</w:t>
      </w:r>
    </w:p>
    <w:tbl>
      <w:tblPr>
        <w:tblW w:w="0" w:type="auto"/>
        <w:tblLayout w:type="fixed"/>
        <w:tblCellMar>
          <w:left w:w="62" w:type="dxa"/>
          <w:right w:w="62" w:type="dxa"/>
        </w:tblCellMar>
        <w:tblLook w:val="0000"/>
      </w:tblPr>
      <w:tblGrid>
        <w:gridCol w:w="4500"/>
        <w:gridCol w:w="4500"/>
      </w:tblGrid>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RANGE STATEMENT</w:t>
            </w:r>
          </w:p>
        </w:tc>
      </w:tr>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t>The range statement relat</w:t>
            </w:r>
            <w:r w:rsidRPr="00AF2B0E">
              <w:t>es to the unit of competency as a whole. It allows for different work environments and situations that may affect performance. Bold italicised wording in the performance criteria is detailed below.</w:t>
            </w:r>
          </w:p>
        </w:tc>
      </w:tr>
      <w:tr w:rsidTr="003C55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Event information</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general nature of event </w:t>
            </w:r>
          </w:p>
          <w:p w:rsidR="00000000" w:rsidRPr="00AF2B0E" w:rsidP="00AF2B0E">
            <w:pPr>
              <w:pStyle w:val="BodyText"/>
            </w:pPr>
            <w:r w:rsidRPr="00AF2B0E">
              <w:t xml:space="preserve">event management structures </w:t>
            </w:r>
          </w:p>
          <w:p w:rsidR="00000000" w:rsidRPr="00AF2B0E" w:rsidP="00AF2B0E">
            <w:pPr>
              <w:pStyle w:val="BodyText"/>
            </w:pPr>
            <w:r w:rsidRPr="00AF2B0E">
              <w:t xml:space="preserve">level of government involvement </w:t>
            </w:r>
          </w:p>
          <w:p w:rsidR="00000000" w:rsidRPr="00AF2B0E" w:rsidP="00AF2B0E">
            <w:pPr>
              <w:pStyle w:val="BodyText"/>
            </w:pPr>
            <w:r w:rsidRPr="00AF2B0E">
              <w:t xml:space="preserve">location </w:t>
            </w:r>
          </w:p>
          <w:p w:rsidR="00000000" w:rsidRPr="00AF2B0E" w:rsidP="00AF2B0E">
            <w:pPr>
              <w:pStyle w:val="BodyText"/>
            </w:pPr>
            <w:r w:rsidRPr="00AF2B0E">
              <w:t xml:space="preserve">dates and times </w:t>
            </w:r>
          </w:p>
          <w:p w:rsidR="00000000" w:rsidRPr="00AF2B0E" w:rsidP="00AF2B0E">
            <w:pPr>
              <w:pStyle w:val="BodyText"/>
            </w:pPr>
            <w:r w:rsidRPr="00AF2B0E">
              <w:t xml:space="preserve">duration </w:t>
            </w:r>
          </w:p>
          <w:p w:rsidR="00000000" w:rsidRPr="00AF2B0E" w:rsidP="00AF2B0E">
            <w:pPr>
              <w:pStyle w:val="BodyText"/>
            </w:pPr>
            <w:r w:rsidRPr="00AF2B0E">
              <w:t xml:space="preserve">number of activities, sports or individual events </w:t>
            </w:r>
          </w:p>
          <w:p w:rsidR="00000000" w:rsidRPr="00AF2B0E" w:rsidP="00AF2B0E">
            <w:pPr>
              <w:pStyle w:val="BodyText"/>
            </w:pPr>
            <w:r w:rsidRPr="00AF2B0E">
              <w:t xml:space="preserve">numbers attending </w:t>
            </w:r>
          </w:p>
          <w:p w:rsidR="00000000" w:rsidP="00AF2B0E">
            <w:pPr>
              <w:pStyle w:val="BodyText"/>
              <w:rPr>
                <w:lang w:val="en-NZ"/>
              </w:rPr>
            </w:pPr>
            <w:r w:rsidRPr="00AF2B0E">
              <w:t>scope of physical staging requirements.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Specific event reg</w:t>
            </w:r>
            <w:r w:rsidRPr="00AF2B0E">
              <w:rPr>
                <w:rStyle w:val="SpecialBold"/>
              </w:rPr>
              <w:t>ulatory issues</w:t>
            </w:r>
            <w:r w:rsidRPr="00AF2B0E">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food safety </w:t>
            </w:r>
          </w:p>
          <w:p w:rsidR="00000000" w:rsidRPr="00AF2B0E" w:rsidP="00AF2B0E">
            <w:pPr>
              <w:pStyle w:val="BodyText"/>
            </w:pPr>
            <w:r w:rsidRPr="00AF2B0E">
              <w:t xml:space="preserve">security </w:t>
            </w:r>
          </w:p>
          <w:p w:rsidR="00000000" w:rsidRPr="00AF2B0E" w:rsidP="00AF2B0E">
            <w:pPr>
              <w:pStyle w:val="BodyText"/>
            </w:pPr>
            <w:r w:rsidRPr="00AF2B0E">
              <w:t xml:space="preserve">responsible service of alcohol </w:t>
            </w:r>
          </w:p>
          <w:p w:rsidR="00000000" w:rsidRPr="00AF2B0E" w:rsidP="00AF2B0E">
            <w:pPr>
              <w:pStyle w:val="BodyText"/>
            </w:pPr>
            <w:r w:rsidRPr="00AF2B0E">
              <w:t xml:space="preserve">use of licensed personnel, such as trades and pyrotechnicians </w:t>
            </w:r>
          </w:p>
          <w:p w:rsidR="00000000" w:rsidRPr="00AF2B0E" w:rsidP="00AF2B0E">
            <w:pPr>
              <w:pStyle w:val="BodyText"/>
            </w:pPr>
            <w:r w:rsidRPr="00AF2B0E">
              <w:t xml:space="preserve">crowd control </w:t>
            </w:r>
          </w:p>
          <w:p w:rsidR="00000000" w:rsidRPr="00AF2B0E" w:rsidP="00AF2B0E">
            <w:pPr>
              <w:pStyle w:val="BodyText"/>
            </w:pPr>
            <w:r w:rsidRPr="00AF2B0E">
              <w:t xml:space="preserve">environmental regulations </w:t>
            </w:r>
          </w:p>
          <w:p w:rsidR="00000000" w:rsidP="00AF2B0E">
            <w:pPr>
              <w:pStyle w:val="BodyText"/>
              <w:rPr>
                <w:lang w:val="en-NZ"/>
              </w:rPr>
            </w:pPr>
            <w:r w:rsidRPr="00AF2B0E">
              <w:t>OHS.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Specific risk management issues</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implications of non-compliance </w:t>
            </w:r>
          </w:p>
          <w:p w:rsidR="00000000" w:rsidRPr="00AF2B0E" w:rsidP="00AF2B0E">
            <w:pPr>
              <w:pStyle w:val="BodyText"/>
            </w:pPr>
            <w:r w:rsidRPr="00AF2B0E">
              <w:t xml:space="preserve">accountability, e.g. event organiser versus specific contractors </w:t>
            </w:r>
          </w:p>
          <w:p w:rsidR="00000000" w:rsidRPr="00AF2B0E" w:rsidP="00AF2B0E">
            <w:pPr>
              <w:pStyle w:val="BodyText"/>
            </w:pPr>
            <w:r w:rsidRPr="00AF2B0E">
              <w:t xml:space="preserve">safety issues </w:t>
            </w:r>
          </w:p>
          <w:p w:rsidR="00000000" w:rsidP="00AF2B0E">
            <w:pPr>
              <w:pStyle w:val="BodyText"/>
              <w:rPr>
                <w:lang w:val="en-NZ"/>
              </w:rPr>
            </w:pPr>
            <w:r w:rsidRPr="00AF2B0E">
              <w:t>need for clear communication and reporting protocols.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Stakeholders</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industry bodies </w:t>
            </w:r>
          </w:p>
          <w:p w:rsidR="00000000" w:rsidRPr="00AF2B0E" w:rsidP="00AF2B0E">
            <w:pPr>
              <w:pStyle w:val="BodyText"/>
            </w:pPr>
            <w:r w:rsidRPr="00AF2B0E">
              <w:t xml:space="preserve">professional associations </w:t>
            </w:r>
          </w:p>
          <w:p w:rsidR="00000000" w:rsidRPr="00AF2B0E" w:rsidP="00AF2B0E">
            <w:pPr>
              <w:pStyle w:val="BodyText"/>
            </w:pPr>
            <w:r w:rsidRPr="00AF2B0E">
              <w:t xml:space="preserve">government authorities, including:   </w:t>
            </w:r>
          </w:p>
          <w:p w:rsidR="00000000" w:rsidRPr="00AF2B0E" w:rsidP="00AF2B0E">
            <w:pPr>
              <w:pStyle w:val="BodyText"/>
            </w:pPr>
            <w:r w:rsidRPr="00AF2B0E">
              <w:t xml:space="preserve">sport and recreation   </w:t>
            </w:r>
          </w:p>
          <w:p w:rsidR="00000000" w:rsidRPr="00AF2B0E" w:rsidP="00AF2B0E">
            <w:pPr>
              <w:pStyle w:val="BodyText"/>
            </w:pPr>
            <w:r w:rsidRPr="00AF2B0E">
              <w:t xml:space="preserve">facilities   </w:t>
            </w:r>
          </w:p>
          <w:p w:rsidR="00000000" w:rsidRPr="00AF2B0E" w:rsidP="00AF2B0E">
            <w:pPr>
              <w:pStyle w:val="BodyText"/>
            </w:pPr>
            <w:r w:rsidRPr="00AF2B0E">
              <w:t xml:space="preserve">parks and public places    </w:t>
            </w:r>
          </w:p>
          <w:p w:rsidR="00000000" w:rsidRPr="00AF2B0E" w:rsidP="00AF2B0E">
            <w:pPr>
              <w:pStyle w:val="BodyText"/>
            </w:pPr>
            <w:r w:rsidRPr="00AF2B0E">
              <w:t xml:space="preserve">transport   </w:t>
            </w:r>
          </w:p>
          <w:p w:rsidR="00000000" w:rsidRPr="00AF2B0E" w:rsidP="00AF2B0E">
            <w:pPr>
              <w:pStyle w:val="BodyText"/>
            </w:pPr>
            <w:r w:rsidRPr="00AF2B0E">
              <w:t xml:space="preserve">licensing   </w:t>
            </w:r>
          </w:p>
          <w:p w:rsidR="00000000" w:rsidRPr="00AF2B0E" w:rsidP="00AF2B0E">
            <w:pPr>
              <w:pStyle w:val="BodyText"/>
            </w:pPr>
            <w:r w:rsidRPr="00AF2B0E">
              <w:t xml:space="preserve">traffic   </w:t>
            </w:r>
          </w:p>
          <w:p w:rsidR="00000000" w:rsidRPr="00AF2B0E" w:rsidP="00AF2B0E">
            <w:pPr>
              <w:pStyle w:val="BodyText"/>
            </w:pPr>
            <w:r w:rsidRPr="00AF2B0E">
              <w:t xml:space="preserve">waste management   </w:t>
            </w:r>
          </w:p>
          <w:p w:rsidR="00000000" w:rsidRPr="00AF2B0E" w:rsidP="00AF2B0E">
            <w:pPr>
              <w:pStyle w:val="BodyText"/>
            </w:pPr>
            <w:r w:rsidRPr="00AF2B0E">
              <w:t xml:space="preserve">utilities   </w:t>
            </w:r>
          </w:p>
          <w:p w:rsidR="00000000" w:rsidRPr="00AF2B0E" w:rsidP="00AF2B0E">
            <w:pPr>
              <w:pStyle w:val="BodyText"/>
            </w:pPr>
            <w:r w:rsidRPr="00AF2B0E">
              <w:t xml:space="preserve">information services   </w:t>
            </w:r>
          </w:p>
          <w:p w:rsidR="00000000" w:rsidRPr="00AF2B0E" w:rsidP="00AF2B0E">
            <w:pPr>
              <w:pStyle w:val="BodyText"/>
            </w:pPr>
            <w:r w:rsidRPr="00AF2B0E">
              <w:t xml:space="preserve">police   </w:t>
            </w:r>
          </w:p>
          <w:p w:rsidR="00000000" w:rsidRPr="00AF2B0E" w:rsidP="00AF2B0E">
            <w:pPr>
              <w:pStyle w:val="BodyText"/>
            </w:pPr>
            <w:r w:rsidRPr="00AF2B0E">
              <w:t xml:space="preserve">emergency services   </w:t>
            </w:r>
          </w:p>
          <w:p w:rsidR="00000000" w:rsidRPr="00AF2B0E" w:rsidP="00AF2B0E">
            <w:pPr>
              <w:pStyle w:val="BodyText"/>
            </w:pPr>
            <w:r w:rsidRPr="00AF2B0E">
              <w:t>convention and event secti</w:t>
            </w:r>
            <w:r w:rsidRPr="00AF2B0E">
              <w:t>ons</w:t>
            </w:r>
          </w:p>
          <w:p w:rsidR="00000000" w:rsidRPr="00AF2B0E" w:rsidP="00AF2B0E">
            <w:pPr>
              <w:pStyle w:val="BodyText"/>
            </w:pPr>
          </w:p>
          <w:p w:rsidR="00000000" w:rsidRPr="00AF2B0E" w:rsidP="00AF2B0E">
            <w:pPr>
              <w:pStyle w:val="BodyText"/>
            </w:pPr>
            <w:r w:rsidRPr="00AF2B0E">
              <w:t xml:space="preserve">tourism authorities and organisations   </w:t>
            </w:r>
          </w:p>
          <w:p w:rsidR="00000000" w:rsidP="00AF2B0E">
            <w:pPr>
              <w:pStyle w:val="BodyText"/>
              <w:rPr>
                <w:lang w:val="en-NZ"/>
              </w:rPr>
            </w:pPr>
            <w:r w:rsidRPr="00AF2B0E">
              <w:t>unions.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Specialist planning and operational advice or assistance</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technical experts </w:t>
            </w:r>
          </w:p>
          <w:p w:rsidR="00000000" w:rsidP="00AF2B0E">
            <w:pPr>
              <w:pStyle w:val="BodyText"/>
              <w:rPr>
                <w:lang w:val="en-NZ"/>
              </w:rPr>
            </w:pPr>
            <w:r w:rsidRPr="00AF2B0E">
              <w:t>local authorities.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Scope and complexity of required or desirable liaison</w:t>
            </w:r>
            <w:r w:rsidRPr="00AF2B0E">
              <w:t xml:space="preserve"> may be impacted by:</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scope of the event </w:t>
            </w:r>
          </w:p>
          <w:p w:rsidR="00000000" w:rsidRPr="00AF2B0E" w:rsidP="00AF2B0E">
            <w:pPr>
              <w:pStyle w:val="BodyText"/>
            </w:pPr>
            <w:r w:rsidRPr="00AF2B0E">
              <w:t xml:space="preserve">nature of the event in terms of complexity and number of associated regulatory issues </w:t>
            </w:r>
          </w:p>
          <w:p w:rsidR="00000000" w:rsidRPr="00AF2B0E" w:rsidP="00AF2B0E">
            <w:pPr>
              <w:pStyle w:val="BodyText"/>
            </w:pPr>
            <w:r w:rsidRPr="00AF2B0E">
              <w:t xml:space="preserve">current focus or requirements of relevant authority </w:t>
            </w:r>
          </w:p>
          <w:p w:rsidR="00000000" w:rsidRPr="00AF2B0E" w:rsidP="00AF2B0E">
            <w:pPr>
              <w:pStyle w:val="BodyText"/>
            </w:pPr>
            <w:r w:rsidRPr="00AF2B0E">
              <w:t xml:space="preserve">level of safety risk </w:t>
            </w:r>
          </w:p>
          <w:p w:rsidR="00000000" w:rsidP="00AF2B0E">
            <w:pPr>
              <w:pStyle w:val="BodyText"/>
              <w:rPr>
                <w:lang w:val="en-NZ"/>
              </w:rPr>
            </w:pPr>
            <w:r w:rsidRPr="00AF2B0E">
              <w:t>impact of the event on the physical environment.</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Appropriate agencies</w:t>
            </w:r>
            <w:r w:rsidRPr="00AF2B0E">
              <w:t xml:space="preserve"> </w:t>
            </w:r>
            <w:r w:rsidRPr="00AF2B0E">
              <w:t>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WorkCover authorities </w:t>
            </w:r>
          </w:p>
          <w:p w:rsidR="00000000" w:rsidRPr="00AF2B0E" w:rsidP="00AF2B0E">
            <w:pPr>
              <w:pStyle w:val="BodyText"/>
            </w:pPr>
            <w:r w:rsidRPr="00AF2B0E">
              <w:t xml:space="preserve">licensing authorities </w:t>
            </w:r>
          </w:p>
          <w:p w:rsidR="00000000" w:rsidRPr="00AF2B0E" w:rsidP="00AF2B0E">
            <w:pPr>
              <w:pStyle w:val="BodyText"/>
            </w:pPr>
            <w:r w:rsidRPr="00AF2B0E">
              <w:t xml:space="preserve">local councils </w:t>
            </w:r>
          </w:p>
          <w:p w:rsidR="00000000" w:rsidP="00AF2B0E">
            <w:pPr>
              <w:pStyle w:val="BodyText"/>
              <w:rPr>
                <w:lang w:val="en-NZ"/>
              </w:rPr>
            </w:pPr>
            <w:r w:rsidRPr="00AF2B0E">
              <w:t>government departments.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Broader event management structures</w:t>
            </w:r>
            <w:r w:rsidRPr="00AF2B0E">
              <w:t xml:space="preserve">, </w:t>
            </w:r>
            <w:r w:rsidRPr="00AF2B0E">
              <w:rPr>
                <w:rStyle w:val="SpecialBold"/>
              </w:rPr>
              <w:t>processes and constraints</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overall management structure for the event </w:t>
            </w:r>
          </w:p>
          <w:p w:rsidR="00000000" w:rsidRPr="00AF2B0E" w:rsidP="00AF2B0E">
            <w:pPr>
              <w:pStyle w:val="BodyText"/>
            </w:pPr>
            <w:r w:rsidRPr="00AF2B0E">
              <w:t xml:space="preserve">specific event objectives </w:t>
            </w:r>
          </w:p>
          <w:p w:rsidR="00000000" w:rsidRPr="00AF2B0E" w:rsidP="00AF2B0E">
            <w:pPr>
              <w:pStyle w:val="BodyText"/>
            </w:pPr>
            <w:r w:rsidRPr="00AF2B0E">
              <w:t xml:space="preserve">budget </w:t>
            </w:r>
          </w:p>
          <w:p w:rsidR="00000000" w:rsidRPr="00AF2B0E" w:rsidP="00AF2B0E">
            <w:pPr>
              <w:pStyle w:val="BodyText"/>
            </w:pPr>
            <w:r w:rsidRPr="00AF2B0E">
              <w:t xml:space="preserve">human resources </w:t>
            </w:r>
          </w:p>
          <w:p w:rsidR="00000000" w:rsidRPr="00AF2B0E" w:rsidP="00AF2B0E">
            <w:pPr>
              <w:pStyle w:val="BodyText"/>
            </w:pPr>
            <w:r w:rsidRPr="00AF2B0E">
              <w:t xml:space="preserve">other operational requirements </w:t>
            </w:r>
          </w:p>
          <w:p w:rsidR="00000000" w:rsidRPr="00AF2B0E" w:rsidP="00AF2B0E">
            <w:pPr>
              <w:pStyle w:val="BodyText"/>
            </w:pPr>
            <w:r w:rsidRPr="00AF2B0E">
              <w:t xml:space="preserve">promotional requirements </w:t>
            </w:r>
          </w:p>
          <w:p w:rsidR="00000000" w:rsidP="00AF2B0E">
            <w:pPr>
              <w:pStyle w:val="BodyText"/>
              <w:rPr>
                <w:lang w:val="en-NZ"/>
              </w:rPr>
            </w:pPr>
            <w:r w:rsidRPr="00AF2B0E">
              <w:t>factors external to the event.</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Specific procedures that address event regulatory requirements</w:t>
            </w:r>
            <w:r w:rsidRPr="00AF2B0E">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transport, handling and storage of food </w:t>
            </w:r>
          </w:p>
          <w:p w:rsidR="00000000" w:rsidRPr="00AF2B0E" w:rsidP="00AF2B0E">
            <w:pPr>
              <w:pStyle w:val="BodyText"/>
            </w:pPr>
            <w:r w:rsidRPr="00AF2B0E">
              <w:t>documentation of ro</w:t>
            </w:r>
            <w:r w:rsidRPr="00AF2B0E">
              <w:t xml:space="preserve">les and responsibilities, including restrictions for non-licensed personnel </w:t>
            </w:r>
          </w:p>
          <w:p w:rsidR="00000000" w:rsidRPr="00AF2B0E" w:rsidP="00AF2B0E">
            <w:pPr>
              <w:pStyle w:val="BodyText"/>
            </w:pPr>
            <w:r w:rsidRPr="00AF2B0E">
              <w:t xml:space="preserve">lines of communication </w:t>
            </w:r>
          </w:p>
          <w:p w:rsidR="00000000" w:rsidRPr="00AF2B0E" w:rsidP="00AF2B0E">
            <w:pPr>
              <w:pStyle w:val="BodyText"/>
            </w:pPr>
            <w:r w:rsidRPr="00AF2B0E">
              <w:t xml:space="preserve">reporting procedures </w:t>
            </w:r>
          </w:p>
          <w:p w:rsidR="00000000" w:rsidP="00AF2B0E">
            <w:pPr>
              <w:pStyle w:val="BodyText"/>
              <w:rPr>
                <w:lang w:val="en-NZ"/>
              </w:rPr>
            </w:pPr>
            <w:r w:rsidRPr="00AF2B0E">
              <w:t>emergency procedures.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Compliance documentation</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pre-event reports and requests to authorities </w:t>
            </w:r>
          </w:p>
          <w:p w:rsidR="00000000" w:rsidRPr="00AF2B0E" w:rsidP="00AF2B0E">
            <w:pPr>
              <w:pStyle w:val="BodyText"/>
            </w:pPr>
            <w:r w:rsidRPr="00AF2B0E">
              <w:t xml:space="preserve">details of licensed personnel </w:t>
            </w:r>
          </w:p>
          <w:p w:rsidR="00000000" w:rsidRPr="00AF2B0E" w:rsidP="00AF2B0E">
            <w:pPr>
              <w:pStyle w:val="BodyText"/>
            </w:pPr>
            <w:r w:rsidRPr="00AF2B0E">
              <w:t xml:space="preserve">activity logs </w:t>
            </w:r>
          </w:p>
          <w:p w:rsidR="00000000" w:rsidP="00AF2B0E">
            <w:pPr>
              <w:pStyle w:val="BodyText"/>
              <w:rPr>
                <w:lang w:val="en-NZ"/>
              </w:rPr>
            </w:pPr>
            <w:r w:rsidRPr="00AF2B0E">
              <w:t>incident reports.</w:t>
            </w: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p>
        </w:tc>
      </w:tr>
      <w:tr w:rsidTr="003C55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2B0E">
            <w:pPr>
              <w:pStyle w:val="BodyText"/>
              <w:rPr>
                <w:lang w:val="en-NZ"/>
              </w:rPr>
            </w:pPr>
            <w:r w:rsidRPr="00AF2B0E">
              <w:rPr>
                <w:rStyle w:val="SpecialBold"/>
              </w:rPr>
              <w:t>Briefings and relevant information</w:t>
            </w:r>
            <w:r w:rsidRPr="00AF2B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AF2B0E" w:rsidP="00AF2B0E">
            <w:pPr>
              <w:pStyle w:val="BodyText"/>
            </w:pPr>
            <w:r w:rsidRPr="00AF2B0E">
              <w:t xml:space="preserve">information on regulatory requirements </w:t>
            </w:r>
          </w:p>
          <w:p w:rsidR="00000000" w:rsidRPr="00AF2B0E" w:rsidP="00AF2B0E">
            <w:pPr>
              <w:pStyle w:val="BodyText"/>
            </w:pPr>
            <w:r w:rsidRPr="00AF2B0E">
              <w:t xml:space="preserve">specific procedures to follow in different situations </w:t>
            </w:r>
          </w:p>
          <w:p w:rsidR="00000000" w:rsidRPr="00AF2B0E" w:rsidP="00AF2B0E">
            <w:pPr>
              <w:pStyle w:val="BodyText"/>
            </w:pPr>
            <w:r w:rsidRPr="00AF2B0E">
              <w:t>contacts and procedures for emergency situati</w:t>
            </w:r>
            <w:r w:rsidRPr="00AF2B0E">
              <w:t xml:space="preserve">ons </w:t>
            </w:r>
          </w:p>
          <w:p w:rsidR="00000000" w:rsidRPr="00AF2B0E" w:rsidP="00AF2B0E">
            <w:pPr>
              <w:pStyle w:val="BodyText"/>
            </w:pPr>
            <w:r w:rsidRPr="00AF2B0E">
              <w:t xml:space="preserve">roles and responsibilities charts </w:t>
            </w:r>
          </w:p>
          <w:p w:rsidR="00000000" w:rsidRPr="00AF2B0E" w:rsidP="00AF2B0E">
            <w:pPr>
              <w:pStyle w:val="BodyText"/>
            </w:pPr>
            <w:r w:rsidRPr="00AF2B0E">
              <w:t>blank copies of documentation to be completed.</w:t>
            </w:r>
          </w:p>
        </w:tc>
      </w:tr>
    </w:tbl>
    <w:p w:rsidR="00000000" w:rsidRPr="00AF2B0E" w:rsidP="00AF2B0E">
      <w:pPr>
        <w:pStyle w:val="BodyText"/>
      </w:pPr>
    </w:p>
    <w:p w:rsidR="00000000" w:rsidRPr="00AF2B0E" w:rsidP="00AF2B0E">
      <w:pPr>
        <w:pStyle w:val="AllowPageBreak"/>
      </w:pPr>
    </w:p>
    <w:p w:rsidR="00000000" w:rsidRPr="00AF2B0E" w:rsidP="00AF2B0E">
      <w:pPr>
        <w:pStyle w:val="Heading1"/>
      </w:pPr>
      <w:bookmarkStart w:id="12" w:name="O_320062"/>
      <w:bookmarkEnd w:id="12"/>
      <w:r w:rsidRPr="00AF2B0E">
        <w:t>Unit Sector(s)</w:t>
      </w:r>
    </w:p>
    <w:p w:rsidR="00000000" w:rsidRPr="00AF2B0E" w:rsidP="00AF2B0E">
      <w:pPr>
        <w:pStyle w:val="BodyText"/>
      </w:pPr>
      <w:r w:rsidRPr="00AF2B0E">
        <w:t>Cross-Sector</w:t>
      </w:r>
    </w:p>
    <w:p w:rsidR="00000000" w:rsidRPr="00AF2B0E" w:rsidP="00AF2B0E">
      <w:pPr>
        <w:pStyle w:val="AllowPageBreak"/>
      </w:pPr>
    </w:p>
    <w:p w:rsidR="00000000" w:rsidRPr="00AF2B0E" w:rsidP="00AF2B0E">
      <w:pPr>
        <w:pStyle w:val="Heading1"/>
      </w:pPr>
      <w:bookmarkStart w:id="13" w:name="O_320073"/>
      <w:bookmarkEnd w:id="13"/>
      <w:r w:rsidRPr="00AF2B0E">
        <w:t>Competency field</w:t>
      </w:r>
    </w:p>
    <w:p w:rsidR="00000000" w:rsidRPr="00AF2B0E" w:rsidP="00AF2B0E">
      <w:pPr>
        <w:pStyle w:val="BodyText"/>
      </w:pPr>
      <w:r w:rsidRPr="00AF2B0E">
        <w:t>Event Management</w:t>
      </w:r>
    </w:p>
    <w:p w:rsidR="00000000" w:rsidRPr="00AF2B0E" w:rsidP="00AF2B0E"/>
    <w:sectPr w:rsidSect="00AF2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50A" w:rsidP="003C5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0A" w:rsidP="00AF2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550A" w:rsidP="00AF2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550A" w:rsidP="00AF2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50A" w:rsidP="003C55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0A" w:rsidP="00AF2B0E">
    <w:pPr>
      <w:pStyle w:val="Header"/>
      <w:framePr w:wrap="around"/>
    </w:pPr>
    <w:r>
      <w:fldChar w:fldCharType="begin"/>
    </w:r>
    <w:r>
      <w:instrText xml:space="preserve"> TITLE   \* MERGEFORMAT </w:instrText>
    </w:r>
    <w:r>
      <w:fldChar w:fldCharType="separate"/>
    </w:r>
    <w:r>
      <w:t>SITXEVT010A Evaluate and address event regulatory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550A" w:rsidP="00AF2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B0E"/>
    <w:pPr>
      <w:spacing w:before="360" w:after="60"/>
      <w:outlineLvl w:val="0"/>
    </w:pPr>
    <w:rPr>
      <w:sz w:val="32"/>
    </w:rPr>
  </w:style>
  <w:style w:type="paragraph" w:styleId="Heading2">
    <w:name w:val="heading 2"/>
    <w:basedOn w:val="HeadingBase"/>
    <w:next w:val="BodyText"/>
    <w:link w:val="Heading2Char"/>
    <w:qFormat/>
    <w:rsid w:val="00AF2B0E"/>
    <w:pPr>
      <w:keepLines/>
      <w:spacing w:before="240" w:after="120"/>
      <w:outlineLvl w:val="1"/>
    </w:pPr>
    <w:rPr>
      <w:sz w:val="28"/>
      <w:szCs w:val="40"/>
    </w:rPr>
  </w:style>
  <w:style w:type="paragraph" w:styleId="Heading3">
    <w:name w:val="heading 3"/>
    <w:basedOn w:val="HeadingBase"/>
    <w:next w:val="BodyText"/>
    <w:link w:val="Heading3Char"/>
    <w:qFormat/>
    <w:rsid w:val="00AF2B0E"/>
    <w:pPr>
      <w:spacing w:before="180" w:after="120"/>
      <w:outlineLvl w:val="2"/>
    </w:pPr>
    <w:rPr>
      <w:spacing w:val="-10"/>
      <w:kern w:val="32"/>
    </w:rPr>
  </w:style>
  <w:style w:type="paragraph" w:styleId="Heading4">
    <w:name w:val="heading 4"/>
    <w:basedOn w:val="HeadingBase"/>
    <w:next w:val="BodyText"/>
    <w:link w:val="Heading4Char"/>
    <w:qFormat/>
    <w:rsid w:val="00AF2B0E"/>
    <w:pPr>
      <w:spacing w:before="160" w:after="120"/>
      <w:outlineLvl w:val="3"/>
    </w:pPr>
    <w:rPr>
      <w:sz w:val="22"/>
    </w:rPr>
  </w:style>
  <w:style w:type="paragraph" w:styleId="Heading5">
    <w:name w:val="heading 5"/>
    <w:basedOn w:val="HeadingBase"/>
    <w:next w:val="Normal"/>
    <w:link w:val="Heading5Char"/>
    <w:qFormat/>
    <w:rsid w:val="00AF2B0E"/>
    <w:pPr>
      <w:spacing w:before="80"/>
      <w:outlineLvl w:val="4"/>
    </w:pPr>
    <w:rPr>
      <w:color w:val="918585"/>
      <w:sz w:val="20"/>
    </w:rPr>
  </w:style>
  <w:style w:type="paragraph" w:styleId="Heading6">
    <w:name w:val="heading 6"/>
    <w:basedOn w:val="HeadingBase"/>
    <w:next w:val="Normal"/>
    <w:link w:val="Heading6Char"/>
    <w:qFormat/>
    <w:rsid w:val="00AF2B0E"/>
    <w:pPr>
      <w:spacing w:before="60"/>
      <w:outlineLvl w:val="5"/>
    </w:pPr>
    <w:rPr>
      <w:color w:val="918585"/>
      <w:sz w:val="20"/>
    </w:rPr>
  </w:style>
  <w:style w:type="paragraph" w:styleId="Heading7">
    <w:name w:val="heading 7"/>
    <w:basedOn w:val="Normal"/>
    <w:next w:val="Normal"/>
    <w:link w:val="Heading7Char"/>
    <w:qFormat/>
    <w:rsid w:val="00AF2B0E"/>
    <w:pPr>
      <w:ind w:left="720"/>
      <w:outlineLvl w:val="6"/>
    </w:pPr>
    <w:rPr>
      <w:i/>
    </w:rPr>
  </w:style>
  <w:style w:type="paragraph" w:styleId="Heading8">
    <w:name w:val="heading 8"/>
    <w:basedOn w:val="Normal"/>
    <w:next w:val="Normal"/>
    <w:link w:val="Heading8Char"/>
    <w:qFormat/>
    <w:rsid w:val="00AF2B0E"/>
    <w:pPr>
      <w:ind w:left="720"/>
      <w:outlineLvl w:val="7"/>
    </w:pPr>
    <w:rPr>
      <w:i/>
    </w:rPr>
  </w:style>
  <w:style w:type="paragraph" w:styleId="Heading9">
    <w:name w:val="heading 9"/>
    <w:basedOn w:val="Normal"/>
    <w:next w:val="Normal"/>
    <w:link w:val="Heading9Char"/>
    <w:qFormat/>
    <w:rsid w:val="00AF2B0E"/>
    <w:pPr>
      <w:ind w:left="720"/>
      <w:outlineLvl w:val="8"/>
    </w:pPr>
    <w:rPr>
      <w:i/>
    </w:rPr>
  </w:style>
  <w:style w:type="character" w:default="1" w:styleId="DefaultParagraphFont">
    <w:name w:val="Default Paragraph Font"/>
    <w:uiPriority w:val="1"/>
    <w:unhideWhenUsed/>
    <w:rsid w:val="00AF2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B0E"/>
  </w:style>
  <w:style w:type="character" w:customStyle="1" w:styleId="Heading1Char">
    <w:name w:val="Heading 1 Char"/>
    <w:basedOn w:val="DefaultParagraphFont"/>
    <w:link w:val="Heading1"/>
    <w:rsid w:val="00AF2B0E"/>
    <w:rPr>
      <w:rFonts w:ascii="Times New Roman" w:eastAsia="Times New Roman" w:hAnsi="Times New Roman" w:cs="Times New Roman"/>
      <w:b/>
      <w:sz w:val="32"/>
      <w:szCs w:val="20"/>
      <w:lang w:eastAsia="en-US"/>
    </w:rPr>
  </w:style>
  <w:style w:type="paragraph" w:styleId="BodyText">
    <w:name w:val="Body Text"/>
    <w:basedOn w:val="Normal"/>
    <w:link w:val="BodyTextChar"/>
    <w:rsid w:val="00AF2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B0E"/>
    <w:rPr>
      <w:rFonts w:ascii="Times New Roman" w:eastAsia="Times New Roman" w:hAnsi="Times New Roman" w:cs="Times New Roman"/>
      <w:sz w:val="24"/>
      <w:lang w:val="en-US" w:eastAsia="en-US"/>
    </w:rPr>
  </w:style>
  <w:style w:type="paragraph" w:styleId="Footer">
    <w:name w:val="footer"/>
    <w:basedOn w:val="Normal"/>
    <w:link w:val="FooterChar"/>
    <w:rsid w:val="00AF2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B0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F2B0E"/>
    <w:rPr>
      <w:b/>
      <w:spacing w:val="0"/>
    </w:rPr>
  </w:style>
  <w:style w:type="paragraph" w:styleId="Header">
    <w:name w:val="header"/>
    <w:basedOn w:val="Normal"/>
    <w:link w:val="HeaderChar"/>
    <w:rsid w:val="00AF2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B0E"/>
    <w:pPr>
      <w:spacing w:before="240" w:after="120"/>
      <w:outlineLvl w:val="0"/>
    </w:pPr>
    <w:rPr>
      <w:rFonts w:ascii="Times New Roman" w:hAnsi="Times New Roman"/>
      <w:b/>
      <w:sz w:val="28"/>
    </w:rPr>
  </w:style>
  <w:style w:type="paragraph" w:customStyle="1" w:styleId="AllowPageBreak">
    <w:name w:val="AllowPageBreak"/>
    <w:rsid w:val="00AF2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B0E"/>
    <w:rPr>
      <w:rFonts w:ascii="Courier New" w:eastAsia="Times New Roman" w:hAnsi="Courier New" w:cs="Times New Roman"/>
      <w:i/>
      <w:szCs w:val="20"/>
      <w:lang w:val="en-US" w:eastAsia="en-US"/>
    </w:rPr>
  </w:style>
  <w:style w:type="paragraph" w:customStyle="1" w:styleId="HeadingBase">
    <w:name w:val="Heading Base"/>
    <w:rsid w:val="00AF2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B0E"/>
    <w:pPr>
      <w:tabs>
        <w:tab w:val="right" w:leader="dot" w:pos="9072"/>
      </w:tabs>
      <w:ind w:left="567"/>
    </w:pPr>
    <w:rPr>
      <w:szCs w:val="22"/>
    </w:rPr>
  </w:style>
  <w:style w:type="paragraph" w:customStyle="1" w:styleId="TOCBase">
    <w:name w:val="TOC Base"/>
    <w:rsid w:val="00AF2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B0E"/>
    <w:pPr>
      <w:tabs>
        <w:tab w:val="right" w:leader="dot" w:pos="9072"/>
      </w:tabs>
      <w:spacing w:before="40" w:after="40"/>
      <w:ind w:left="284"/>
    </w:pPr>
    <w:rPr>
      <w:rFonts w:ascii="Times New Roman" w:hAnsi="Times New Roman"/>
    </w:rPr>
  </w:style>
  <w:style w:type="paragraph" w:styleId="TOC1">
    <w:name w:val="toc 1"/>
    <w:basedOn w:val="TOCBase"/>
    <w:next w:val="Normal"/>
    <w:rsid w:val="00AF2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B0E"/>
    <w:pPr>
      <w:spacing w:before="5040"/>
      <w:jc w:val="center"/>
    </w:pPr>
    <w:rPr>
      <w:sz w:val="48"/>
      <w:szCs w:val="72"/>
      <w:lang w:val="en-US"/>
    </w:rPr>
  </w:style>
  <w:style w:type="character" w:customStyle="1" w:styleId="TitleChar">
    <w:name w:val="Title Char"/>
    <w:basedOn w:val="DefaultParagraphFont"/>
    <w:link w:val="Title"/>
    <w:rsid w:val="00AF2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B0E"/>
    <w:pPr>
      <w:tabs>
        <w:tab w:val="left" w:pos="3600"/>
        <w:tab w:val="left" w:pos="3958"/>
      </w:tabs>
    </w:pPr>
  </w:style>
  <w:style w:type="paragraph" w:styleId="List">
    <w:name w:val="List"/>
    <w:basedOn w:val="BodyText"/>
    <w:next w:val="BodyText"/>
    <w:rsid w:val="00AF2B0E"/>
    <w:pPr>
      <w:tabs>
        <w:tab w:val="left" w:pos="340"/>
      </w:tabs>
      <w:spacing w:before="60" w:after="60"/>
      <w:ind w:left="340" w:hanging="340"/>
    </w:pPr>
  </w:style>
  <w:style w:type="paragraph" w:styleId="ListBullet">
    <w:name w:val="List Bullet"/>
    <w:basedOn w:val="List"/>
    <w:rsid w:val="00AF2B0E"/>
    <w:pPr>
      <w:numPr>
        <w:numId w:val="11"/>
      </w:numPr>
      <w:tabs>
        <w:tab w:val="clear" w:pos="340"/>
      </w:tabs>
      <w:spacing w:before="40" w:after="40"/>
    </w:pPr>
  </w:style>
  <w:style w:type="paragraph" w:customStyle="1" w:styleId="Note">
    <w:name w:val="Note"/>
    <w:basedOn w:val="BodyText"/>
    <w:rsid w:val="00AF2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B0E"/>
    <w:pPr>
      <w:framePr w:wrap="auto" w:hAnchor="text" w:y="6049"/>
    </w:pPr>
    <w:rPr>
      <w:color w:val="000000"/>
      <w:sz w:val="40"/>
    </w:rPr>
  </w:style>
  <w:style w:type="paragraph" w:customStyle="1" w:styleId="TOCTitle">
    <w:name w:val="TOCTitle"/>
    <w:basedOn w:val="Heading1"/>
    <w:rsid w:val="00AF2B0E"/>
    <w:pPr>
      <w:spacing w:after="240"/>
      <w:jc w:val="center"/>
      <w:outlineLvl w:val="9"/>
    </w:pPr>
    <w:rPr>
      <w:caps/>
    </w:rPr>
  </w:style>
  <w:style w:type="paragraph" w:customStyle="1" w:styleId="Version">
    <w:name w:val="Version"/>
    <w:rsid w:val="00AF2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B0E"/>
    <w:pPr>
      <w:numPr>
        <w:numId w:val="12"/>
      </w:numPr>
      <w:tabs>
        <w:tab w:val="clear" w:pos="680"/>
      </w:tabs>
    </w:pPr>
  </w:style>
  <w:style w:type="paragraph" w:styleId="Index1">
    <w:name w:val="index 1"/>
    <w:basedOn w:val="Normal"/>
    <w:next w:val="Normal"/>
    <w:semiHidden/>
    <w:rsid w:val="00AF2B0E"/>
    <w:pPr>
      <w:keepNext w:val="0"/>
      <w:tabs>
        <w:tab w:val="right" w:pos="4176"/>
      </w:tabs>
      <w:ind w:left="198" w:hanging="198"/>
    </w:pPr>
    <w:rPr>
      <w:rFonts w:ascii="Garamond" w:hAnsi="Garamond"/>
    </w:rPr>
  </w:style>
  <w:style w:type="paragraph" w:styleId="IndexHeading">
    <w:name w:val="index heading"/>
    <w:basedOn w:val="Normal"/>
    <w:next w:val="Index1"/>
    <w:semiHidden/>
    <w:rsid w:val="00AF2B0E"/>
    <w:pPr>
      <w:spacing w:before="120" w:after="120"/>
    </w:pPr>
    <w:rPr>
      <w:rFonts w:ascii="Arial" w:hAnsi="Arial"/>
      <w:b/>
      <w:color w:val="918585"/>
      <w:sz w:val="24"/>
    </w:rPr>
  </w:style>
  <w:style w:type="paragraph" w:customStyle="1" w:styleId="Chapter">
    <w:name w:val="Chapter"/>
    <w:basedOn w:val="Normal"/>
    <w:rsid w:val="00AF2B0E"/>
    <w:pPr>
      <w:spacing w:before="240"/>
    </w:pPr>
    <w:rPr>
      <w:rFonts w:ascii="Times New Roman" w:hAnsi="Times New Roman"/>
      <w:smallCaps/>
      <w:spacing w:val="80"/>
      <w:sz w:val="28"/>
    </w:rPr>
  </w:style>
  <w:style w:type="paragraph" w:customStyle="1" w:styleId="InChapter">
    <w:name w:val="InChapter"/>
    <w:basedOn w:val="Heading3"/>
    <w:rsid w:val="00AF2B0E"/>
    <w:pPr>
      <w:spacing w:after="240"/>
      <w:outlineLvl w:val="9"/>
    </w:pPr>
    <w:rPr>
      <w:noProof/>
    </w:rPr>
  </w:style>
  <w:style w:type="paragraph" w:styleId="Index2">
    <w:name w:val="index 2"/>
    <w:basedOn w:val="Normal"/>
    <w:next w:val="Normal"/>
    <w:semiHidden/>
    <w:rsid w:val="00AF2B0E"/>
    <w:pPr>
      <w:tabs>
        <w:tab w:val="right" w:pos="4176"/>
      </w:tabs>
      <w:ind w:left="568" w:hanging="284"/>
    </w:pPr>
    <w:rPr>
      <w:rFonts w:ascii="Garamond" w:hAnsi="Garamond"/>
    </w:rPr>
  </w:style>
  <w:style w:type="paragraph" w:customStyle="1" w:styleId="Byline">
    <w:name w:val="Byline"/>
    <w:rsid w:val="00AF2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B0E"/>
    <w:pPr>
      <w:tabs>
        <w:tab w:val="clear" w:pos="3600"/>
        <w:tab w:val="clear" w:pos="3958"/>
      </w:tabs>
      <w:jc w:val="right"/>
    </w:pPr>
  </w:style>
  <w:style w:type="character" w:styleId="Emphasis">
    <w:name w:val="Emphasis"/>
    <w:basedOn w:val="DefaultParagraphFont"/>
    <w:qFormat/>
    <w:rsid w:val="00AF2B0E"/>
    <w:rPr>
      <w:i/>
    </w:rPr>
  </w:style>
  <w:style w:type="paragraph" w:styleId="Caption">
    <w:name w:val="caption"/>
    <w:basedOn w:val="BodyText"/>
    <w:next w:val="Normal"/>
    <w:qFormat/>
    <w:rsid w:val="00AF2B0E"/>
    <w:pPr>
      <w:framePr w:w="2268" w:hSpace="181" w:vSpace="181" w:wrap="around" w:vAnchor="text" w:hAnchor="page" w:x="1135" w:y="285" w:anchorLock="1"/>
    </w:pPr>
    <w:rPr>
      <w:i/>
    </w:rPr>
  </w:style>
  <w:style w:type="paragraph" w:customStyle="1" w:styleId="MiniTOCTitle">
    <w:name w:val="MiniTOCTitle"/>
    <w:basedOn w:val="Heading4"/>
    <w:rsid w:val="00AF2B0E"/>
    <w:pPr>
      <w:spacing w:before="240"/>
      <w:outlineLvl w:val="9"/>
    </w:pPr>
    <w:rPr>
      <w:noProof/>
      <w:sz w:val="24"/>
    </w:rPr>
  </w:style>
  <w:style w:type="paragraph" w:customStyle="1" w:styleId="MiniTOCItem">
    <w:name w:val="MiniTOCItem"/>
    <w:basedOn w:val="ListBullet"/>
    <w:rsid w:val="00AF2B0E"/>
    <w:pPr>
      <w:numPr>
        <w:numId w:val="0"/>
      </w:numPr>
      <w:tabs>
        <w:tab w:val="right" w:leader="dot" w:pos="6521"/>
      </w:tabs>
      <w:spacing w:before="0" w:after="0"/>
    </w:pPr>
  </w:style>
  <w:style w:type="paragraph" w:customStyle="1" w:styleId="TOFTitle">
    <w:name w:val="TOFTitle"/>
    <w:basedOn w:val="TOCTitle"/>
    <w:rsid w:val="00AF2B0E"/>
  </w:style>
  <w:style w:type="paragraph" w:styleId="TableofFigures">
    <w:name w:val="table of figures"/>
    <w:basedOn w:val="Normal"/>
    <w:next w:val="Normal"/>
    <w:semiHidden/>
    <w:rsid w:val="00AF2B0E"/>
    <w:pPr>
      <w:tabs>
        <w:tab w:val="right" w:leader="dot" w:pos="9072"/>
      </w:tabs>
      <w:ind w:left="970" w:hanging="403"/>
    </w:pPr>
    <w:rPr>
      <w:rFonts w:ascii="Times New Roman" w:hAnsi="Times New Roman"/>
      <w:b/>
    </w:rPr>
  </w:style>
  <w:style w:type="paragraph" w:styleId="ListNumber">
    <w:name w:val="List Number"/>
    <w:basedOn w:val="List"/>
    <w:rsid w:val="00AF2B0E"/>
    <w:pPr>
      <w:numPr>
        <w:numId w:val="9"/>
      </w:numPr>
    </w:pPr>
  </w:style>
  <w:style w:type="character" w:customStyle="1" w:styleId="WingdingSymbols">
    <w:name w:val="Wingding Symbols"/>
    <w:rsid w:val="00AF2B0E"/>
    <w:rPr>
      <w:rFonts w:ascii="Wingdings" w:hAnsi="Wingdings"/>
    </w:rPr>
  </w:style>
  <w:style w:type="paragraph" w:customStyle="1" w:styleId="TableHeading">
    <w:name w:val="Table Heading"/>
    <w:basedOn w:val="HeadingBase"/>
    <w:rsid w:val="00AF2B0E"/>
    <w:pPr>
      <w:keepLines/>
      <w:pBdr>
        <w:bottom w:val="single" w:sz="6" w:space="1" w:color="918585"/>
      </w:pBdr>
      <w:spacing w:before="240"/>
    </w:pPr>
  </w:style>
  <w:style w:type="character" w:customStyle="1" w:styleId="HotSpot">
    <w:name w:val="HotSpot"/>
    <w:rsid w:val="00AF2B0E"/>
    <w:rPr>
      <w:color w:val="0033CC"/>
      <w:u w:val="none"/>
    </w:rPr>
  </w:style>
  <w:style w:type="paragraph" w:customStyle="1" w:styleId="BodyTextRight">
    <w:name w:val="Body Text Right"/>
    <w:basedOn w:val="BodyText"/>
    <w:rsid w:val="00AF2B0E"/>
    <w:pPr>
      <w:spacing w:before="0" w:after="0"/>
      <w:jc w:val="right"/>
    </w:pPr>
  </w:style>
  <w:style w:type="paragraph" w:styleId="Index3">
    <w:name w:val="index 3"/>
    <w:basedOn w:val="ListNumber2"/>
    <w:next w:val="Normal"/>
    <w:semiHidden/>
    <w:rsid w:val="00AF2B0E"/>
    <w:pPr>
      <w:numPr>
        <w:numId w:val="0"/>
      </w:numPr>
      <w:tabs>
        <w:tab w:val="right" w:leader="dot" w:pos="4176"/>
      </w:tabs>
    </w:pPr>
  </w:style>
  <w:style w:type="paragraph" w:styleId="ListNumber2">
    <w:name w:val="List Number 2"/>
    <w:basedOn w:val="List2"/>
    <w:rsid w:val="00AF2B0E"/>
    <w:pPr>
      <w:numPr>
        <w:numId w:val="8"/>
      </w:numPr>
      <w:tabs>
        <w:tab w:val="clear" w:pos="1060"/>
      </w:tabs>
    </w:pPr>
  </w:style>
  <w:style w:type="paragraph" w:customStyle="1" w:styleId="MarginNote">
    <w:name w:val="Margin Note"/>
    <w:basedOn w:val="BodyText"/>
    <w:rsid w:val="00AF2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B0E"/>
    <w:rPr>
      <w:sz w:val="32"/>
    </w:rPr>
  </w:style>
  <w:style w:type="paragraph" w:customStyle="1" w:styleId="HeadingProcedure">
    <w:name w:val="Heading Procedure"/>
    <w:basedOn w:val="HeadingBase"/>
    <w:next w:val="Normal"/>
    <w:rsid w:val="00AF2B0E"/>
    <w:pPr>
      <w:tabs>
        <w:tab w:val="left" w:pos="0"/>
      </w:tabs>
      <w:spacing w:before="120" w:after="60"/>
    </w:pPr>
    <w:rPr>
      <w:i/>
      <w:color w:val="918585"/>
      <w:sz w:val="22"/>
    </w:rPr>
  </w:style>
  <w:style w:type="paragraph" w:customStyle="1" w:styleId="TableBodyText">
    <w:name w:val="Table Body Text"/>
    <w:basedOn w:val="BodyText"/>
    <w:rsid w:val="00AF2B0E"/>
    <w:pPr>
      <w:spacing w:before="60" w:after="60"/>
    </w:pPr>
  </w:style>
  <w:style w:type="paragraph" w:styleId="ListContinue">
    <w:name w:val="List Continue"/>
    <w:basedOn w:val="List"/>
    <w:rsid w:val="00AF2B0E"/>
    <w:pPr>
      <w:ind w:firstLine="0"/>
    </w:pPr>
  </w:style>
  <w:style w:type="paragraph" w:customStyle="1" w:styleId="ListNote">
    <w:name w:val="List Note"/>
    <w:basedOn w:val="List"/>
    <w:rsid w:val="00AF2B0E"/>
    <w:pPr>
      <w:pBdr>
        <w:top w:val="single" w:sz="6" w:space="2" w:color="918585"/>
        <w:bottom w:val="single" w:sz="6" w:space="2" w:color="918585"/>
      </w:pBdr>
      <w:tabs>
        <w:tab w:val="left" w:pos="1021"/>
      </w:tabs>
      <w:ind w:firstLine="0"/>
    </w:pPr>
  </w:style>
  <w:style w:type="paragraph" w:customStyle="1" w:styleId="Warning">
    <w:name w:val="Warning"/>
    <w:basedOn w:val="BodyText"/>
    <w:rsid w:val="00AF2B0E"/>
    <w:pPr>
      <w:shd w:val="clear" w:color="auto" w:fill="D9D9D9"/>
      <w:tabs>
        <w:tab w:val="left" w:pos="992"/>
      </w:tabs>
      <w:ind w:left="119" w:right="119"/>
    </w:pPr>
    <w:rPr>
      <w:sz w:val="20"/>
    </w:rPr>
  </w:style>
  <w:style w:type="paragraph" w:customStyle="1" w:styleId="MarginIcons">
    <w:name w:val="Margin Icons"/>
    <w:basedOn w:val="BodyText"/>
    <w:rsid w:val="00AF2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B0E"/>
    <w:rPr>
      <w:rFonts w:ascii="Courier New" w:hAnsi="Courier New"/>
    </w:rPr>
  </w:style>
  <w:style w:type="paragraph" w:customStyle="1" w:styleId="NoteBullet">
    <w:name w:val="Note Bullet"/>
    <w:basedOn w:val="Note"/>
    <w:rsid w:val="00AF2B0E"/>
    <w:pPr>
      <w:tabs>
        <w:tab w:val="clear" w:pos="680"/>
      </w:tabs>
      <w:spacing w:before="60" w:after="60"/>
    </w:pPr>
  </w:style>
  <w:style w:type="paragraph" w:customStyle="1" w:styleId="SubHeading2">
    <w:name w:val="SubHeading2"/>
    <w:basedOn w:val="HeadingBase"/>
    <w:rsid w:val="00AF2B0E"/>
    <w:pPr>
      <w:spacing w:before="240" w:after="60"/>
    </w:pPr>
    <w:rPr>
      <w:sz w:val="20"/>
    </w:rPr>
  </w:style>
  <w:style w:type="paragraph" w:customStyle="1" w:styleId="SubHeading1">
    <w:name w:val="SubHeading1"/>
    <w:basedOn w:val="HeadingBase"/>
    <w:rsid w:val="00AF2B0E"/>
    <w:pPr>
      <w:spacing w:before="240" w:after="60"/>
    </w:pPr>
    <w:rPr>
      <w:color w:val="918585"/>
      <w:sz w:val="22"/>
    </w:rPr>
  </w:style>
  <w:style w:type="paragraph" w:customStyle="1" w:styleId="SideHeading">
    <w:name w:val="Side Heading"/>
    <w:basedOn w:val="HeadingBase"/>
    <w:rsid w:val="00AF2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B0E"/>
    <w:pPr>
      <w:numPr>
        <w:numId w:val="10"/>
      </w:numPr>
    </w:pPr>
  </w:style>
  <w:style w:type="paragraph" w:styleId="PlainText">
    <w:name w:val="Plain Text"/>
    <w:basedOn w:val="Normal"/>
    <w:link w:val="PlainTextChar"/>
    <w:rsid w:val="00AF2B0E"/>
    <w:rPr>
      <w:sz w:val="20"/>
    </w:rPr>
  </w:style>
  <w:style w:type="character" w:customStyle="1" w:styleId="PlainTextChar">
    <w:name w:val="Plain Text Char"/>
    <w:basedOn w:val="DefaultParagraphFont"/>
    <w:link w:val="PlainText"/>
    <w:rsid w:val="00AF2B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B0E"/>
    <w:rPr>
      <w:b/>
      <w:smallCaps/>
    </w:rPr>
  </w:style>
  <w:style w:type="paragraph" w:customStyle="1" w:styleId="TableListNumber">
    <w:name w:val="Table List Number"/>
    <w:basedOn w:val="ListNumber"/>
    <w:rsid w:val="00AF2B0E"/>
    <w:pPr>
      <w:numPr>
        <w:numId w:val="0"/>
      </w:numPr>
    </w:pPr>
  </w:style>
  <w:style w:type="paragraph" w:styleId="TOC4">
    <w:name w:val="toc 4"/>
    <w:basedOn w:val="TOCBase"/>
    <w:next w:val="Normal"/>
    <w:semiHidden/>
    <w:rsid w:val="00AF2B0E"/>
    <w:pPr>
      <w:tabs>
        <w:tab w:val="right" w:leader="dot" w:pos="9071"/>
      </w:tabs>
      <w:ind w:left="1701"/>
    </w:pPr>
  </w:style>
  <w:style w:type="paragraph" w:customStyle="1" w:styleId="ListAlpha">
    <w:name w:val="List Alpha"/>
    <w:basedOn w:val="List"/>
    <w:rsid w:val="00AF2B0E"/>
    <w:pPr>
      <w:numPr>
        <w:numId w:val="7"/>
      </w:numPr>
    </w:pPr>
  </w:style>
  <w:style w:type="paragraph" w:customStyle="1" w:styleId="ListAlpha2">
    <w:name w:val="List Alpha 2"/>
    <w:basedOn w:val="List2"/>
    <w:rsid w:val="00AF2B0E"/>
    <w:pPr>
      <w:numPr>
        <w:numId w:val="6"/>
      </w:numPr>
    </w:pPr>
  </w:style>
  <w:style w:type="paragraph" w:styleId="List2">
    <w:name w:val="List 2"/>
    <w:basedOn w:val="BodyText"/>
    <w:rsid w:val="00AF2B0E"/>
    <w:pPr>
      <w:tabs>
        <w:tab w:val="left" w:pos="680"/>
      </w:tabs>
      <w:spacing w:before="60" w:after="60"/>
      <w:ind w:left="680" w:hanging="340"/>
    </w:pPr>
  </w:style>
  <w:style w:type="paragraph" w:styleId="List3">
    <w:name w:val="List 3"/>
    <w:basedOn w:val="BodyText"/>
    <w:rsid w:val="00AF2B0E"/>
    <w:pPr>
      <w:tabs>
        <w:tab w:val="left" w:pos="1021"/>
      </w:tabs>
      <w:spacing w:before="60" w:after="60"/>
      <w:ind w:left="1020" w:hanging="340"/>
    </w:pPr>
  </w:style>
  <w:style w:type="paragraph" w:styleId="List4">
    <w:name w:val="List 4"/>
    <w:basedOn w:val="BodyText"/>
    <w:rsid w:val="00AF2B0E"/>
    <w:pPr>
      <w:tabs>
        <w:tab w:val="left" w:pos="1361"/>
      </w:tabs>
      <w:spacing w:before="60" w:after="60"/>
      <w:ind w:left="1361" w:hanging="340"/>
    </w:pPr>
  </w:style>
  <w:style w:type="paragraph" w:styleId="List5">
    <w:name w:val="List 5"/>
    <w:basedOn w:val="BodyText"/>
    <w:rsid w:val="00AF2B0E"/>
    <w:pPr>
      <w:tabs>
        <w:tab w:val="left" w:pos="1701"/>
      </w:tabs>
      <w:spacing w:before="60" w:after="60"/>
      <w:ind w:left="1701" w:hanging="340"/>
    </w:pPr>
  </w:style>
  <w:style w:type="paragraph" w:styleId="ListBullet3">
    <w:name w:val="List Bullet 3"/>
    <w:basedOn w:val="List3"/>
    <w:rsid w:val="00AF2B0E"/>
    <w:pPr>
      <w:numPr>
        <w:numId w:val="13"/>
      </w:numPr>
      <w:tabs>
        <w:tab w:val="clear" w:pos="1021"/>
      </w:tabs>
      <w:ind w:left="1037" w:hanging="357"/>
    </w:pPr>
  </w:style>
  <w:style w:type="paragraph" w:styleId="ListBullet4">
    <w:name w:val="List Bullet 4"/>
    <w:basedOn w:val="List4"/>
    <w:rsid w:val="00AF2B0E"/>
    <w:pPr>
      <w:numPr>
        <w:numId w:val="1"/>
      </w:numPr>
    </w:pPr>
  </w:style>
  <w:style w:type="paragraph" w:styleId="ListBullet5">
    <w:name w:val="List Bullet 5"/>
    <w:basedOn w:val="List5"/>
    <w:rsid w:val="00AF2B0E"/>
    <w:pPr>
      <w:numPr>
        <w:numId w:val="2"/>
      </w:numPr>
    </w:pPr>
  </w:style>
  <w:style w:type="paragraph" w:styleId="ListContinue2">
    <w:name w:val="List Continue 2"/>
    <w:basedOn w:val="List2"/>
    <w:rsid w:val="00AF2B0E"/>
    <w:pPr>
      <w:ind w:firstLine="0"/>
    </w:pPr>
  </w:style>
  <w:style w:type="paragraph" w:styleId="ListContinue3">
    <w:name w:val="List Continue 3"/>
    <w:basedOn w:val="List3"/>
    <w:rsid w:val="00AF2B0E"/>
    <w:pPr>
      <w:ind w:left="1021" w:firstLine="0"/>
    </w:pPr>
  </w:style>
  <w:style w:type="paragraph" w:styleId="ListContinue4">
    <w:name w:val="List Continue 4"/>
    <w:basedOn w:val="List4"/>
    <w:rsid w:val="00AF2B0E"/>
    <w:pPr>
      <w:ind w:firstLine="0"/>
    </w:pPr>
  </w:style>
  <w:style w:type="paragraph" w:styleId="ListContinue5">
    <w:name w:val="List Continue 5"/>
    <w:basedOn w:val="List5"/>
    <w:rsid w:val="00AF2B0E"/>
    <w:pPr>
      <w:ind w:firstLine="0"/>
    </w:pPr>
  </w:style>
  <w:style w:type="paragraph" w:styleId="ListNumber3">
    <w:name w:val="List Number 3"/>
    <w:basedOn w:val="List3"/>
    <w:rsid w:val="00AF2B0E"/>
    <w:pPr>
      <w:numPr>
        <w:numId w:val="3"/>
      </w:numPr>
    </w:pPr>
  </w:style>
  <w:style w:type="paragraph" w:styleId="ListNumber4">
    <w:name w:val="List Number 4"/>
    <w:basedOn w:val="List4"/>
    <w:rsid w:val="00AF2B0E"/>
    <w:pPr>
      <w:numPr>
        <w:numId w:val="4"/>
      </w:numPr>
    </w:pPr>
  </w:style>
  <w:style w:type="paragraph" w:styleId="ListNumber5">
    <w:name w:val="List Number 5"/>
    <w:basedOn w:val="List5"/>
    <w:rsid w:val="00AF2B0E"/>
    <w:pPr>
      <w:numPr>
        <w:numId w:val="5"/>
      </w:numPr>
    </w:pPr>
  </w:style>
  <w:style w:type="paragraph" w:styleId="BlockText">
    <w:name w:val="Block Text"/>
    <w:basedOn w:val="Normal"/>
    <w:rsid w:val="00AF2B0E"/>
    <w:pPr>
      <w:spacing w:after="120"/>
      <w:ind w:left="1440" w:right="1440"/>
    </w:pPr>
  </w:style>
  <w:style w:type="character" w:customStyle="1" w:styleId="Subscript">
    <w:name w:val="Subscript"/>
    <w:basedOn w:val="DefaultParagraphFont"/>
    <w:rsid w:val="00AF2B0E"/>
    <w:rPr>
      <w:sz w:val="16"/>
      <w:vertAlign w:val="subscript"/>
    </w:rPr>
  </w:style>
  <w:style w:type="character" w:customStyle="1" w:styleId="Superscript">
    <w:name w:val="Superscript"/>
    <w:basedOn w:val="DefaultParagraphFont"/>
    <w:rsid w:val="00AF2B0E"/>
    <w:rPr>
      <w:sz w:val="16"/>
      <w:vertAlign w:val="superscript"/>
    </w:rPr>
  </w:style>
  <w:style w:type="character" w:customStyle="1" w:styleId="Symbols">
    <w:name w:val="Symbols"/>
    <w:basedOn w:val="DefaultParagraphFont"/>
    <w:rsid w:val="00AF2B0E"/>
    <w:rPr>
      <w:rFonts w:ascii="Symbol" w:hAnsi="Symbol"/>
    </w:rPr>
  </w:style>
  <w:style w:type="character" w:customStyle="1" w:styleId="MenuOptions">
    <w:name w:val="Menu Options"/>
    <w:basedOn w:val="DefaultParagraphFont"/>
    <w:rsid w:val="00AF2B0E"/>
    <w:rPr>
      <w:rFonts w:ascii="Arial Narrow" w:hAnsi="Arial Narrow"/>
      <w:smallCaps/>
    </w:rPr>
  </w:style>
  <w:style w:type="character" w:customStyle="1" w:styleId="Buttons">
    <w:name w:val="Buttons"/>
    <w:basedOn w:val="DefaultParagraphFont"/>
    <w:rsid w:val="00AF2B0E"/>
    <w:rPr>
      <w:b/>
    </w:rPr>
  </w:style>
  <w:style w:type="character" w:customStyle="1" w:styleId="Underlined">
    <w:name w:val="Underlined"/>
    <w:basedOn w:val="DefaultParagraphFont"/>
    <w:rsid w:val="00AF2B0E"/>
    <w:rPr>
      <w:u w:val="single"/>
    </w:rPr>
  </w:style>
  <w:style w:type="paragraph" w:customStyle="1" w:styleId="TableBodyTextRight">
    <w:name w:val="Table Body Text Right"/>
    <w:basedOn w:val="TableBodyText"/>
    <w:rsid w:val="00AF2B0E"/>
    <w:pPr>
      <w:widowControl w:val="0"/>
      <w:autoSpaceDE w:val="0"/>
      <w:autoSpaceDN w:val="0"/>
      <w:adjustRightInd w:val="0"/>
      <w:jc w:val="right"/>
    </w:pPr>
    <w:rPr>
      <w:rFonts w:cs="Arial"/>
      <w:szCs w:val="18"/>
    </w:rPr>
  </w:style>
  <w:style w:type="paragraph" w:customStyle="1" w:styleId="CopyrightText">
    <w:name w:val="Copyright Text"/>
    <w:basedOn w:val="BodyText"/>
    <w:rsid w:val="00AF2B0E"/>
    <w:rPr>
      <w:sz w:val="18"/>
    </w:rPr>
  </w:style>
  <w:style w:type="paragraph" w:customStyle="1" w:styleId="BodySmallRight">
    <w:name w:val="Body Small Right"/>
    <w:basedOn w:val="BodyTextRight"/>
    <w:rsid w:val="00AF2B0E"/>
    <w:rPr>
      <w:sz w:val="18"/>
      <w:szCs w:val="18"/>
    </w:rPr>
  </w:style>
  <w:style w:type="paragraph" w:customStyle="1" w:styleId="MarginEdition">
    <w:name w:val="Margin Edition"/>
    <w:basedOn w:val="MarginNote"/>
    <w:rsid w:val="00AF2B0E"/>
    <w:pPr>
      <w:spacing w:before="0" w:after="0"/>
    </w:pPr>
    <w:rPr>
      <w:rFonts w:ascii="Times New Roman" w:hAnsi="Times New Roman"/>
      <w:color w:val="999999"/>
    </w:rPr>
  </w:style>
  <w:style w:type="paragraph" w:customStyle="1" w:styleId="Spacer">
    <w:name w:val="Spacer"/>
    <w:basedOn w:val="Normal"/>
    <w:rsid w:val="00AF2B0E"/>
    <w:rPr>
      <w:sz w:val="2"/>
      <w:szCs w:val="2"/>
    </w:rPr>
  </w:style>
  <w:style w:type="character" w:customStyle="1" w:styleId="Small">
    <w:name w:val="Small"/>
    <w:basedOn w:val="DefaultParagraphFont"/>
    <w:rsid w:val="00AF2B0E"/>
    <w:rPr>
      <w:sz w:val="16"/>
    </w:rPr>
  </w:style>
  <w:style w:type="paragraph" w:customStyle="1" w:styleId="WideTable">
    <w:name w:val="Wide Table"/>
    <w:basedOn w:val="Normal"/>
    <w:rsid w:val="00AF2B0E"/>
    <w:pPr>
      <w:ind w:left="-1418"/>
    </w:pPr>
    <w:rPr>
      <w:sz w:val="2"/>
      <w:szCs w:val="2"/>
    </w:rPr>
  </w:style>
  <w:style w:type="character" w:styleId="PageNumber">
    <w:name w:val="page number"/>
    <w:basedOn w:val="DefaultParagraphFont"/>
    <w:rsid w:val="00AF2B0E"/>
  </w:style>
  <w:style w:type="paragraph" w:styleId="Quote">
    <w:name w:val="Quote"/>
    <w:basedOn w:val="Heading1"/>
    <w:link w:val="QuoteChar"/>
    <w:qFormat/>
    <w:rsid w:val="00AF2B0E"/>
    <w:rPr>
      <w:b w:val="0"/>
      <w:sz w:val="72"/>
      <w:szCs w:val="72"/>
      <w:lang w:val="en-NZ"/>
    </w:rPr>
  </w:style>
  <w:style w:type="character" w:customStyle="1" w:styleId="QuoteChar">
    <w:name w:val="Quote Char"/>
    <w:basedOn w:val="DefaultParagraphFont"/>
    <w:link w:val="Quote"/>
    <w:rsid w:val="00AF2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B0E"/>
    <w:pPr>
      <w:pageBreakBefore/>
    </w:pPr>
  </w:style>
  <w:style w:type="paragraph" w:customStyle="1" w:styleId="Border">
    <w:name w:val="Border"/>
    <w:basedOn w:val="Normal"/>
    <w:qFormat/>
    <w:rsid w:val="00AF2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B0E"/>
    <w:rPr>
      <w:b/>
      <w:bCs/>
      <w:i/>
      <w:iCs/>
      <w:color w:val="auto"/>
    </w:rPr>
  </w:style>
  <w:style w:type="paragraph" w:styleId="IntenseQuote">
    <w:name w:val="Intense Quote"/>
    <w:basedOn w:val="Normal"/>
    <w:next w:val="Normal"/>
    <w:link w:val="IntenseQuoteChar"/>
    <w:uiPriority w:val="30"/>
    <w:qFormat/>
    <w:rsid w:val="00AF2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B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B0E"/>
    <w:rPr>
      <w:smallCaps/>
      <w:color w:val="auto"/>
      <w:u w:val="single"/>
    </w:rPr>
  </w:style>
  <w:style w:type="character" w:styleId="IntenseReference">
    <w:name w:val="Intense Reference"/>
    <w:basedOn w:val="DefaultParagraphFont"/>
    <w:uiPriority w:val="32"/>
    <w:qFormat/>
    <w:rsid w:val="00AF2B0E"/>
    <w:rPr>
      <w:b/>
      <w:bCs/>
      <w:smallCaps/>
      <w:color w:val="auto"/>
      <w:spacing w:val="5"/>
      <w:u w:val="single"/>
    </w:rPr>
  </w:style>
  <w:style w:type="paragraph" w:customStyle="1" w:styleId="2ColumnHeading">
    <w:name w:val="2Column Heading"/>
    <w:basedOn w:val="BodyText"/>
    <w:qFormat/>
    <w:rsid w:val="00AF2B0E"/>
    <w:pPr>
      <w:spacing w:after="60"/>
      <w:ind w:left="-2268"/>
    </w:pPr>
    <w:rPr>
      <w:b/>
    </w:rPr>
  </w:style>
  <w:style w:type="paragraph" w:customStyle="1" w:styleId="Heading1TOC">
    <w:name w:val="Heading1 TOC"/>
    <w:basedOn w:val="Normal"/>
    <w:qFormat/>
    <w:rsid w:val="00AF2B0E"/>
    <w:pPr>
      <w:spacing w:before="240" w:after="120"/>
    </w:pPr>
    <w:rPr>
      <w:rFonts w:ascii="Times New Roman" w:hAnsi="Times New Roman"/>
      <w:b/>
      <w:sz w:val="32"/>
    </w:rPr>
  </w:style>
  <w:style w:type="paragraph" w:customStyle="1" w:styleId="Heading2TOC">
    <w:name w:val="Heading2 TOC"/>
    <w:basedOn w:val="Normal"/>
    <w:qFormat/>
    <w:rsid w:val="00AF2B0E"/>
    <w:pPr>
      <w:spacing w:before="240" w:after="60"/>
    </w:pPr>
    <w:rPr>
      <w:rFonts w:ascii="Times New Roman" w:hAnsi="Times New Roman"/>
      <w:b/>
      <w:sz w:val="28"/>
    </w:rPr>
  </w:style>
  <w:style w:type="character" w:customStyle="1" w:styleId="Underline">
    <w:name w:val="Underline"/>
    <w:basedOn w:val="DefaultParagraphFont"/>
    <w:qFormat/>
    <w:rsid w:val="00AF2B0E"/>
    <w:rPr>
      <w:u w:val="single"/>
    </w:rPr>
  </w:style>
  <w:style w:type="character" w:customStyle="1" w:styleId="BoldandItalics">
    <w:name w:val="Bold and Italics"/>
    <w:qFormat/>
    <w:rsid w:val="00AF2B0E"/>
    <w:rPr>
      <w:b/>
      <w:i/>
      <w:u w:val="none"/>
    </w:rPr>
  </w:style>
  <w:style w:type="paragraph" w:styleId="BalloonText">
    <w:name w:val="Balloon Text"/>
    <w:basedOn w:val="Normal"/>
    <w:link w:val="BalloonTextChar"/>
    <w:rsid w:val="00AF2B0E"/>
    <w:rPr>
      <w:rFonts w:ascii="Tahoma" w:hAnsi="Tahoma" w:cs="Tahoma"/>
      <w:sz w:val="16"/>
      <w:szCs w:val="16"/>
    </w:rPr>
  </w:style>
  <w:style w:type="character" w:customStyle="1" w:styleId="BalloonTextChar">
    <w:name w:val="Balloon Text Char"/>
    <w:basedOn w:val="DefaultParagraphFont"/>
    <w:link w:val="BalloonText"/>
    <w:rsid w:val="00AF2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B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1345</Words>
  <Characters>8668</Characters>
  <Application>Microsoft Office Word</Application>
  <DocSecurity>0</DocSecurity>
  <Lines>371</Lines>
  <Paragraphs>192</Paragraphs>
  <ScaleCrop>false</ScaleCrop>
  <Company>Author-it Software Corporation Ltd.</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SITXEVT010A Evaluate and address event regulatory requirements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2012-05-26T10:32:00Z</dcterms:modified>
</cp:coreProperties>
</file>