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675" w:rsidP="00553675">
      <w:pPr>
        <w:pStyle w:val="Title"/>
      </w:pPr>
      <w:r>
        <w:fldChar w:fldCharType="begin"/>
      </w:r>
      <w:r>
        <w:instrText xml:space="preserve"> TITLE   \* MERGEFORMAT </w:instrText>
      </w:r>
      <w:r>
        <w:fldChar w:fldCharType="separate"/>
      </w:r>
      <w:r>
        <w:t>SITXEVT009A Develop event concepts</w:t>
      </w:r>
      <w:r>
        <w:fldChar w:fldCharType="end"/>
      </w:r>
    </w:p>
    <w:p w:rsidR="00553675" w:rsidP="00553675">
      <w:pPr>
        <w:pStyle w:val="Version"/>
        <w:sectPr w:rsidSect="003E2D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2D10" w:rsidP="003E2D10">
      <w:pPr>
        <w:pStyle w:val="SuperHeading"/>
      </w:pPr>
      <w:r w:rsidRPr="003E2D10">
        <w:t>SITXEVT009A Develop event concepts</w:t>
      </w:r>
    </w:p>
    <w:p w:rsidR="00000000" w:rsidRPr="003E2D10" w:rsidP="003E2D10">
      <w:pPr>
        <w:pStyle w:val="SuperHeading"/>
      </w:pPr>
    </w:p>
    <w:p w:rsidR="00000000" w:rsidRPr="003E2D10" w:rsidP="003E2D10">
      <w:pPr>
        <w:pStyle w:val="Heading1"/>
      </w:pPr>
      <w:bookmarkStart w:id="1" w:name="O_148323"/>
      <w:bookmarkEnd w:id="1"/>
      <w:r w:rsidRPr="003E2D10">
        <w:t>Modification History</w:t>
      </w:r>
    </w:p>
    <w:p w:rsidR="00000000" w:rsidRPr="003E2D10" w:rsidP="003E2D10">
      <w:pPr>
        <w:pStyle w:val="BodyText"/>
      </w:pPr>
      <w:r w:rsidRPr="003E2D10">
        <w:t>Not applicable.</w:t>
      </w:r>
    </w:p>
    <w:p w:rsidR="00000000" w:rsidRPr="003E2D10" w:rsidP="003E2D10">
      <w:pPr>
        <w:pStyle w:val="AllowPageBreak"/>
      </w:pPr>
    </w:p>
    <w:p w:rsidR="00000000" w:rsidRPr="003E2D10" w:rsidP="003E2D10">
      <w:pPr>
        <w:pStyle w:val="Heading1"/>
      </w:pPr>
      <w:bookmarkStart w:id="2" w:name="O_148324"/>
      <w:bookmarkEnd w:id="2"/>
      <w:r w:rsidRPr="003E2D10">
        <w:t>Unit Descriptor</w:t>
      </w:r>
    </w:p>
    <w:tbl>
      <w:tblPr>
        <w:tblW w:w="0" w:type="auto"/>
        <w:tblLayout w:type="fixed"/>
        <w:tblCellMar>
          <w:left w:w="62" w:type="dxa"/>
          <w:right w:w="62" w:type="dxa"/>
        </w:tblCellMar>
        <w:tblLook w:val="0000"/>
      </w:tblPr>
      <w:tblGrid>
        <w:gridCol w:w="2836"/>
        <w:gridCol w:w="6344"/>
      </w:tblGrid>
      <w:tr w:rsidTr="005536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 xml:space="preserve">This unit describes the performance outcomes, skills and knowledge required to develop the overall concept, theme </w:t>
            </w:r>
            <w:r w:rsidRPr="003E2D10">
              <w:t>and format for a complex event comprising multiple components. Event bids and proposals are covered in unit SITXEVT008A Plan and develop event proposals and bids. The unit also shares some similarities with SITXEVT014A Develop conference programs, but is b</w:t>
            </w:r>
            <w:r w:rsidRPr="003E2D10">
              <w:t xml:space="preserve">roader in application. </w:t>
            </w:r>
          </w:p>
          <w:p w:rsidR="00000000" w:rsidP="003E2D10">
            <w:pPr>
              <w:pStyle w:val="BodyText"/>
              <w:rPr>
                <w:lang w:val="en-NZ"/>
              </w:rPr>
            </w:pPr>
            <w:r w:rsidRPr="003E2D10">
              <w:t>No licensing, legislative, regulatory or certification requirements apply to this unit at the time of endorsement.</w:t>
            </w:r>
          </w:p>
        </w:tc>
      </w:tr>
      <w:tr w:rsidTr="005536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2D10" w:rsidP="003E2D10">
            <w:pPr>
              <w:pStyle w:val="BodyText"/>
            </w:pPr>
          </w:p>
        </w:tc>
      </w:tr>
    </w:tbl>
    <w:p w:rsidR="00000000" w:rsidRPr="003E2D10" w:rsidP="003E2D10">
      <w:pPr>
        <w:pStyle w:val="BodyText"/>
      </w:pPr>
    </w:p>
    <w:p w:rsidR="00000000" w:rsidRPr="003E2D10" w:rsidP="003E2D10">
      <w:pPr>
        <w:pStyle w:val="AllowPageBreak"/>
      </w:pPr>
    </w:p>
    <w:p w:rsidR="00000000" w:rsidRPr="003E2D10" w:rsidP="003E2D10">
      <w:pPr>
        <w:pStyle w:val="Heading1"/>
      </w:pPr>
      <w:bookmarkStart w:id="3" w:name="O_148325"/>
      <w:bookmarkEnd w:id="3"/>
      <w:r w:rsidRPr="003E2D10">
        <w:t>Application of the Unit</w:t>
      </w:r>
    </w:p>
    <w:tbl>
      <w:tblPr>
        <w:tblW w:w="0" w:type="auto"/>
        <w:tblLayout w:type="fixed"/>
        <w:tblCellMar>
          <w:left w:w="62" w:type="dxa"/>
          <w:right w:w="62" w:type="dxa"/>
        </w:tblCellMar>
        <w:tblLook w:val="0000"/>
      </w:tblPr>
      <w:tblGrid>
        <w:gridCol w:w="2836"/>
        <w:gridCol w:w="6344"/>
      </w:tblGrid>
      <w:tr w:rsidTr="005536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This unit applies to the overall concept development process for any type of event. It may be relevant in any industry context, but has particular application in the cultural, community, hospitality, sporting and tourism sectors.</w:t>
            </w:r>
          </w:p>
          <w:p w:rsidR="00000000" w:rsidRPr="003E2D10" w:rsidP="003E2D10">
            <w:pPr>
              <w:pStyle w:val="BodyText"/>
            </w:pPr>
            <w:r w:rsidRPr="003E2D10">
              <w:t>A complex event comprising</w:t>
            </w:r>
            <w:r w:rsidRPr="003E2D10">
              <w:t xml:space="preserve"> multiple components must involve:</w:t>
            </w:r>
          </w:p>
          <w:p w:rsidR="00000000" w:rsidRPr="003E2D10" w:rsidP="003E2D10">
            <w:pPr>
              <w:pStyle w:val="ListBullet"/>
            </w:pPr>
            <w:r w:rsidRPr="003E2D10">
              <w:t xml:space="preserve">need for a comprehensive and multifaceted event plan </w:t>
            </w:r>
          </w:p>
          <w:p w:rsidR="00000000" w:rsidRPr="003E2D10" w:rsidP="003E2D10">
            <w:pPr>
              <w:pStyle w:val="ListBullet"/>
            </w:pPr>
            <w:r w:rsidRPr="003E2D10">
              <w:t xml:space="preserve">need for a formal internal or external communications strategy </w:t>
            </w:r>
          </w:p>
          <w:p w:rsidR="00000000" w:rsidRPr="003E2D10" w:rsidP="003E2D10">
            <w:pPr>
              <w:pStyle w:val="ListBullet"/>
            </w:pPr>
            <w:r w:rsidRPr="003E2D10">
              <w:t>dedicated and diverse event budget</w:t>
            </w:r>
          </w:p>
          <w:p w:rsidR="00000000" w:rsidRPr="003E2D10" w:rsidP="003E2D10">
            <w:pPr>
              <w:pStyle w:val="ListBullet"/>
            </w:pPr>
            <w:r w:rsidRPr="003E2D10">
              <w:t xml:space="preserve">multiple administrative and operational components </w:t>
            </w:r>
          </w:p>
          <w:p w:rsidR="00000000" w:rsidRPr="003E2D10" w:rsidP="003E2D10">
            <w:pPr>
              <w:pStyle w:val="ListBullet"/>
            </w:pPr>
            <w:r w:rsidRPr="003E2D10">
              <w:t xml:space="preserve">a wide range of stakeholders </w:t>
            </w:r>
          </w:p>
          <w:p w:rsidR="00000000" w:rsidRPr="003E2D10" w:rsidP="003E2D10">
            <w:pPr>
              <w:pStyle w:val="ListBullet"/>
            </w:pPr>
            <w:r w:rsidRPr="003E2D10">
              <w:t>an event operations team.</w:t>
            </w:r>
          </w:p>
          <w:p w:rsidR="00000000" w:rsidRPr="003E2D10" w:rsidP="003E2D10">
            <w:pPr>
              <w:pStyle w:val="BodyText"/>
            </w:pPr>
            <w:r w:rsidRPr="003E2D10">
              <w:t>Concept development occurs at the commencement of the event management cycle and involves the application of significant analytical, creative and conceptual skills teamed with sound operational manage</w:t>
            </w:r>
            <w:r w:rsidRPr="003E2D10">
              <w:t>ment expertise. Sometimes the concept development phase is undertaken as part of the event bidding process. An event manager or other individual often in the event sponsoring organisation undertakes this role in consultation with a range of event stakehold</w:t>
            </w:r>
            <w:r w:rsidRPr="003E2D10">
              <w:t>ers and sometimes under the guidance of an event organising committee.</w:t>
            </w:r>
          </w:p>
          <w:p w:rsidR="00000000" w:rsidRPr="003E2D10" w:rsidP="003E2D10">
            <w:pPr>
              <w:pStyle w:val="BodyText"/>
            </w:pPr>
            <w:r w:rsidRPr="003E2D10">
              <w:t>The unit does not include the specialist concept development undertaken by experts such as writers, technical specialists or lighting, sound, exhibition, set or costume designers. Consu</w:t>
            </w:r>
            <w:r w:rsidRPr="003E2D10">
              <w:t>ltation with relevant experts, however, may be a key aspect of overall event concept development.</w:t>
            </w:r>
          </w:p>
        </w:tc>
      </w:tr>
    </w:tbl>
    <w:p w:rsidR="00000000" w:rsidRPr="003E2D10" w:rsidP="003E2D10">
      <w:pPr>
        <w:pStyle w:val="BodyText"/>
      </w:pPr>
    </w:p>
    <w:p w:rsidR="00000000" w:rsidRPr="003E2D10" w:rsidP="003E2D10">
      <w:pPr>
        <w:pStyle w:val="AllowPageBreak"/>
      </w:pPr>
    </w:p>
    <w:p w:rsidR="00000000" w:rsidRPr="003E2D10" w:rsidP="003E2D10">
      <w:pPr>
        <w:pStyle w:val="Heading1"/>
      </w:pPr>
      <w:bookmarkStart w:id="4" w:name="O_148326"/>
      <w:bookmarkEnd w:id="4"/>
      <w:r w:rsidRPr="003E2D10">
        <w:t>Licensing/Regulatory Information</w:t>
      </w:r>
    </w:p>
    <w:p w:rsidR="00000000" w:rsidRPr="003E2D10" w:rsidP="003E2D10">
      <w:pPr>
        <w:pStyle w:val="BodyText"/>
      </w:pPr>
      <w:r w:rsidRPr="003E2D10">
        <w:t>Not applicable.</w:t>
      </w:r>
    </w:p>
    <w:p w:rsidR="00000000" w:rsidRPr="003E2D10" w:rsidP="003E2D10">
      <w:pPr>
        <w:pStyle w:val="AllowPageBreak"/>
      </w:pPr>
    </w:p>
    <w:p w:rsidR="00000000" w:rsidRPr="003E2D10" w:rsidP="003E2D10">
      <w:pPr>
        <w:pStyle w:val="Heading1"/>
      </w:pPr>
      <w:bookmarkStart w:id="5" w:name="O_148328"/>
      <w:bookmarkEnd w:id="5"/>
      <w:r w:rsidRPr="003E2D10">
        <w:t>Pre-Requisites</w:t>
      </w:r>
    </w:p>
    <w:tbl>
      <w:tblPr>
        <w:tblW w:w="0" w:type="auto"/>
        <w:tblLayout w:type="fixed"/>
        <w:tblCellMar>
          <w:left w:w="62" w:type="dxa"/>
          <w:right w:w="62" w:type="dxa"/>
        </w:tblCellMar>
        <w:tblLook w:val="0000"/>
      </w:tblPr>
      <w:tblGrid>
        <w:gridCol w:w="2836"/>
        <w:gridCol w:w="6344"/>
      </w:tblGrid>
      <w:tr w:rsidTr="005536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t>Nil</w:t>
            </w:r>
          </w:p>
        </w:tc>
      </w:tr>
      <w:tr w:rsidTr="005536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2D10" w:rsidP="003E2D10">
            <w:pPr>
              <w:pStyle w:val="BodyText"/>
            </w:pPr>
          </w:p>
        </w:tc>
      </w:tr>
    </w:tbl>
    <w:p w:rsidR="00000000" w:rsidRPr="003E2D10" w:rsidP="003E2D10">
      <w:pPr>
        <w:pStyle w:val="BodyText"/>
      </w:pPr>
    </w:p>
    <w:p w:rsidR="00000000" w:rsidRPr="003E2D10" w:rsidP="003E2D10">
      <w:pPr>
        <w:pStyle w:val="AllowPageBreak"/>
      </w:pPr>
    </w:p>
    <w:p w:rsidR="00000000" w:rsidRPr="003E2D10" w:rsidP="003E2D10">
      <w:pPr>
        <w:pStyle w:val="Heading1"/>
      </w:pPr>
      <w:bookmarkStart w:id="6" w:name="O_148327"/>
      <w:bookmarkEnd w:id="6"/>
      <w:r w:rsidRPr="003E2D10">
        <w:t>Employability Skills Information</w:t>
      </w:r>
    </w:p>
    <w:tbl>
      <w:tblPr>
        <w:tblW w:w="0" w:type="auto"/>
        <w:tblLayout w:type="fixed"/>
        <w:tblCellMar>
          <w:left w:w="62" w:type="dxa"/>
          <w:right w:w="62" w:type="dxa"/>
        </w:tblCellMar>
        <w:tblLook w:val="0000"/>
      </w:tblPr>
      <w:tblGrid>
        <w:gridCol w:w="2836"/>
        <w:gridCol w:w="6344"/>
      </w:tblGrid>
      <w:tr w:rsidTr="005536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t>The required outcomes described in this unit of competency contain applicable facets of employability skills. The Employability Skills Summary of the qualification in which this unit is packaged will as</w:t>
            </w:r>
            <w:r w:rsidRPr="003E2D10">
              <w:t>sist in identifying employability skills requirements.</w:t>
            </w:r>
          </w:p>
        </w:tc>
      </w:tr>
      <w:tr w:rsidTr="005536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2D10" w:rsidP="003E2D10">
            <w:pPr>
              <w:pStyle w:val="BodyText"/>
            </w:pPr>
          </w:p>
        </w:tc>
      </w:tr>
    </w:tbl>
    <w:p w:rsidR="00000000" w:rsidRPr="003E2D10" w:rsidP="003E2D10">
      <w:pPr>
        <w:pStyle w:val="BodyText"/>
      </w:pPr>
    </w:p>
    <w:p w:rsidR="00000000" w:rsidRPr="003E2D10" w:rsidP="003E2D10">
      <w:pPr>
        <w:pStyle w:val="AllowPageBreak"/>
      </w:pPr>
    </w:p>
    <w:p w:rsidR="00000000" w:rsidRPr="003E2D10" w:rsidP="003E2D10">
      <w:pPr>
        <w:pStyle w:val="Heading1"/>
      </w:pPr>
      <w:bookmarkStart w:id="7" w:name="O_148329"/>
      <w:bookmarkEnd w:id="7"/>
      <w:r w:rsidRPr="003E2D10">
        <w:t>Elements and Performance Criteria Pre-Content</w:t>
      </w:r>
    </w:p>
    <w:tbl>
      <w:tblPr>
        <w:tblW w:w="0" w:type="auto"/>
        <w:tblLayout w:type="fixed"/>
        <w:tblCellMar>
          <w:left w:w="62" w:type="dxa"/>
          <w:right w:w="62" w:type="dxa"/>
        </w:tblCellMar>
        <w:tblLook w:val="0000"/>
      </w:tblPr>
      <w:tblGrid>
        <w:gridCol w:w="2836"/>
        <w:gridCol w:w="6344"/>
      </w:tblGrid>
      <w:tr w:rsidTr="005536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 xml:space="preserve">Performance criteria describe the required performance needed to demonstrate achievement of the element. Where </w:t>
            </w:r>
            <w:r w:rsidRPr="003E2D10">
              <w:rPr>
                <w:rStyle w:val="BoldandItalics"/>
              </w:rPr>
              <w:t>bold italicised</w:t>
            </w:r>
            <w:r w:rsidRPr="003E2D10">
              <w:t xml:space="preserve"> text is used, further information is detailed in the required skills and knowledge and/or the range statement. Assessment of perf</w:t>
            </w:r>
            <w:r w:rsidRPr="003E2D10">
              <w:t>ormance is to be consistent with the evidence guide.</w:t>
            </w:r>
          </w:p>
        </w:tc>
      </w:tr>
    </w:tbl>
    <w:p w:rsidR="00000000" w:rsidRPr="003E2D10" w:rsidP="003E2D10">
      <w:pPr>
        <w:pStyle w:val="BodyText"/>
      </w:pPr>
    </w:p>
    <w:p w:rsidR="00000000" w:rsidRPr="003E2D10" w:rsidP="003E2D10">
      <w:pPr>
        <w:pStyle w:val="AllowPageBreak"/>
      </w:pPr>
    </w:p>
    <w:p w:rsidR="00000000" w:rsidRPr="003E2D10" w:rsidP="003E2D10">
      <w:pPr>
        <w:pStyle w:val="Heading1"/>
      </w:pPr>
      <w:bookmarkStart w:id="8" w:name="O_148330"/>
      <w:bookmarkEnd w:id="8"/>
      <w:r w:rsidRPr="003E2D1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5367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E2D10" w:rsidP="003E2D10">
            <w:pPr>
              <w:pStyle w:val="List"/>
            </w:pPr>
            <w:r w:rsidRPr="003E2D1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rPr>
                <w:rStyle w:val="SpecialBold"/>
              </w:rPr>
              <w:t>PERFORMANCE CRITERIA</w:t>
            </w:r>
          </w:p>
        </w:tc>
      </w:tr>
      <w:tr w:rsidTr="005536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1</w:t>
            </w:r>
          </w:p>
        </w:tc>
        <w:tc>
          <w:tcPr>
            <w:tcW w:w="2410" w:type="dxa"/>
            <w:vMerge w:val="restart"/>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Establish overall event objectives and scope.</w:t>
            </w: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1.1</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 xml:space="preserve">Clarify and agree on key </w:t>
            </w:r>
            <w:r w:rsidRPr="003E2D10">
              <w:rPr>
                <w:rStyle w:val="BoldandItalics"/>
              </w:rPr>
              <w:t>event objectives</w:t>
            </w:r>
            <w:r w:rsidRPr="003E2D10">
              <w:t xml:space="preserve"> in consultation </w:t>
            </w:r>
            <w:r w:rsidRPr="003E2D10">
              <w:t xml:space="preserve">with </w:t>
            </w:r>
            <w:r w:rsidRPr="003E2D10">
              <w:rPr>
                <w:rStyle w:val="BoldandItalics"/>
              </w:rPr>
              <w:t>event stakeholders</w:t>
            </w:r>
            <w:r w:rsidRPr="003E2D10">
              <w:t>.</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1.2</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 xml:space="preserve">Analyse </w:t>
            </w:r>
            <w:r w:rsidRPr="003E2D10">
              <w:rPr>
                <w:rStyle w:val="BoldandItalics"/>
              </w:rPr>
              <w:t>initial event information</w:t>
            </w:r>
            <w:r w:rsidRPr="003E2D10">
              <w:t xml:space="preserve"> and consult with stakeholders to determine the broad scope of the event.</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1.3</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 xml:space="preserve">Identify and analyse </w:t>
            </w:r>
            <w:r w:rsidRPr="003E2D10">
              <w:rPr>
                <w:rStyle w:val="BoldandItalics"/>
              </w:rPr>
              <w:t>internal and external factors</w:t>
            </w:r>
            <w:r w:rsidRPr="003E2D10">
              <w:t xml:space="preserve"> that may impact on the event.</w:t>
            </w:r>
          </w:p>
        </w:tc>
      </w:tr>
      <w:tr w:rsidTr="005536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2</w:t>
            </w:r>
          </w:p>
        </w:tc>
        <w:tc>
          <w:tcPr>
            <w:tcW w:w="2410" w:type="dxa"/>
            <w:vMerge w:val="restart"/>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Establish event concept theme and format.</w:t>
            </w: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2.1</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Identify and access sources of information and ideas to inform event concept development.</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2.2</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Research and critically evaluate ideas and information for possible application to current and future work.</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2.3</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Generate discussion and consultation with event stakeholders and other colleagues to progress development of the event concept.</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2.4</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 xml:space="preserve">Explore, test and reflect on </w:t>
            </w:r>
            <w:r w:rsidRPr="003E2D10">
              <w:rPr>
                <w:rStyle w:val="BoldandItalics"/>
              </w:rPr>
              <w:t xml:space="preserve">different and innovative </w:t>
            </w:r>
            <w:r w:rsidRPr="003E2D10">
              <w:rPr>
                <w:rStyle w:val="BoldandItalics"/>
              </w:rPr>
              <w:t>approaches</w:t>
            </w:r>
            <w:r w:rsidRPr="003E2D10">
              <w:t xml:space="preserve"> as part of the concept development process.</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2.5</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D</w:t>
            </w:r>
            <w:r w:rsidRPr="003E2D10">
              <w:t>evelop overall event concept, theme and format that reflect key objectives and meet potential audience needs.</w:t>
            </w:r>
          </w:p>
        </w:tc>
      </w:tr>
      <w:tr w:rsidTr="0055367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3</w:t>
            </w:r>
          </w:p>
        </w:tc>
        <w:tc>
          <w:tcPr>
            <w:tcW w:w="2410" w:type="dxa"/>
            <w:vMerge w:val="restart"/>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Evaluate and progress concept to operational stage.</w:t>
            </w: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3.1</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 xml:space="preserve">Verify the </w:t>
            </w:r>
            <w:r w:rsidRPr="003E2D10">
              <w:rPr>
                <w:rStyle w:val="BoldandItalics"/>
              </w:rPr>
              <w:t>operational practicality and cohesiveness</w:t>
            </w:r>
            <w:r w:rsidRPr="003E2D10">
              <w:t xml:space="preserve"> of </w:t>
            </w:r>
            <w:r w:rsidRPr="003E2D10">
              <w:t>the concept, theme and format through consultation and analysis.</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3.2</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 xml:space="preserve">Select and implement a strategy for effective communication about the concept with </w:t>
            </w:r>
            <w:r w:rsidRPr="003E2D10">
              <w:rPr>
                <w:rStyle w:val="BoldandItalics"/>
              </w:rPr>
              <w:t>event stakeholders</w:t>
            </w:r>
            <w:r w:rsidRPr="003E2D10">
              <w:t>.</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3.3</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 xml:space="preserve">Develop a summary of </w:t>
            </w:r>
            <w:r w:rsidRPr="003E2D10">
              <w:rPr>
                <w:rStyle w:val="BoldandItalics"/>
              </w:rPr>
              <w:t>key logistical requirements</w:t>
            </w:r>
            <w:r w:rsidRPr="003E2D10">
              <w:t xml:space="preserve"> based </w:t>
            </w:r>
            <w:r w:rsidRPr="003E2D10">
              <w:t>on the overall concept, theme and format.</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3.4</w:t>
            </w:r>
          </w:p>
        </w:tc>
        <w:tc>
          <w:tcPr>
            <w:tcW w:w="577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Facilitate effective planning and implementation through timely provision of accurate and complete information on the concept, theme and format to all relevant stakeholders.</w:t>
            </w:r>
          </w:p>
        </w:tc>
      </w:tr>
      <w:tr w:rsidTr="0055367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E2D10">
            <w:pPr>
              <w:pStyle w:val="List"/>
              <w:rPr>
                <w:lang w:val="en-NZ"/>
              </w:rPr>
            </w:pPr>
            <w:r w:rsidRPr="003E2D10">
              <w:t>3.5</w:t>
            </w:r>
          </w:p>
        </w:tc>
        <w:tc>
          <w:tcPr>
            <w:tcW w:w="5777" w:type="dxa"/>
            <w:tcBorders>
              <w:top w:val="nil"/>
              <w:left w:val="nil"/>
              <w:bottom w:val="nil"/>
              <w:right w:val="nil"/>
            </w:tcBorders>
            <w:tcMar>
              <w:top w:w="0" w:type="dxa"/>
              <w:left w:w="62" w:type="dxa"/>
              <w:bottom w:w="0" w:type="dxa"/>
              <w:right w:w="62" w:type="dxa"/>
            </w:tcMar>
          </w:tcPr>
          <w:p w:rsidR="00000000" w:rsidRPr="003E2D10" w:rsidP="003E2D10">
            <w:pPr>
              <w:pStyle w:val="List"/>
            </w:pPr>
            <w:r w:rsidRPr="003E2D10">
              <w:t xml:space="preserve">Obtain relevant approvals </w:t>
            </w:r>
            <w:r w:rsidRPr="003E2D10">
              <w:t>prior to implementation.</w:t>
            </w:r>
          </w:p>
        </w:tc>
      </w:tr>
    </w:tbl>
    <w:p w:rsidR="00000000" w:rsidRPr="003E2D10" w:rsidP="003E2D10">
      <w:pPr>
        <w:pStyle w:val="BodyText"/>
      </w:pPr>
    </w:p>
    <w:p w:rsidR="00000000" w:rsidRPr="003E2D10" w:rsidP="003E2D10">
      <w:pPr>
        <w:pStyle w:val="AllowPageBreak"/>
      </w:pPr>
    </w:p>
    <w:p w:rsidR="00000000" w:rsidRPr="003E2D10" w:rsidP="003E2D10">
      <w:pPr>
        <w:pStyle w:val="Heading1"/>
      </w:pPr>
      <w:bookmarkStart w:id="9" w:name="O_148331"/>
      <w:bookmarkEnd w:id="9"/>
      <w:r w:rsidRPr="003E2D10">
        <w:t>Required Skills and Knowledge</w:t>
      </w:r>
    </w:p>
    <w:tbl>
      <w:tblPr>
        <w:tblW w:w="0" w:type="auto"/>
        <w:tblLayout w:type="fixed"/>
        <w:tblCellMar>
          <w:left w:w="62" w:type="dxa"/>
          <w:right w:w="62" w:type="dxa"/>
        </w:tblCellMar>
        <w:tblLook w:val="0000"/>
      </w:tblPr>
      <w:tblGrid>
        <w:gridCol w:w="9180"/>
      </w:tblGrid>
      <w:tr w:rsidTr="0055367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REQUIRED SKILLS AND KNOWLEDGE</w:t>
            </w:r>
          </w:p>
        </w:tc>
      </w:tr>
      <w:tr w:rsidTr="005536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t>This section describes the essential skills and knowledge and their level, required for this unit.</w:t>
            </w:r>
          </w:p>
        </w:tc>
      </w:tr>
      <w:tr w:rsidTr="005536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The following skills must be assessed as part of this unit:</w:t>
            </w:r>
          </w:p>
          <w:p w:rsidR="00000000" w:rsidRPr="003E2D10" w:rsidP="003E2D10">
            <w:pPr>
              <w:pStyle w:val="ListBullet"/>
            </w:pPr>
            <w:r w:rsidRPr="003E2D10">
              <w:t>critical thinking skills to assess, select and synthesise broad ideas and concepts</w:t>
            </w:r>
          </w:p>
          <w:p w:rsidR="00000000" w:rsidRPr="003E2D10" w:rsidP="003E2D10">
            <w:pPr>
              <w:pStyle w:val="ListBullet"/>
            </w:pPr>
            <w:r w:rsidRPr="003E2D10">
              <w:t>planning and organisational skills to tie concepts to the need for operational practicality</w:t>
            </w:r>
          </w:p>
          <w:p w:rsidR="00000000" w:rsidRPr="003E2D10" w:rsidP="003E2D10">
            <w:pPr>
              <w:pStyle w:val="ListBullet"/>
            </w:pPr>
            <w:r w:rsidRPr="003E2D10">
              <w:t>communication skills</w:t>
            </w:r>
            <w:r w:rsidRPr="003E2D10">
              <w:t xml:space="preserve"> to consult and liaise with a wide range of stakeholders on potentially complex concepts and planning issues</w:t>
            </w:r>
          </w:p>
          <w:p w:rsidR="00000000" w:rsidRPr="003E2D10" w:rsidP="003E2D10">
            <w:pPr>
              <w:pStyle w:val="ListBullet"/>
            </w:pPr>
            <w:r w:rsidRPr="003E2D10">
              <w:t>literacy skills to interpret and develop information dealing with complex concepts</w:t>
            </w:r>
          </w:p>
          <w:p w:rsidR="00000000" w:rsidP="003E2D10">
            <w:pPr>
              <w:pStyle w:val="ListBullet"/>
              <w:rPr>
                <w:lang w:val="en-NZ"/>
              </w:rPr>
            </w:pPr>
            <w:r w:rsidRPr="003E2D10">
              <w:t>numeracy skills to estimate costs, work with budgets and understand the impact of budgetary limitations on concept development.</w:t>
            </w:r>
          </w:p>
        </w:tc>
      </w:tr>
      <w:tr w:rsidTr="005536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The following knowledge must be assessed as part of this unit:</w:t>
            </w:r>
          </w:p>
          <w:p w:rsidR="00000000" w:rsidRPr="003E2D10" w:rsidP="003E2D10">
            <w:pPr>
              <w:pStyle w:val="ListBullet"/>
            </w:pPr>
            <w:r w:rsidRPr="003E2D10">
              <w:t>processes to explore, generate and test ideas to develop a co</w:t>
            </w:r>
            <w:r w:rsidRPr="003E2D10">
              <w:t>ncept, format and theme</w:t>
            </w:r>
          </w:p>
          <w:p w:rsidR="00000000" w:rsidRPr="003E2D10" w:rsidP="003E2D10">
            <w:pPr>
              <w:pStyle w:val="ListBullet"/>
            </w:pPr>
            <w:r w:rsidRPr="003E2D10">
              <w:t>range of different creative, promotional, technical and operational options to consider when developing an event concept</w:t>
            </w:r>
          </w:p>
          <w:p w:rsidR="00000000" w:rsidRPr="003E2D10" w:rsidP="003E2D10">
            <w:pPr>
              <w:pStyle w:val="ListBullet"/>
            </w:pPr>
            <w:r w:rsidRPr="003E2D10">
              <w:t>key stakeholders for different types of event</w:t>
            </w:r>
          </w:p>
          <w:p w:rsidR="00000000" w:rsidRPr="003E2D10" w:rsidP="003E2D10">
            <w:pPr>
              <w:pStyle w:val="ListBullet"/>
            </w:pPr>
            <w:r w:rsidRPr="003E2D10">
              <w:t>internal and external factors to be considered when developing an</w:t>
            </w:r>
            <w:r w:rsidRPr="003E2D10">
              <w:t xml:space="preserve"> event concept</w:t>
            </w:r>
          </w:p>
          <w:p w:rsidR="00000000" w:rsidRPr="003E2D10" w:rsidP="003E2D10">
            <w:pPr>
              <w:pStyle w:val="ListBullet"/>
            </w:pPr>
            <w:r w:rsidRPr="003E2D10">
              <w:t>key operational issues and logistical requirements that impact on development of an event concept in the relevant industry context</w:t>
            </w:r>
          </w:p>
          <w:p w:rsidR="00000000" w:rsidRPr="003E2D10" w:rsidP="003E2D10">
            <w:pPr>
              <w:pStyle w:val="ListBullet"/>
            </w:pPr>
            <w:r w:rsidRPr="003E2D10">
              <w:t>risk management factors that impact on event concept development</w:t>
            </w:r>
          </w:p>
          <w:p w:rsidR="00000000" w:rsidRPr="003E2D10" w:rsidP="003E2D10">
            <w:pPr>
              <w:pStyle w:val="ListBullet"/>
            </w:pPr>
            <w:r w:rsidRPr="003E2D10">
              <w:t>legislative requirements that may impact on t</w:t>
            </w:r>
            <w:r w:rsidRPr="003E2D10">
              <w:t>he event concept, e.g. safety and licensing</w:t>
            </w:r>
          </w:p>
          <w:p w:rsidR="00000000" w:rsidRPr="003E2D10" w:rsidP="003E2D10">
            <w:pPr>
              <w:pStyle w:val="ListBullet"/>
            </w:pPr>
            <w:r w:rsidRPr="003E2D10">
              <w:t>common environmental site impacts and minimal impact practices that can be typically used.</w:t>
            </w:r>
          </w:p>
        </w:tc>
      </w:tr>
    </w:tbl>
    <w:p w:rsidR="00553675" w:rsidP="003E2D10">
      <w:pPr>
        <w:pStyle w:val="BodyText"/>
      </w:pPr>
    </w:p>
    <w:p w:rsidR="00553675" w:rsidP="003E2D10">
      <w:pPr>
        <w:pStyle w:val="BodyText"/>
      </w:pPr>
    </w:p>
    <w:p w:rsidR="00000000" w:rsidRPr="003E2D10" w:rsidP="003E2D10">
      <w:pPr>
        <w:pStyle w:val="Heading1"/>
      </w:pPr>
      <w:bookmarkStart w:id="10" w:name="O_148332"/>
      <w:bookmarkEnd w:id="10"/>
      <w:r w:rsidRPr="003E2D10">
        <w:t>Evidence Guide</w:t>
      </w:r>
    </w:p>
    <w:tbl>
      <w:tblPr>
        <w:tblW w:w="0" w:type="auto"/>
        <w:tblLayout w:type="fixed"/>
        <w:tblCellMar>
          <w:left w:w="62" w:type="dxa"/>
          <w:right w:w="62" w:type="dxa"/>
        </w:tblCellMar>
        <w:tblLook w:val="0000"/>
      </w:tblPr>
      <w:tblGrid>
        <w:gridCol w:w="3345"/>
        <w:gridCol w:w="5835"/>
      </w:tblGrid>
      <w:tr w:rsidTr="0055367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EVIDENCE GUIDE</w:t>
            </w:r>
          </w:p>
        </w:tc>
      </w:tr>
      <w:tr w:rsidTr="005536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t>The evidence guide provides advice on assessment and must b</w:t>
            </w:r>
            <w:r w:rsidRPr="003E2D10">
              <w:t>e read in conjunction with the performance criteria, required skills and knowledge, the range statement and the Assessment Guidelines for this Training Package.</w:t>
            </w:r>
          </w:p>
        </w:tc>
      </w:tr>
      <w:tr w:rsidTr="005536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Critical aspects for assessment and evidence required to demonstrate competency in this un</w:t>
            </w:r>
            <w:r w:rsidRPr="003E2D10">
              <w:rPr>
                <w:rStyle w:val="SpecialBold"/>
              </w:rPr>
              <w:t>it</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Evidence of the following is essential:</w:t>
            </w:r>
          </w:p>
          <w:p w:rsidR="00000000" w:rsidRPr="003E2D10" w:rsidP="003E2D10">
            <w:pPr>
              <w:pStyle w:val="ListBullet"/>
            </w:pPr>
            <w:r w:rsidRPr="003E2D10">
              <w:t>ability to develop an event concept and format that are operationally practical and result in the achievement of event objectives</w:t>
            </w:r>
          </w:p>
          <w:p w:rsidR="00000000" w:rsidRPr="003E2D10" w:rsidP="003E2D10">
            <w:pPr>
              <w:pStyle w:val="ListBullet"/>
            </w:pPr>
            <w:r w:rsidRPr="003E2D10">
              <w:t>knowledge of typical formats and specific components for different types of events</w:t>
            </w:r>
          </w:p>
          <w:p w:rsidR="00000000" w:rsidP="003E2D10">
            <w:pPr>
              <w:pStyle w:val="ListBullet"/>
              <w:rPr>
                <w:lang w:val="en-NZ"/>
              </w:rPr>
            </w:pPr>
            <w:r w:rsidRPr="003E2D10">
              <w:t>development of a concept, theme and format for a complex event to meet a specified need.</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Assessment must ensure:</w:t>
            </w:r>
          </w:p>
          <w:p w:rsidR="00000000" w:rsidRPr="003E2D10" w:rsidP="003E2D10">
            <w:pPr>
              <w:pStyle w:val="ListBullet"/>
            </w:pPr>
            <w:r w:rsidRPr="003E2D10">
              <w:t>access to and interaction with event industry suppliers</w:t>
            </w:r>
          </w:p>
          <w:p w:rsidR="00000000" w:rsidP="003E2D10">
            <w:pPr>
              <w:pStyle w:val="ListBullet"/>
              <w:rPr>
                <w:lang w:val="en-NZ"/>
              </w:rPr>
            </w:pPr>
            <w:r w:rsidRPr="003E2D10">
              <w:t>involvement of and interaction w</w:t>
            </w:r>
            <w:r w:rsidRPr="003E2D10">
              <w:t>ith an event principal or organising group.</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 xml:space="preserve">A range of assessment methods should be used to assess practical skills and knowledge. The following examples are appropriate for this unit: </w:t>
            </w:r>
          </w:p>
          <w:p w:rsidR="00000000" w:rsidRPr="003E2D10" w:rsidP="003E2D10">
            <w:pPr>
              <w:pStyle w:val="ListBullet"/>
            </w:pPr>
            <w:r w:rsidRPr="003E2D10">
              <w:t>case studies to develop concepts, themes and formats for different types of events</w:t>
            </w:r>
          </w:p>
          <w:p w:rsidR="00000000" w:rsidRPr="003E2D10" w:rsidP="003E2D10">
            <w:pPr>
              <w:pStyle w:val="ListBullet"/>
            </w:pPr>
            <w:r w:rsidRPr="003E2D10">
              <w:t>evaluation of a concept, theme and format through a candidate presentation or bid for an event</w:t>
            </w:r>
          </w:p>
          <w:p w:rsidR="00000000" w:rsidRPr="003E2D10" w:rsidP="003E2D10">
            <w:pPr>
              <w:pStyle w:val="ListBullet"/>
            </w:pPr>
            <w:r w:rsidRPr="003E2D10">
              <w:t>oral or written questions to assess knowledge of the range of key market facto</w:t>
            </w:r>
            <w:r w:rsidRPr="003E2D10">
              <w:t>rs and management issues to be considered in the concept development phase</w:t>
            </w:r>
          </w:p>
          <w:p w:rsidR="00000000" w:rsidRPr="003E2D10" w:rsidP="003E2D10">
            <w:pPr>
              <w:pStyle w:val="ListBullet"/>
            </w:pPr>
            <w:r w:rsidRPr="003E2D10">
              <w:t>review of portfolios of evidence and third-party workplace reports of on-the-job performance by the candidate.</w:t>
            </w:r>
          </w:p>
          <w:p w:rsidR="00000000" w:rsidP="003E2D10">
            <w:pPr>
              <w:pStyle w:val="BodyText"/>
              <w:rPr>
                <w:lang w:val="en-NZ"/>
              </w:rPr>
            </w:pPr>
            <w:r w:rsidRPr="003E2D10">
              <w:t xml:space="preserve">Holistic assessment with other units relevant to the industry sector, </w:t>
            </w:r>
            <w:r w:rsidRPr="003E2D10">
              <w:t>workplace and job role is recommended.</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Employability skills are integral to effective performance in the workplace and are broadly consistent across industry sectors. How these skills are applied varies between occupation</w:t>
            </w:r>
            <w:r w:rsidRPr="003E2D10">
              <w:t>s and qualifications due to the different work functions and contexts.</w:t>
            </w:r>
          </w:p>
          <w:p w:rsidR="00000000" w:rsidRPr="003E2D10" w:rsidP="003E2D10">
            <w:pPr>
              <w:pStyle w:val="BodyText"/>
            </w:pPr>
            <w:r w:rsidRPr="003E2D10">
              <w:t>Employability skills embedded in this unit should be assessed holistically with other relevant units that make up the skill set or qualification and in the context of the job role.</w:t>
            </w:r>
          </w:p>
        </w:tc>
      </w:tr>
    </w:tbl>
    <w:p w:rsidR="00553675" w:rsidP="003E2D10">
      <w:pPr>
        <w:pStyle w:val="BodyText"/>
      </w:pPr>
    </w:p>
    <w:p w:rsidR="00553675" w:rsidP="003E2D10">
      <w:pPr>
        <w:pStyle w:val="BodyText"/>
      </w:pPr>
    </w:p>
    <w:p w:rsidR="00000000" w:rsidRPr="003E2D10" w:rsidP="003E2D10">
      <w:pPr>
        <w:pStyle w:val="Heading1"/>
      </w:pPr>
      <w:bookmarkStart w:id="11" w:name="O_148333"/>
      <w:bookmarkEnd w:id="11"/>
      <w:r w:rsidRPr="003E2D10">
        <w:t>Range Statement</w:t>
      </w:r>
    </w:p>
    <w:tbl>
      <w:tblPr>
        <w:tblW w:w="0" w:type="auto"/>
        <w:tblLayout w:type="fixed"/>
        <w:tblCellMar>
          <w:left w:w="62" w:type="dxa"/>
          <w:right w:w="62" w:type="dxa"/>
        </w:tblCellMar>
        <w:tblLook w:val="0000"/>
      </w:tblPr>
      <w:tblGrid>
        <w:gridCol w:w="3345"/>
        <w:gridCol w:w="5835"/>
      </w:tblGrid>
      <w:tr w:rsidTr="0055367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RANGE STATEMENT</w:t>
            </w:r>
          </w:p>
        </w:tc>
      </w:tr>
      <w:tr w:rsidTr="005536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t xml:space="preserve">The range statement relates to the unit of competency as a whole. It allows for different work environments and situations that may affect </w:t>
            </w:r>
            <w:r w:rsidRPr="003E2D10">
              <w:t>performance. Bold italicised wording in the performance criteria is detailed below.</w:t>
            </w:r>
          </w:p>
        </w:tc>
      </w:tr>
      <w:tr w:rsidTr="0055367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BoldandItalics"/>
              </w:rPr>
              <w:t>Event objectives</w:t>
            </w:r>
            <w:r w:rsidRPr="003E2D10">
              <w:t xml:space="preserve"> may be:</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ListBullet"/>
            </w:pPr>
            <w:r w:rsidRPr="003E2D10">
              <w:t>creative</w:t>
            </w:r>
          </w:p>
          <w:p w:rsidR="00000000" w:rsidRPr="003E2D10" w:rsidP="003E2D10">
            <w:pPr>
              <w:pStyle w:val="ListBullet"/>
            </w:pPr>
            <w:r w:rsidRPr="003E2D10">
              <w:t>profile creation</w:t>
            </w:r>
          </w:p>
          <w:p w:rsidR="00000000" w:rsidRPr="003E2D10" w:rsidP="003E2D10">
            <w:pPr>
              <w:pStyle w:val="ListBullet"/>
            </w:pPr>
            <w:r w:rsidRPr="003E2D10">
              <w:t>community impact</w:t>
            </w:r>
          </w:p>
          <w:p w:rsidR="00000000" w:rsidP="003E2D10">
            <w:pPr>
              <w:pStyle w:val="ListBullet"/>
              <w:rPr>
                <w:lang w:val="en-NZ"/>
              </w:rPr>
            </w:pPr>
            <w:r w:rsidRPr="003E2D10">
              <w:t>participation or attendance.</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BoldandItalics"/>
              </w:rPr>
              <w:t>Event stakeholders</w:t>
            </w:r>
            <w:r w:rsidRPr="003E2D1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ListBullet"/>
            </w:pPr>
            <w:r w:rsidRPr="003E2D10">
              <w:t>event principal</w:t>
            </w:r>
          </w:p>
          <w:p w:rsidR="00000000" w:rsidRPr="003E2D10" w:rsidP="003E2D10">
            <w:pPr>
              <w:pStyle w:val="ListBullet"/>
            </w:pPr>
            <w:r w:rsidRPr="003E2D10">
              <w:t>local community</w:t>
            </w:r>
          </w:p>
          <w:p w:rsidR="00000000" w:rsidRPr="003E2D10" w:rsidP="003E2D10">
            <w:pPr>
              <w:pStyle w:val="ListBullet"/>
            </w:pPr>
            <w:r w:rsidRPr="003E2D10">
              <w:t>organising committees</w:t>
            </w:r>
          </w:p>
          <w:p w:rsidR="00000000" w:rsidRPr="003E2D10" w:rsidP="003E2D10">
            <w:pPr>
              <w:pStyle w:val="ListBullet"/>
            </w:pPr>
            <w:r w:rsidRPr="003E2D10">
              <w:t>local authorities</w:t>
            </w:r>
          </w:p>
          <w:p w:rsidR="00000000" w:rsidRPr="003E2D10" w:rsidP="003E2D10">
            <w:pPr>
              <w:pStyle w:val="ListBullet"/>
            </w:pPr>
            <w:r w:rsidRPr="003E2D10">
              <w:t>clients</w:t>
            </w:r>
          </w:p>
          <w:p w:rsidR="00000000" w:rsidRPr="003E2D10" w:rsidP="003E2D10">
            <w:pPr>
              <w:pStyle w:val="ListBullet"/>
            </w:pPr>
            <w:r w:rsidRPr="003E2D10">
              <w:t>colleagues</w:t>
            </w:r>
          </w:p>
          <w:p w:rsidR="00000000" w:rsidRPr="003E2D10" w:rsidP="003E2D10">
            <w:pPr>
              <w:pStyle w:val="ListBullet"/>
            </w:pPr>
            <w:r w:rsidRPr="003E2D10">
              <w:t>staging contractors</w:t>
            </w:r>
          </w:p>
          <w:p w:rsidR="00000000" w:rsidP="003E2D10">
            <w:pPr>
              <w:pStyle w:val="ListBullet"/>
              <w:rPr>
                <w:lang w:val="en-NZ"/>
              </w:rPr>
            </w:pPr>
            <w:r w:rsidRPr="003E2D10">
              <w:t>entertainers.</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BoldandItalics"/>
              </w:rPr>
              <w:t>Initial event information</w:t>
            </w:r>
            <w:r w:rsidRPr="003E2D1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ListBullet"/>
            </w:pPr>
            <w:r w:rsidRPr="003E2D10">
              <w:t>date, time and duration</w:t>
            </w:r>
          </w:p>
          <w:p w:rsidR="00000000" w:rsidRPr="003E2D10" w:rsidP="003E2D10">
            <w:pPr>
              <w:pStyle w:val="ListBullet"/>
            </w:pPr>
            <w:r w:rsidRPr="003E2D10">
              <w:t>size and scope</w:t>
            </w:r>
          </w:p>
          <w:p w:rsidR="00000000" w:rsidRPr="003E2D10" w:rsidP="003E2D10">
            <w:pPr>
              <w:pStyle w:val="ListBullet"/>
            </w:pPr>
            <w:r w:rsidRPr="003E2D10">
              <w:t>location</w:t>
            </w:r>
          </w:p>
          <w:p w:rsidR="00000000" w:rsidP="003E2D10">
            <w:pPr>
              <w:pStyle w:val="ListBullet"/>
              <w:rPr>
                <w:lang w:val="en-NZ"/>
              </w:rPr>
            </w:pPr>
            <w:r w:rsidRPr="003E2D10">
              <w:t>resourcing.</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BoldandItalics"/>
              </w:rPr>
              <w:t>Internal and external factors</w:t>
            </w:r>
            <w:r w:rsidRPr="003E2D10">
              <w:t xml:space="preserve"> to be assessed may include:</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ListBullet"/>
            </w:pPr>
            <w:r w:rsidRPr="003E2D10">
              <w:t>human, financial and physical resource availability, including:</w:t>
            </w:r>
          </w:p>
          <w:p w:rsidR="00000000" w:rsidRPr="003E2D10" w:rsidP="003E2D10">
            <w:pPr>
              <w:pStyle w:val="ListBullet2"/>
            </w:pPr>
            <w:r w:rsidRPr="003E2D10">
              <w:t>potential for attracting additional resources, such as sponsorship and co-hosting</w:t>
            </w:r>
          </w:p>
          <w:p w:rsidR="00000000" w:rsidRPr="003E2D10" w:rsidP="003E2D10">
            <w:pPr>
              <w:pStyle w:val="ListBullet2"/>
            </w:pPr>
            <w:r w:rsidRPr="003E2D10">
              <w:t>level of management commitment</w:t>
            </w:r>
          </w:p>
          <w:p w:rsidR="00000000" w:rsidRPr="003E2D10" w:rsidP="003E2D10">
            <w:pPr>
              <w:pStyle w:val="ListBullet2"/>
            </w:pPr>
            <w:r w:rsidRPr="003E2D10">
              <w:t>restrictions on lead time</w:t>
            </w:r>
          </w:p>
          <w:p w:rsidR="00000000" w:rsidRPr="003E2D10" w:rsidP="003E2D10">
            <w:pPr>
              <w:pStyle w:val="ListBullet"/>
            </w:pPr>
            <w:r w:rsidRPr="003E2D10">
              <w:t xml:space="preserve">potential levels of participation and interest </w:t>
            </w:r>
          </w:p>
          <w:p w:rsidR="00000000" w:rsidRPr="003E2D10" w:rsidP="003E2D10">
            <w:pPr>
              <w:pStyle w:val="ListBullet"/>
            </w:pPr>
            <w:r w:rsidRPr="003E2D10">
              <w:t>competitive environment</w:t>
            </w:r>
          </w:p>
          <w:p w:rsidR="00000000" w:rsidRPr="003E2D10" w:rsidP="003E2D10">
            <w:pPr>
              <w:pStyle w:val="ListBullet"/>
            </w:pPr>
            <w:r w:rsidRPr="003E2D10">
              <w:t>timing and duration factors, such as impact of public holidays and other public events</w:t>
            </w:r>
          </w:p>
          <w:p w:rsidR="00000000" w:rsidRPr="003E2D10" w:rsidP="003E2D10">
            <w:pPr>
              <w:pStyle w:val="ListBullet"/>
            </w:pPr>
            <w:r w:rsidRPr="003E2D10">
              <w:t>potential contributors</w:t>
            </w:r>
          </w:p>
          <w:p w:rsidR="00000000" w:rsidRPr="003E2D10" w:rsidP="003E2D10">
            <w:pPr>
              <w:pStyle w:val="ListBullet"/>
            </w:pPr>
            <w:r w:rsidRPr="003E2D10">
              <w:t>talent requirements</w:t>
            </w:r>
          </w:p>
          <w:p w:rsidR="00000000" w:rsidRPr="003E2D10" w:rsidP="003E2D10">
            <w:pPr>
              <w:pStyle w:val="ListBullet"/>
            </w:pPr>
            <w:r w:rsidRPr="003E2D10">
              <w:t xml:space="preserve">climate </w:t>
            </w:r>
          </w:p>
          <w:p w:rsidR="00000000" w:rsidRPr="003E2D10" w:rsidP="003E2D10">
            <w:pPr>
              <w:pStyle w:val="ListBullet"/>
            </w:pPr>
            <w:r w:rsidRPr="003E2D10">
              <w:t>access factors</w:t>
            </w:r>
          </w:p>
          <w:p w:rsidR="00000000" w:rsidRPr="003E2D10" w:rsidP="003E2D10">
            <w:pPr>
              <w:pStyle w:val="ListBullet"/>
            </w:pPr>
            <w:r w:rsidRPr="003E2D10">
              <w:t>marketing and promotional issu</w:t>
            </w:r>
            <w:r w:rsidRPr="003E2D10">
              <w:t>es, such as potential for media coverage</w:t>
            </w:r>
          </w:p>
          <w:p w:rsidR="00000000" w:rsidRPr="003E2D10" w:rsidP="003E2D10">
            <w:pPr>
              <w:pStyle w:val="ListBullet"/>
            </w:pPr>
            <w:r w:rsidRPr="003E2D10">
              <w:t>safety factors</w:t>
            </w:r>
          </w:p>
          <w:p w:rsidR="00000000" w:rsidP="003E2D10">
            <w:pPr>
              <w:pStyle w:val="ListBullet"/>
              <w:rPr>
                <w:lang w:val="en-NZ"/>
              </w:rPr>
            </w:pPr>
            <w:r w:rsidRPr="003E2D10">
              <w:t>risk management considerations.</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BoldandItalics"/>
              </w:rPr>
              <w:t>Different and innovative approaches</w:t>
            </w:r>
            <w:r w:rsidRPr="003E2D10">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ListBullet"/>
            </w:pPr>
            <w:r w:rsidRPr="003E2D10">
              <w:t xml:space="preserve">adapting existing ideas, products or services </w:t>
            </w:r>
          </w:p>
          <w:p w:rsidR="00000000" w:rsidRPr="003E2D10" w:rsidP="003E2D10">
            <w:pPr>
              <w:pStyle w:val="ListBullet"/>
            </w:pPr>
            <w:r w:rsidRPr="003E2D10">
              <w:t xml:space="preserve">developing new ideas, products or services </w:t>
            </w:r>
          </w:p>
          <w:p w:rsidR="00000000" w:rsidRPr="003E2D10" w:rsidP="003E2D10">
            <w:pPr>
              <w:pStyle w:val="ListBullet"/>
            </w:pPr>
            <w:r w:rsidRPr="003E2D10">
              <w:t>incorporating or experimenting with new technologies</w:t>
            </w:r>
          </w:p>
          <w:p w:rsidR="00000000" w:rsidP="003E2D10">
            <w:pPr>
              <w:pStyle w:val="ListBullet"/>
              <w:rPr>
                <w:lang w:val="en-NZ"/>
              </w:rPr>
            </w:pPr>
            <w:r w:rsidRPr="003E2D10">
              <w:t>challenging established ways of doing things.</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BoldandItalics"/>
              </w:rPr>
              <w:t>Operational practicality and cohesiveness</w:t>
            </w:r>
            <w:r w:rsidRPr="003E2D1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ListBullet"/>
            </w:pPr>
            <w:r w:rsidRPr="003E2D10">
              <w:t>scheduling</w:t>
            </w:r>
          </w:p>
          <w:p w:rsidR="00000000" w:rsidRPr="003E2D10" w:rsidP="003E2D10">
            <w:pPr>
              <w:pStyle w:val="ListBullet"/>
            </w:pPr>
            <w:r w:rsidRPr="003E2D10">
              <w:t>availability of human, financial and physical resources</w:t>
            </w:r>
          </w:p>
          <w:p w:rsidR="00000000" w:rsidRPr="003E2D10" w:rsidP="003E2D10">
            <w:pPr>
              <w:pStyle w:val="ListBullet"/>
            </w:pPr>
            <w:r w:rsidRPr="003E2D10">
              <w:t>ensuring realistic attendance expectation</w:t>
            </w:r>
          </w:p>
          <w:p w:rsidR="00000000" w:rsidRPr="003E2D10" w:rsidP="003E2D10">
            <w:pPr>
              <w:pStyle w:val="ListBullet"/>
            </w:pPr>
            <w:r w:rsidRPr="003E2D10">
              <w:t>venue or site constraints</w:t>
            </w:r>
          </w:p>
          <w:p w:rsidR="00000000" w:rsidRPr="003E2D10" w:rsidP="003E2D10">
            <w:pPr>
              <w:pStyle w:val="ListBullet"/>
            </w:pPr>
            <w:r w:rsidRPr="003E2D10">
              <w:t>time constraints</w:t>
            </w:r>
          </w:p>
          <w:p w:rsidR="00000000" w:rsidRPr="003E2D10" w:rsidP="003E2D10">
            <w:pPr>
              <w:pStyle w:val="ListBullet"/>
            </w:pPr>
            <w:r w:rsidRPr="003E2D10">
              <w:t>managing risk</w:t>
            </w:r>
          </w:p>
          <w:p w:rsidR="00000000" w:rsidP="003E2D10">
            <w:pPr>
              <w:pStyle w:val="ListBullet"/>
              <w:rPr>
                <w:lang w:val="en-NZ"/>
              </w:rPr>
            </w:pPr>
            <w:r w:rsidRPr="003E2D10">
              <w:t>managing negative environmental impacts by use of minimal impact practices.</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BoldandItalics"/>
              </w:rPr>
              <w:t>Key logistical requirements</w:t>
            </w:r>
            <w:r w:rsidRPr="003E2D10">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ListBullet"/>
            </w:pPr>
            <w:r w:rsidRPr="003E2D10">
              <w:t>venue and site set-up and design</w:t>
            </w:r>
          </w:p>
          <w:p w:rsidR="00000000" w:rsidRPr="003E2D10" w:rsidP="003E2D10">
            <w:pPr>
              <w:pStyle w:val="ListBullet"/>
            </w:pPr>
            <w:r w:rsidRPr="003E2D10">
              <w:t>catering</w:t>
            </w:r>
          </w:p>
          <w:p w:rsidR="00000000" w:rsidRPr="003E2D10" w:rsidP="003E2D10">
            <w:pPr>
              <w:pStyle w:val="ListBullet"/>
            </w:pPr>
            <w:r w:rsidRPr="003E2D10">
              <w:t>physical elements</w:t>
            </w:r>
          </w:p>
          <w:p w:rsidR="00000000" w:rsidRPr="003E2D10" w:rsidP="003E2D10">
            <w:pPr>
              <w:pStyle w:val="ListBullet"/>
            </w:pPr>
            <w:r w:rsidRPr="003E2D10">
              <w:t>technical effects, including sound, lighting and audiovisual</w:t>
            </w:r>
          </w:p>
          <w:p w:rsidR="00000000" w:rsidRPr="003E2D10" w:rsidP="003E2D10">
            <w:pPr>
              <w:pStyle w:val="ListBullet"/>
            </w:pPr>
            <w:r w:rsidRPr="003E2D10">
              <w:t>collateral materials</w:t>
            </w:r>
          </w:p>
          <w:p w:rsidR="00000000" w:rsidRPr="003E2D10" w:rsidP="003E2D10">
            <w:pPr>
              <w:pStyle w:val="ListBullet"/>
            </w:pPr>
            <w:r w:rsidRPr="003E2D10">
              <w:t>need for specialist contractors</w:t>
            </w:r>
          </w:p>
          <w:p w:rsidR="00000000" w:rsidP="003E2D10">
            <w:pPr>
              <w:pStyle w:val="ListBullet"/>
              <w:rPr>
                <w:lang w:val="en-NZ"/>
              </w:rPr>
            </w:pPr>
            <w:r w:rsidRPr="003E2D10">
              <w:t>minimal impact practices for the construction, maintenance and disposal of event staging components.</w:t>
            </w:r>
          </w:p>
        </w:tc>
      </w:tr>
      <w:tr w:rsidTr="0055367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E2D10" w:rsidP="003E2D10">
            <w:pPr>
              <w:pStyle w:val="BodyText"/>
            </w:pPr>
          </w:p>
        </w:tc>
      </w:tr>
    </w:tbl>
    <w:p w:rsidR="00553675" w:rsidP="003E2D10">
      <w:pPr>
        <w:pStyle w:val="BodyText"/>
      </w:pPr>
    </w:p>
    <w:p w:rsidR="00553675" w:rsidP="003E2D10">
      <w:pPr>
        <w:pStyle w:val="BodyText"/>
      </w:pPr>
    </w:p>
    <w:p w:rsidR="00000000" w:rsidRPr="003E2D10" w:rsidP="003E2D10">
      <w:pPr>
        <w:pStyle w:val="Heading1"/>
      </w:pPr>
      <w:bookmarkStart w:id="12" w:name="O_148334"/>
      <w:bookmarkEnd w:id="12"/>
      <w:r w:rsidRPr="003E2D10">
        <w:t>Unit Sector(s)</w:t>
      </w:r>
    </w:p>
    <w:tbl>
      <w:tblPr>
        <w:tblW w:w="0" w:type="auto"/>
        <w:tblLayout w:type="fixed"/>
        <w:tblCellMar>
          <w:left w:w="62" w:type="dxa"/>
          <w:right w:w="62" w:type="dxa"/>
        </w:tblCellMar>
        <w:tblLook w:val="0000"/>
      </w:tblPr>
      <w:tblGrid>
        <w:gridCol w:w="2836"/>
        <w:gridCol w:w="6344"/>
      </w:tblGrid>
      <w:tr w:rsidTr="005536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E2D10" w:rsidP="003E2D10">
            <w:pPr>
              <w:pStyle w:val="BodyText"/>
            </w:pPr>
            <w:r w:rsidRPr="003E2D10">
              <w:t>Cross-Sector</w:t>
            </w:r>
          </w:p>
        </w:tc>
      </w:tr>
    </w:tbl>
    <w:p w:rsidR="00000000" w:rsidRPr="003E2D10" w:rsidP="003E2D10">
      <w:pPr>
        <w:pStyle w:val="BodyText"/>
      </w:pPr>
    </w:p>
    <w:p w:rsidR="00000000" w:rsidRPr="003E2D10" w:rsidP="003E2D10">
      <w:pPr>
        <w:pStyle w:val="AllowPageBreak"/>
      </w:pPr>
    </w:p>
    <w:p w:rsidR="00000000" w:rsidRPr="003E2D10" w:rsidP="003E2D10">
      <w:pPr>
        <w:pStyle w:val="Heading1"/>
      </w:pPr>
      <w:bookmarkStart w:id="13" w:name="O_163459"/>
      <w:bookmarkEnd w:id="13"/>
      <w:r w:rsidRPr="003E2D10">
        <w:t>Competency field</w:t>
      </w:r>
    </w:p>
    <w:tbl>
      <w:tblPr>
        <w:tblW w:w="0" w:type="auto"/>
        <w:tblLayout w:type="fixed"/>
        <w:tblCellMar>
          <w:left w:w="62" w:type="dxa"/>
          <w:right w:w="62" w:type="dxa"/>
        </w:tblCellMar>
        <w:tblLook w:val="0000"/>
      </w:tblPr>
      <w:tblGrid>
        <w:gridCol w:w="2836"/>
        <w:gridCol w:w="6344"/>
      </w:tblGrid>
      <w:tr w:rsidTr="0055367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E2D10">
            <w:pPr>
              <w:pStyle w:val="BodyText"/>
              <w:rPr>
                <w:lang w:val="en-NZ"/>
              </w:rPr>
            </w:pPr>
            <w:r w:rsidRPr="003E2D10">
              <w:t>Event Management</w:t>
            </w:r>
          </w:p>
        </w:tc>
      </w:tr>
      <w:tr w:rsidTr="0055367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E2D10" w:rsidP="003E2D10">
            <w:pPr>
              <w:pStyle w:val="BodyText"/>
            </w:pPr>
          </w:p>
        </w:tc>
      </w:tr>
    </w:tbl>
    <w:p w:rsidR="00000000" w:rsidRPr="003E2D10" w:rsidP="003E2D10">
      <w:pPr>
        <w:pStyle w:val="BodyText"/>
      </w:pPr>
    </w:p>
    <w:p w:rsidR="00000000" w:rsidRPr="003E2D10" w:rsidP="003E2D10"/>
    <w:sectPr w:rsidSect="003E2D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675" w:rsidP="005536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75" w:rsidP="003E2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53675" w:rsidP="003E2D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53675" w:rsidP="003E2D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3675" w:rsidP="005536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75" w:rsidP="003E2D10">
    <w:pPr>
      <w:pStyle w:val="Header"/>
      <w:framePr w:wrap="around"/>
    </w:pPr>
    <w:r>
      <w:fldChar w:fldCharType="begin"/>
    </w:r>
    <w:r>
      <w:instrText xml:space="preserve"> TITLE   \* MERGEFORMAT </w:instrText>
    </w:r>
    <w:r>
      <w:fldChar w:fldCharType="separate"/>
    </w:r>
    <w:r>
      <w:t>SITXEVT009A Develop event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3675" w:rsidP="003E2D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68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85B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28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D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2D10"/>
    <w:pPr>
      <w:spacing w:before="360" w:after="60"/>
      <w:outlineLvl w:val="0"/>
    </w:pPr>
    <w:rPr>
      <w:sz w:val="32"/>
    </w:rPr>
  </w:style>
  <w:style w:type="paragraph" w:styleId="Heading2">
    <w:name w:val="heading 2"/>
    <w:basedOn w:val="HeadingBase"/>
    <w:next w:val="BodyText"/>
    <w:link w:val="Heading2Char"/>
    <w:qFormat/>
    <w:rsid w:val="003E2D10"/>
    <w:pPr>
      <w:keepLines/>
      <w:spacing w:before="240" w:after="120"/>
      <w:outlineLvl w:val="1"/>
    </w:pPr>
    <w:rPr>
      <w:sz w:val="28"/>
      <w:szCs w:val="40"/>
    </w:rPr>
  </w:style>
  <w:style w:type="paragraph" w:styleId="Heading3">
    <w:name w:val="heading 3"/>
    <w:basedOn w:val="HeadingBase"/>
    <w:next w:val="BodyText"/>
    <w:link w:val="Heading3Char"/>
    <w:qFormat/>
    <w:rsid w:val="003E2D10"/>
    <w:pPr>
      <w:spacing w:before="180" w:after="120"/>
      <w:outlineLvl w:val="2"/>
    </w:pPr>
    <w:rPr>
      <w:spacing w:val="-10"/>
      <w:kern w:val="32"/>
    </w:rPr>
  </w:style>
  <w:style w:type="paragraph" w:styleId="Heading4">
    <w:name w:val="heading 4"/>
    <w:basedOn w:val="HeadingBase"/>
    <w:next w:val="BodyText"/>
    <w:link w:val="Heading4Char"/>
    <w:qFormat/>
    <w:rsid w:val="003E2D10"/>
    <w:pPr>
      <w:spacing w:before="160" w:after="120"/>
      <w:outlineLvl w:val="3"/>
    </w:pPr>
    <w:rPr>
      <w:sz w:val="22"/>
    </w:rPr>
  </w:style>
  <w:style w:type="paragraph" w:styleId="Heading5">
    <w:name w:val="heading 5"/>
    <w:basedOn w:val="HeadingBase"/>
    <w:next w:val="Normal"/>
    <w:link w:val="Heading5Char"/>
    <w:qFormat/>
    <w:rsid w:val="003E2D10"/>
    <w:pPr>
      <w:spacing w:before="80"/>
      <w:outlineLvl w:val="4"/>
    </w:pPr>
    <w:rPr>
      <w:color w:val="918585"/>
      <w:sz w:val="20"/>
    </w:rPr>
  </w:style>
  <w:style w:type="paragraph" w:styleId="Heading6">
    <w:name w:val="heading 6"/>
    <w:basedOn w:val="HeadingBase"/>
    <w:next w:val="Normal"/>
    <w:link w:val="Heading6Char"/>
    <w:qFormat/>
    <w:rsid w:val="003E2D10"/>
    <w:pPr>
      <w:spacing w:before="60"/>
      <w:outlineLvl w:val="5"/>
    </w:pPr>
    <w:rPr>
      <w:color w:val="918585"/>
      <w:sz w:val="20"/>
    </w:rPr>
  </w:style>
  <w:style w:type="paragraph" w:styleId="Heading7">
    <w:name w:val="heading 7"/>
    <w:basedOn w:val="Normal"/>
    <w:next w:val="Normal"/>
    <w:link w:val="Heading7Char"/>
    <w:qFormat/>
    <w:rsid w:val="003E2D10"/>
    <w:pPr>
      <w:ind w:left="720"/>
      <w:outlineLvl w:val="6"/>
    </w:pPr>
    <w:rPr>
      <w:i/>
    </w:rPr>
  </w:style>
  <w:style w:type="paragraph" w:styleId="Heading8">
    <w:name w:val="heading 8"/>
    <w:basedOn w:val="Normal"/>
    <w:next w:val="Normal"/>
    <w:link w:val="Heading8Char"/>
    <w:qFormat/>
    <w:rsid w:val="003E2D10"/>
    <w:pPr>
      <w:ind w:left="720"/>
      <w:outlineLvl w:val="7"/>
    </w:pPr>
    <w:rPr>
      <w:i/>
    </w:rPr>
  </w:style>
  <w:style w:type="paragraph" w:styleId="Heading9">
    <w:name w:val="heading 9"/>
    <w:basedOn w:val="Normal"/>
    <w:next w:val="Normal"/>
    <w:link w:val="Heading9Char"/>
    <w:qFormat/>
    <w:rsid w:val="003E2D10"/>
    <w:pPr>
      <w:ind w:left="720"/>
      <w:outlineLvl w:val="8"/>
    </w:pPr>
    <w:rPr>
      <w:i/>
    </w:rPr>
  </w:style>
  <w:style w:type="character" w:default="1" w:styleId="DefaultParagraphFont">
    <w:name w:val="Default Paragraph Font"/>
    <w:uiPriority w:val="1"/>
    <w:unhideWhenUsed/>
    <w:rsid w:val="003E2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D10"/>
  </w:style>
  <w:style w:type="character" w:customStyle="1" w:styleId="Heading1Char">
    <w:name w:val="Heading 1 Char"/>
    <w:basedOn w:val="DefaultParagraphFont"/>
    <w:link w:val="Heading1"/>
    <w:rsid w:val="003E2D10"/>
    <w:rPr>
      <w:rFonts w:ascii="Times New Roman" w:eastAsia="Times New Roman" w:hAnsi="Times New Roman" w:cs="Times New Roman"/>
      <w:b/>
      <w:sz w:val="32"/>
      <w:szCs w:val="20"/>
      <w:lang w:eastAsia="en-US"/>
    </w:rPr>
  </w:style>
  <w:style w:type="paragraph" w:styleId="BodyText">
    <w:name w:val="Body Text"/>
    <w:basedOn w:val="Normal"/>
    <w:link w:val="BodyTextChar"/>
    <w:rsid w:val="003E2D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D10"/>
    <w:rPr>
      <w:rFonts w:ascii="Times New Roman" w:eastAsia="Times New Roman" w:hAnsi="Times New Roman" w:cs="Times New Roman"/>
      <w:sz w:val="24"/>
      <w:lang w:val="en-US" w:eastAsia="en-US"/>
    </w:rPr>
  </w:style>
  <w:style w:type="paragraph" w:styleId="Footer">
    <w:name w:val="footer"/>
    <w:basedOn w:val="Normal"/>
    <w:link w:val="FooterChar"/>
    <w:rsid w:val="003E2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D10"/>
    <w:rPr>
      <w:rFonts w:ascii="Times New Roman" w:eastAsia="Times New Roman" w:hAnsi="Times New Roman" w:cs="Times New Roman"/>
      <w:sz w:val="16"/>
      <w:lang w:val="en-US" w:eastAsia="en-US"/>
    </w:rPr>
  </w:style>
  <w:style w:type="paragraph" w:styleId="List">
    <w:name w:val="List"/>
    <w:basedOn w:val="BodyText"/>
    <w:next w:val="BodyText"/>
    <w:rsid w:val="003E2D10"/>
    <w:pPr>
      <w:tabs>
        <w:tab w:val="left" w:pos="340"/>
      </w:tabs>
      <w:spacing w:before="60" w:after="60"/>
      <w:ind w:left="340" w:hanging="340"/>
    </w:pPr>
  </w:style>
  <w:style w:type="paragraph" w:styleId="ListBullet">
    <w:name w:val="List Bullet"/>
    <w:basedOn w:val="List"/>
    <w:rsid w:val="003E2D10"/>
    <w:pPr>
      <w:numPr>
        <w:numId w:val="13"/>
      </w:numPr>
      <w:tabs>
        <w:tab w:val="clear" w:pos="340"/>
      </w:tabs>
      <w:spacing w:before="40" w:after="40"/>
    </w:pPr>
  </w:style>
  <w:style w:type="character" w:customStyle="1" w:styleId="SpecialBold">
    <w:name w:val="Special Bold"/>
    <w:basedOn w:val="DefaultParagraphFont"/>
    <w:rsid w:val="003E2D10"/>
    <w:rPr>
      <w:b/>
      <w:spacing w:val="0"/>
    </w:rPr>
  </w:style>
  <w:style w:type="paragraph" w:styleId="ListBullet2">
    <w:name w:val="List Bullet 2"/>
    <w:basedOn w:val="List2"/>
    <w:rsid w:val="003E2D10"/>
    <w:pPr>
      <w:numPr>
        <w:numId w:val="14"/>
      </w:numPr>
      <w:tabs>
        <w:tab w:val="clear" w:pos="680"/>
      </w:tabs>
    </w:pPr>
  </w:style>
  <w:style w:type="paragraph" w:styleId="Header">
    <w:name w:val="header"/>
    <w:basedOn w:val="Normal"/>
    <w:link w:val="HeaderChar"/>
    <w:rsid w:val="003E2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D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2D10"/>
    <w:pPr>
      <w:spacing w:before="240" w:after="120"/>
      <w:outlineLvl w:val="0"/>
    </w:pPr>
    <w:rPr>
      <w:rFonts w:ascii="Times New Roman" w:hAnsi="Times New Roman"/>
      <w:b/>
      <w:sz w:val="28"/>
    </w:rPr>
  </w:style>
  <w:style w:type="paragraph" w:customStyle="1" w:styleId="AllowPageBreak">
    <w:name w:val="AllowPageBreak"/>
    <w:rsid w:val="003E2D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2D10"/>
    <w:rPr>
      <w:b/>
      <w:i/>
      <w:u w:val="none"/>
    </w:rPr>
  </w:style>
  <w:style w:type="character" w:customStyle="1" w:styleId="Heading2Char">
    <w:name w:val="Heading 2 Char"/>
    <w:basedOn w:val="DefaultParagraphFont"/>
    <w:link w:val="Heading2"/>
    <w:rsid w:val="003E2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D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2D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2D10"/>
    <w:rPr>
      <w:rFonts w:ascii="Courier New" w:eastAsia="Times New Roman" w:hAnsi="Courier New" w:cs="Times New Roman"/>
      <w:i/>
      <w:szCs w:val="20"/>
      <w:lang w:val="en-US" w:eastAsia="en-US"/>
    </w:rPr>
  </w:style>
  <w:style w:type="paragraph" w:customStyle="1" w:styleId="HeadingBase">
    <w:name w:val="Heading Base"/>
    <w:rsid w:val="003E2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D10"/>
    <w:pPr>
      <w:tabs>
        <w:tab w:val="right" w:leader="dot" w:pos="9072"/>
      </w:tabs>
      <w:ind w:left="567"/>
    </w:pPr>
    <w:rPr>
      <w:szCs w:val="22"/>
    </w:rPr>
  </w:style>
  <w:style w:type="paragraph" w:customStyle="1" w:styleId="TOCBase">
    <w:name w:val="TOC Base"/>
    <w:rsid w:val="003E2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D10"/>
    <w:pPr>
      <w:tabs>
        <w:tab w:val="right" w:leader="dot" w:pos="9072"/>
      </w:tabs>
      <w:spacing w:before="40" w:after="40"/>
      <w:ind w:left="284"/>
    </w:pPr>
    <w:rPr>
      <w:rFonts w:ascii="Times New Roman" w:hAnsi="Times New Roman"/>
    </w:rPr>
  </w:style>
  <w:style w:type="paragraph" w:styleId="TOC1">
    <w:name w:val="toc 1"/>
    <w:basedOn w:val="TOCBase"/>
    <w:next w:val="Normal"/>
    <w:rsid w:val="003E2D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D10"/>
    <w:pPr>
      <w:spacing w:before="5040"/>
      <w:jc w:val="center"/>
    </w:pPr>
    <w:rPr>
      <w:sz w:val="48"/>
      <w:szCs w:val="72"/>
      <w:lang w:val="en-US"/>
    </w:rPr>
  </w:style>
  <w:style w:type="character" w:customStyle="1" w:styleId="TitleChar">
    <w:name w:val="Title Char"/>
    <w:basedOn w:val="DefaultParagraphFont"/>
    <w:link w:val="Title"/>
    <w:rsid w:val="003E2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D10"/>
    <w:pPr>
      <w:tabs>
        <w:tab w:val="left" w:pos="3600"/>
        <w:tab w:val="left" w:pos="3958"/>
      </w:tabs>
    </w:pPr>
  </w:style>
  <w:style w:type="paragraph" w:customStyle="1" w:styleId="Note">
    <w:name w:val="Note"/>
    <w:basedOn w:val="BodyText"/>
    <w:rsid w:val="003E2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D10"/>
    <w:pPr>
      <w:framePr w:wrap="auto" w:hAnchor="text" w:y="6049"/>
    </w:pPr>
    <w:rPr>
      <w:color w:val="000000"/>
      <w:sz w:val="40"/>
    </w:rPr>
  </w:style>
  <w:style w:type="paragraph" w:customStyle="1" w:styleId="TOCTitle">
    <w:name w:val="TOCTitle"/>
    <w:basedOn w:val="Heading1"/>
    <w:rsid w:val="003E2D10"/>
    <w:pPr>
      <w:spacing w:after="240"/>
      <w:jc w:val="center"/>
      <w:outlineLvl w:val="9"/>
    </w:pPr>
    <w:rPr>
      <w:caps/>
    </w:rPr>
  </w:style>
  <w:style w:type="paragraph" w:customStyle="1" w:styleId="Version">
    <w:name w:val="Version"/>
    <w:rsid w:val="003E2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D10"/>
    <w:pPr>
      <w:keepNext w:val="0"/>
      <w:tabs>
        <w:tab w:val="right" w:pos="4176"/>
      </w:tabs>
      <w:ind w:left="198" w:hanging="198"/>
    </w:pPr>
    <w:rPr>
      <w:rFonts w:ascii="Garamond" w:hAnsi="Garamond"/>
    </w:rPr>
  </w:style>
  <w:style w:type="paragraph" w:styleId="IndexHeading">
    <w:name w:val="index heading"/>
    <w:basedOn w:val="Normal"/>
    <w:next w:val="Index1"/>
    <w:semiHidden/>
    <w:rsid w:val="003E2D10"/>
    <w:pPr>
      <w:spacing w:before="120" w:after="120"/>
    </w:pPr>
    <w:rPr>
      <w:rFonts w:ascii="Arial" w:hAnsi="Arial"/>
      <w:b/>
      <w:color w:val="918585"/>
      <w:sz w:val="24"/>
    </w:rPr>
  </w:style>
  <w:style w:type="paragraph" w:customStyle="1" w:styleId="Chapter">
    <w:name w:val="Chapter"/>
    <w:basedOn w:val="Normal"/>
    <w:rsid w:val="003E2D10"/>
    <w:pPr>
      <w:spacing w:before="240"/>
    </w:pPr>
    <w:rPr>
      <w:rFonts w:ascii="Times New Roman" w:hAnsi="Times New Roman"/>
      <w:smallCaps/>
      <w:spacing w:val="80"/>
      <w:sz w:val="28"/>
    </w:rPr>
  </w:style>
  <w:style w:type="paragraph" w:customStyle="1" w:styleId="InChapter">
    <w:name w:val="InChapter"/>
    <w:basedOn w:val="Heading3"/>
    <w:rsid w:val="003E2D10"/>
    <w:pPr>
      <w:spacing w:after="240"/>
      <w:outlineLvl w:val="9"/>
    </w:pPr>
    <w:rPr>
      <w:noProof/>
    </w:rPr>
  </w:style>
  <w:style w:type="paragraph" w:styleId="Index2">
    <w:name w:val="index 2"/>
    <w:basedOn w:val="Normal"/>
    <w:next w:val="Normal"/>
    <w:semiHidden/>
    <w:rsid w:val="003E2D10"/>
    <w:pPr>
      <w:tabs>
        <w:tab w:val="right" w:pos="4176"/>
      </w:tabs>
      <w:ind w:left="568" w:hanging="284"/>
    </w:pPr>
    <w:rPr>
      <w:rFonts w:ascii="Garamond" w:hAnsi="Garamond"/>
    </w:rPr>
  </w:style>
  <w:style w:type="paragraph" w:customStyle="1" w:styleId="Byline">
    <w:name w:val="Byline"/>
    <w:rsid w:val="003E2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D10"/>
    <w:pPr>
      <w:tabs>
        <w:tab w:val="clear" w:pos="3600"/>
        <w:tab w:val="clear" w:pos="3958"/>
      </w:tabs>
      <w:jc w:val="right"/>
    </w:pPr>
  </w:style>
  <w:style w:type="character" w:styleId="Emphasis">
    <w:name w:val="Emphasis"/>
    <w:basedOn w:val="DefaultParagraphFont"/>
    <w:qFormat/>
    <w:rsid w:val="003E2D10"/>
    <w:rPr>
      <w:i/>
    </w:rPr>
  </w:style>
  <w:style w:type="paragraph" w:styleId="Caption">
    <w:name w:val="caption"/>
    <w:basedOn w:val="BodyText"/>
    <w:next w:val="Normal"/>
    <w:qFormat/>
    <w:rsid w:val="003E2D10"/>
    <w:pPr>
      <w:framePr w:w="2268" w:hSpace="181" w:vSpace="181" w:wrap="around" w:vAnchor="text" w:hAnchor="page" w:x="1135" w:y="285" w:anchorLock="1"/>
    </w:pPr>
    <w:rPr>
      <w:i/>
    </w:rPr>
  </w:style>
  <w:style w:type="paragraph" w:customStyle="1" w:styleId="MiniTOCTitle">
    <w:name w:val="MiniTOCTitle"/>
    <w:basedOn w:val="Heading4"/>
    <w:rsid w:val="003E2D10"/>
    <w:pPr>
      <w:spacing w:before="240"/>
      <w:outlineLvl w:val="9"/>
    </w:pPr>
    <w:rPr>
      <w:noProof/>
      <w:sz w:val="24"/>
    </w:rPr>
  </w:style>
  <w:style w:type="paragraph" w:customStyle="1" w:styleId="MiniTOCItem">
    <w:name w:val="MiniTOCItem"/>
    <w:basedOn w:val="ListBullet"/>
    <w:rsid w:val="003E2D10"/>
    <w:pPr>
      <w:numPr>
        <w:numId w:val="0"/>
      </w:numPr>
      <w:tabs>
        <w:tab w:val="right" w:leader="dot" w:pos="6521"/>
      </w:tabs>
      <w:spacing w:before="0" w:after="0"/>
    </w:pPr>
  </w:style>
  <w:style w:type="paragraph" w:customStyle="1" w:styleId="TOFTitle">
    <w:name w:val="TOFTitle"/>
    <w:basedOn w:val="TOCTitle"/>
    <w:rsid w:val="003E2D10"/>
  </w:style>
  <w:style w:type="paragraph" w:styleId="TableofFigures">
    <w:name w:val="table of figures"/>
    <w:basedOn w:val="Normal"/>
    <w:next w:val="Normal"/>
    <w:semiHidden/>
    <w:rsid w:val="003E2D10"/>
    <w:pPr>
      <w:tabs>
        <w:tab w:val="right" w:leader="dot" w:pos="9072"/>
      </w:tabs>
      <w:ind w:left="970" w:hanging="403"/>
    </w:pPr>
    <w:rPr>
      <w:rFonts w:ascii="Times New Roman" w:hAnsi="Times New Roman"/>
      <w:b/>
    </w:rPr>
  </w:style>
  <w:style w:type="paragraph" w:styleId="ListNumber">
    <w:name w:val="List Number"/>
    <w:basedOn w:val="List"/>
    <w:rsid w:val="003E2D10"/>
    <w:pPr>
      <w:numPr>
        <w:numId w:val="11"/>
      </w:numPr>
    </w:pPr>
  </w:style>
  <w:style w:type="character" w:customStyle="1" w:styleId="WingdingSymbols">
    <w:name w:val="Wingding Symbols"/>
    <w:rsid w:val="003E2D10"/>
    <w:rPr>
      <w:rFonts w:ascii="Wingdings" w:hAnsi="Wingdings"/>
    </w:rPr>
  </w:style>
  <w:style w:type="paragraph" w:customStyle="1" w:styleId="TableHeading">
    <w:name w:val="Table Heading"/>
    <w:basedOn w:val="HeadingBase"/>
    <w:rsid w:val="003E2D10"/>
    <w:pPr>
      <w:keepLines/>
      <w:pBdr>
        <w:bottom w:val="single" w:sz="6" w:space="1" w:color="918585"/>
      </w:pBdr>
      <w:spacing w:before="240"/>
    </w:pPr>
  </w:style>
  <w:style w:type="character" w:customStyle="1" w:styleId="HotSpot">
    <w:name w:val="HotSpot"/>
    <w:rsid w:val="003E2D10"/>
    <w:rPr>
      <w:color w:val="0033CC"/>
      <w:u w:val="none"/>
    </w:rPr>
  </w:style>
  <w:style w:type="paragraph" w:customStyle="1" w:styleId="BodyTextRight">
    <w:name w:val="Body Text Right"/>
    <w:basedOn w:val="BodyText"/>
    <w:rsid w:val="003E2D10"/>
    <w:pPr>
      <w:spacing w:before="0" w:after="0"/>
      <w:jc w:val="right"/>
    </w:pPr>
  </w:style>
  <w:style w:type="paragraph" w:styleId="Index3">
    <w:name w:val="index 3"/>
    <w:basedOn w:val="ListNumber2"/>
    <w:next w:val="Normal"/>
    <w:semiHidden/>
    <w:rsid w:val="003E2D10"/>
    <w:pPr>
      <w:numPr>
        <w:numId w:val="0"/>
      </w:numPr>
      <w:tabs>
        <w:tab w:val="right" w:leader="dot" w:pos="4176"/>
      </w:tabs>
    </w:pPr>
  </w:style>
  <w:style w:type="paragraph" w:styleId="ListNumber2">
    <w:name w:val="List Number 2"/>
    <w:basedOn w:val="List2"/>
    <w:rsid w:val="003E2D10"/>
    <w:pPr>
      <w:numPr>
        <w:numId w:val="10"/>
      </w:numPr>
      <w:tabs>
        <w:tab w:val="clear" w:pos="1060"/>
      </w:tabs>
    </w:pPr>
  </w:style>
  <w:style w:type="paragraph" w:customStyle="1" w:styleId="MarginNote">
    <w:name w:val="Margin Note"/>
    <w:basedOn w:val="BodyText"/>
    <w:rsid w:val="003E2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D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2D10"/>
    <w:rPr>
      <w:sz w:val="32"/>
    </w:rPr>
  </w:style>
  <w:style w:type="paragraph" w:customStyle="1" w:styleId="HeadingProcedure">
    <w:name w:val="Heading Procedure"/>
    <w:basedOn w:val="HeadingBase"/>
    <w:next w:val="Normal"/>
    <w:rsid w:val="003E2D10"/>
    <w:pPr>
      <w:tabs>
        <w:tab w:val="left" w:pos="0"/>
      </w:tabs>
      <w:spacing w:before="120" w:after="60"/>
    </w:pPr>
    <w:rPr>
      <w:i/>
      <w:color w:val="918585"/>
      <w:sz w:val="22"/>
    </w:rPr>
  </w:style>
  <w:style w:type="paragraph" w:customStyle="1" w:styleId="TableBodyText">
    <w:name w:val="Table Body Text"/>
    <w:basedOn w:val="BodyText"/>
    <w:rsid w:val="003E2D10"/>
    <w:pPr>
      <w:spacing w:before="60" w:after="60"/>
    </w:pPr>
  </w:style>
  <w:style w:type="paragraph" w:styleId="ListContinue">
    <w:name w:val="List Continue"/>
    <w:basedOn w:val="List"/>
    <w:rsid w:val="003E2D10"/>
    <w:pPr>
      <w:ind w:firstLine="0"/>
    </w:pPr>
  </w:style>
  <w:style w:type="paragraph" w:customStyle="1" w:styleId="ListNote">
    <w:name w:val="List Note"/>
    <w:basedOn w:val="List"/>
    <w:rsid w:val="003E2D10"/>
    <w:pPr>
      <w:pBdr>
        <w:top w:val="single" w:sz="6" w:space="2" w:color="918585"/>
        <w:bottom w:val="single" w:sz="6" w:space="2" w:color="918585"/>
      </w:pBdr>
      <w:tabs>
        <w:tab w:val="left" w:pos="1021"/>
      </w:tabs>
      <w:ind w:firstLine="0"/>
    </w:pPr>
  </w:style>
  <w:style w:type="paragraph" w:customStyle="1" w:styleId="Warning">
    <w:name w:val="Warning"/>
    <w:basedOn w:val="BodyText"/>
    <w:rsid w:val="003E2D10"/>
    <w:pPr>
      <w:shd w:val="clear" w:color="auto" w:fill="D9D9D9"/>
      <w:tabs>
        <w:tab w:val="left" w:pos="992"/>
      </w:tabs>
      <w:ind w:left="119" w:right="119"/>
    </w:pPr>
    <w:rPr>
      <w:sz w:val="20"/>
    </w:rPr>
  </w:style>
  <w:style w:type="paragraph" w:customStyle="1" w:styleId="MarginIcons">
    <w:name w:val="Margin Icons"/>
    <w:basedOn w:val="BodyText"/>
    <w:rsid w:val="003E2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D10"/>
    <w:rPr>
      <w:rFonts w:ascii="Courier New" w:hAnsi="Courier New"/>
    </w:rPr>
  </w:style>
  <w:style w:type="paragraph" w:customStyle="1" w:styleId="NoteBullet">
    <w:name w:val="Note Bullet"/>
    <w:basedOn w:val="Note"/>
    <w:rsid w:val="003E2D10"/>
    <w:pPr>
      <w:tabs>
        <w:tab w:val="clear" w:pos="680"/>
      </w:tabs>
      <w:spacing w:before="60" w:after="60"/>
    </w:pPr>
  </w:style>
  <w:style w:type="paragraph" w:customStyle="1" w:styleId="SubHeading2">
    <w:name w:val="SubHeading2"/>
    <w:basedOn w:val="HeadingBase"/>
    <w:rsid w:val="003E2D10"/>
    <w:pPr>
      <w:spacing w:before="240" w:after="60"/>
    </w:pPr>
    <w:rPr>
      <w:sz w:val="20"/>
    </w:rPr>
  </w:style>
  <w:style w:type="paragraph" w:customStyle="1" w:styleId="SubHeading1">
    <w:name w:val="SubHeading1"/>
    <w:basedOn w:val="HeadingBase"/>
    <w:rsid w:val="003E2D10"/>
    <w:pPr>
      <w:spacing w:before="240" w:after="60"/>
    </w:pPr>
    <w:rPr>
      <w:color w:val="918585"/>
      <w:sz w:val="22"/>
    </w:rPr>
  </w:style>
  <w:style w:type="paragraph" w:customStyle="1" w:styleId="SideHeading">
    <w:name w:val="Side Heading"/>
    <w:basedOn w:val="HeadingBase"/>
    <w:rsid w:val="003E2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D10"/>
    <w:pPr>
      <w:numPr>
        <w:numId w:val="12"/>
      </w:numPr>
    </w:pPr>
  </w:style>
  <w:style w:type="paragraph" w:styleId="PlainText">
    <w:name w:val="Plain Text"/>
    <w:basedOn w:val="Normal"/>
    <w:link w:val="PlainTextChar"/>
    <w:rsid w:val="003E2D10"/>
    <w:rPr>
      <w:sz w:val="20"/>
    </w:rPr>
  </w:style>
  <w:style w:type="character" w:customStyle="1" w:styleId="PlainTextChar">
    <w:name w:val="Plain Text Char"/>
    <w:basedOn w:val="DefaultParagraphFont"/>
    <w:link w:val="PlainText"/>
    <w:rsid w:val="003E2D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2D10"/>
    <w:rPr>
      <w:b/>
      <w:smallCaps/>
    </w:rPr>
  </w:style>
  <w:style w:type="paragraph" w:customStyle="1" w:styleId="TableListNumber">
    <w:name w:val="Table List Number"/>
    <w:basedOn w:val="ListNumber"/>
    <w:rsid w:val="003E2D10"/>
    <w:pPr>
      <w:numPr>
        <w:numId w:val="0"/>
      </w:numPr>
    </w:pPr>
  </w:style>
  <w:style w:type="paragraph" w:styleId="TOC4">
    <w:name w:val="toc 4"/>
    <w:basedOn w:val="TOCBase"/>
    <w:next w:val="Normal"/>
    <w:semiHidden/>
    <w:rsid w:val="003E2D10"/>
    <w:pPr>
      <w:tabs>
        <w:tab w:val="right" w:leader="dot" w:pos="9071"/>
      </w:tabs>
      <w:ind w:left="1701"/>
    </w:pPr>
  </w:style>
  <w:style w:type="paragraph" w:customStyle="1" w:styleId="ListAlpha">
    <w:name w:val="List Alpha"/>
    <w:basedOn w:val="List"/>
    <w:rsid w:val="003E2D10"/>
    <w:pPr>
      <w:numPr>
        <w:numId w:val="9"/>
      </w:numPr>
    </w:pPr>
  </w:style>
  <w:style w:type="paragraph" w:customStyle="1" w:styleId="ListAlpha2">
    <w:name w:val="List Alpha 2"/>
    <w:basedOn w:val="List2"/>
    <w:rsid w:val="003E2D10"/>
    <w:pPr>
      <w:numPr>
        <w:numId w:val="8"/>
      </w:numPr>
    </w:pPr>
  </w:style>
  <w:style w:type="paragraph" w:styleId="List2">
    <w:name w:val="List 2"/>
    <w:basedOn w:val="BodyText"/>
    <w:rsid w:val="003E2D10"/>
    <w:pPr>
      <w:tabs>
        <w:tab w:val="left" w:pos="680"/>
      </w:tabs>
      <w:spacing w:before="60" w:after="60"/>
      <w:ind w:left="680" w:hanging="340"/>
    </w:pPr>
  </w:style>
  <w:style w:type="paragraph" w:styleId="List3">
    <w:name w:val="List 3"/>
    <w:basedOn w:val="BodyText"/>
    <w:rsid w:val="003E2D10"/>
    <w:pPr>
      <w:tabs>
        <w:tab w:val="left" w:pos="1021"/>
      </w:tabs>
      <w:spacing w:before="60" w:after="60"/>
      <w:ind w:left="1020" w:hanging="340"/>
    </w:pPr>
  </w:style>
  <w:style w:type="paragraph" w:styleId="List4">
    <w:name w:val="List 4"/>
    <w:basedOn w:val="BodyText"/>
    <w:rsid w:val="003E2D10"/>
    <w:pPr>
      <w:tabs>
        <w:tab w:val="left" w:pos="1361"/>
      </w:tabs>
      <w:spacing w:before="60" w:after="60"/>
      <w:ind w:left="1361" w:hanging="340"/>
    </w:pPr>
  </w:style>
  <w:style w:type="paragraph" w:styleId="List5">
    <w:name w:val="List 5"/>
    <w:basedOn w:val="BodyText"/>
    <w:rsid w:val="003E2D10"/>
    <w:pPr>
      <w:tabs>
        <w:tab w:val="left" w:pos="1701"/>
      </w:tabs>
      <w:spacing w:before="60" w:after="60"/>
      <w:ind w:left="1701" w:hanging="340"/>
    </w:pPr>
  </w:style>
  <w:style w:type="paragraph" w:styleId="ListBullet3">
    <w:name w:val="List Bullet 3"/>
    <w:basedOn w:val="List3"/>
    <w:rsid w:val="003E2D10"/>
    <w:pPr>
      <w:numPr>
        <w:numId w:val="15"/>
      </w:numPr>
      <w:tabs>
        <w:tab w:val="clear" w:pos="1021"/>
      </w:tabs>
      <w:ind w:left="1037" w:hanging="357"/>
    </w:pPr>
  </w:style>
  <w:style w:type="paragraph" w:styleId="ListBullet4">
    <w:name w:val="List Bullet 4"/>
    <w:basedOn w:val="List4"/>
    <w:rsid w:val="003E2D10"/>
    <w:pPr>
      <w:numPr>
        <w:numId w:val="3"/>
      </w:numPr>
    </w:pPr>
  </w:style>
  <w:style w:type="paragraph" w:styleId="ListBullet5">
    <w:name w:val="List Bullet 5"/>
    <w:basedOn w:val="List5"/>
    <w:rsid w:val="003E2D10"/>
    <w:pPr>
      <w:numPr>
        <w:numId w:val="4"/>
      </w:numPr>
    </w:pPr>
  </w:style>
  <w:style w:type="paragraph" w:styleId="ListContinue2">
    <w:name w:val="List Continue 2"/>
    <w:basedOn w:val="List2"/>
    <w:rsid w:val="003E2D10"/>
    <w:pPr>
      <w:ind w:firstLine="0"/>
    </w:pPr>
  </w:style>
  <w:style w:type="paragraph" w:styleId="ListContinue3">
    <w:name w:val="List Continue 3"/>
    <w:basedOn w:val="List3"/>
    <w:rsid w:val="003E2D10"/>
    <w:pPr>
      <w:ind w:left="1021" w:firstLine="0"/>
    </w:pPr>
  </w:style>
  <w:style w:type="paragraph" w:styleId="ListContinue4">
    <w:name w:val="List Continue 4"/>
    <w:basedOn w:val="List4"/>
    <w:rsid w:val="003E2D10"/>
    <w:pPr>
      <w:ind w:firstLine="0"/>
    </w:pPr>
  </w:style>
  <w:style w:type="paragraph" w:styleId="ListContinue5">
    <w:name w:val="List Continue 5"/>
    <w:basedOn w:val="List5"/>
    <w:rsid w:val="003E2D10"/>
    <w:pPr>
      <w:ind w:firstLine="0"/>
    </w:pPr>
  </w:style>
  <w:style w:type="paragraph" w:styleId="ListNumber3">
    <w:name w:val="List Number 3"/>
    <w:basedOn w:val="List3"/>
    <w:rsid w:val="003E2D10"/>
    <w:pPr>
      <w:numPr>
        <w:numId w:val="5"/>
      </w:numPr>
    </w:pPr>
  </w:style>
  <w:style w:type="paragraph" w:styleId="ListNumber4">
    <w:name w:val="List Number 4"/>
    <w:basedOn w:val="List4"/>
    <w:rsid w:val="003E2D10"/>
    <w:pPr>
      <w:numPr>
        <w:numId w:val="6"/>
      </w:numPr>
    </w:pPr>
  </w:style>
  <w:style w:type="paragraph" w:styleId="ListNumber5">
    <w:name w:val="List Number 5"/>
    <w:basedOn w:val="List5"/>
    <w:rsid w:val="003E2D10"/>
    <w:pPr>
      <w:numPr>
        <w:numId w:val="7"/>
      </w:numPr>
    </w:pPr>
  </w:style>
  <w:style w:type="paragraph" w:styleId="BlockText">
    <w:name w:val="Block Text"/>
    <w:basedOn w:val="Normal"/>
    <w:rsid w:val="003E2D10"/>
    <w:pPr>
      <w:spacing w:after="120"/>
      <w:ind w:left="1440" w:right="1440"/>
    </w:pPr>
  </w:style>
  <w:style w:type="character" w:customStyle="1" w:styleId="Subscript">
    <w:name w:val="Subscript"/>
    <w:basedOn w:val="DefaultParagraphFont"/>
    <w:rsid w:val="003E2D10"/>
    <w:rPr>
      <w:sz w:val="16"/>
      <w:vertAlign w:val="subscript"/>
    </w:rPr>
  </w:style>
  <w:style w:type="character" w:customStyle="1" w:styleId="Superscript">
    <w:name w:val="Superscript"/>
    <w:basedOn w:val="DefaultParagraphFont"/>
    <w:rsid w:val="003E2D10"/>
    <w:rPr>
      <w:sz w:val="16"/>
      <w:vertAlign w:val="superscript"/>
    </w:rPr>
  </w:style>
  <w:style w:type="character" w:customStyle="1" w:styleId="Symbols">
    <w:name w:val="Symbols"/>
    <w:basedOn w:val="DefaultParagraphFont"/>
    <w:rsid w:val="003E2D10"/>
    <w:rPr>
      <w:rFonts w:ascii="Symbol" w:hAnsi="Symbol"/>
    </w:rPr>
  </w:style>
  <w:style w:type="character" w:customStyle="1" w:styleId="MenuOptions">
    <w:name w:val="Menu Options"/>
    <w:basedOn w:val="DefaultParagraphFont"/>
    <w:rsid w:val="003E2D10"/>
    <w:rPr>
      <w:rFonts w:ascii="Arial Narrow" w:hAnsi="Arial Narrow"/>
      <w:smallCaps/>
    </w:rPr>
  </w:style>
  <w:style w:type="character" w:customStyle="1" w:styleId="Buttons">
    <w:name w:val="Buttons"/>
    <w:basedOn w:val="DefaultParagraphFont"/>
    <w:rsid w:val="003E2D10"/>
    <w:rPr>
      <w:b/>
    </w:rPr>
  </w:style>
  <w:style w:type="character" w:customStyle="1" w:styleId="Underlined">
    <w:name w:val="Underlined"/>
    <w:basedOn w:val="DefaultParagraphFont"/>
    <w:rsid w:val="003E2D10"/>
    <w:rPr>
      <w:u w:val="single"/>
    </w:rPr>
  </w:style>
  <w:style w:type="paragraph" w:customStyle="1" w:styleId="TableBodyTextRight">
    <w:name w:val="Table Body Text Right"/>
    <w:basedOn w:val="TableBodyText"/>
    <w:rsid w:val="003E2D10"/>
    <w:pPr>
      <w:widowControl w:val="0"/>
      <w:autoSpaceDE w:val="0"/>
      <w:autoSpaceDN w:val="0"/>
      <w:adjustRightInd w:val="0"/>
      <w:jc w:val="right"/>
    </w:pPr>
    <w:rPr>
      <w:rFonts w:cs="Arial"/>
      <w:szCs w:val="18"/>
    </w:rPr>
  </w:style>
  <w:style w:type="paragraph" w:customStyle="1" w:styleId="CopyrightText">
    <w:name w:val="Copyright Text"/>
    <w:basedOn w:val="BodyText"/>
    <w:rsid w:val="003E2D10"/>
    <w:rPr>
      <w:sz w:val="18"/>
    </w:rPr>
  </w:style>
  <w:style w:type="paragraph" w:customStyle="1" w:styleId="BodySmallRight">
    <w:name w:val="Body Small Right"/>
    <w:basedOn w:val="BodyTextRight"/>
    <w:rsid w:val="003E2D10"/>
    <w:rPr>
      <w:sz w:val="18"/>
      <w:szCs w:val="18"/>
    </w:rPr>
  </w:style>
  <w:style w:type="paragraph" w:customStyle="1" w:styleId="MarginEdition">
    <w:name w:val="Margin Edition"/>
    <w:basedOn w:val="MarginNote"/>
    <w:rsid w:val="003E2D10"/>
    <w:pPr>
      <w:spacing w:before="0" w:after="0"/>
    </w:pPr>
    <w:rPr>
      <w:rFonts w:ascii="Times New Roman" w:hAnsi="Times New Roman"/>
      <w:color w:val="999999"/>
    </w:rPr>
  </w:style>
  <w:style w:type="paragraph" w:customStyle="1" w:styleId="Spacer">
    <w:name w:val="Spacer"/>
    <w:basedOn w:val="Normal"/>
    <w:rsid w:val="003E2D10"/>
    <w:rPr>
      <w:sz w:val="2"/>
      <w:szCs w:val="2"/>
    </w:rPr>
  </w:style>
  <w:style w:type="character" w:customStyle="1" w:styleId="Small">
    <w:name w:val="Small"/>
    <w:basedOn w:val="DefaultParagraphFont"/>
    <w:rsid w:val="003E2D10"/>
    <w:rPr>
      <w:sz w:val="16"/>
    </w:rPr>
  </w:style>
  <w:style w:type="paragraph" w:customStyle="1" w:styleId="WideTable">
    <w:name w:val="Wide Table"/>
    <w:basedOn w:val="Normal"/>
    <w:rsid w:val="003E2D10"/>
    <w:pPr>
      <w:ind w:left="-1418"/>
    </w:pPr>
    <w:rPr>
      <w:sz w:val="2"/>
      <w:szCs w:val="2"/>
    </w:rPr>
  </w:style>
  <w:style w:type="character" w:styleId="PageNumber">
    <w:name w:val="page number"/>
    <w:basedOn w:val="DefaultParagraphFont"/>
    <w:rsid w:val="003E2D10"/>
  </w:style>
  <w:style w:type="paragraph" w:styleId="Quote">
    <w:name w:val="Quote"/>
    <w:basedOn w:val="Heading1"/>
    <w:link w:val="QuoteChar"/>
    <w:qFormat/>
    <w:rsid w:val="003E2D10"/>
    <w:rPr>
      <w:b w:val="0"/>
      <w:sz w:val="72"/>
      <w:szCs w:val="72"/>
      <w:lang w:val="en-NZ"/>
    </w:rPr>
  </w:style>
  <w:style w:type="character" w:customStyle="1" w:styleId="QuoteChar">
    <w:name w:val="Quote Char"/>
    <w:basedOn w:val="DefaultParagraphFont"/>
    <w:link w:val="Quote"/>
    <w:rsid w:val="003E2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D10"/>
    <w:pPr>
      <w:pageBreakBefore/>
    </w:pPr>
  </w:style>
  <w:style w:type="paragraph" w:customStyle="1" w:styleId="Border">
    <w:name w:val="Border"/>
    <w:basedOn w:val="Normal"/>
    <w:qFormat/>
    <w:rsid w:val="003E2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D10"/>
    <w:rPr>
      <w:b/>
      <w:bCs/>
      <w:i/>
      <w:iCs/>
      <w:color w:val="auto"/>
    </w:rPr>
  </w:style>
  <w:style w:type="paragraph" w:styleId="IntenseQuote">
    <w:name w:val="Intense Quote"/>
    <w:basedOn w:val="Normal"/>
    <w:next w:val="Normal"/>
    <w:link w:val="IntenseQuoteChar"/>
    <w:uiPriority w:val="30"/>
    <w:qFormat/>
    <w:rsid w:val="003E2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D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2D10"/>
    <w:rPr>
      <w:smallCaps/>
      <w:color w:val="auto"/>
      <w:u w:val="single"/>
    </w:rPr>
  </w:style>
  <w:style w:type="character" w:styleId="IntenseReference">
    <w:name w:val="Intense Reference"/>
    <w:basedOn w:val="DefaultParagraphFont"/>
    <w:uiPriority w:val="32"/>
    <w:qFormat/>
    <w:rsid w:val="003E2D10"/>
    <w:rPr>
      <w:b/>
      <w:bCs/>
      <w:smallCaps/>
      <w:color w:val="auto"/>
      <w:spacing w:val="5"/>
      <w:u w:val="single"/>
    </w:rPr>
  </w:style>
  <w:style w:type="paragraph" w:customStyle="1" w:styleId="2ColumnHeading">
    <w:name w:val="2Column Heading"/>
    <w:basedOn w:val="BodyText"/>
    <w:qFormat/>
    <w:rsid w:val="003E2D10"/>
    <w:pPr>
      <w:spacing w:after="60"/>
      <w:ind w:left="-2268"/>
    </w:pPr>
    <w:rPr>
      <w:b/>
    </w:rPr>
  </w:style>
  <w:style w:type="paragraph" w:customStyle="1" w:styleId="Heading1TOC">
    <w:name w:val="Heading1 TOC"/>
    <w:basedOn w:val="Normal"/>
    <w:qFormat/>
    <w:rsid w:val="003E2D10"/>
    <w:pPr>
      <w:spacing w:before="240" w:after="120"/>
    </w:pPr>
    <w:rPr>
      <w:rFonts w:ascii="Times New Roman" w:hAnsi="Times New Roman"/>
      <w:b/>
      <w:sz w:val="32"/>
    </w:rPr>
  </w:style>
  <w:style w:type="paragraph" w:customStyle="1" w:styleId="Heading2TOC">
    <w:name w:val="Heading2 TOC"/>
    <w:basedOn w:val="Normal"/>
    <w:qFormat/>
    <w:rsid w:val="003E2D10"/>
    <w:pPr>
      <w:spacing w:before="240" w:after="60"/>
    </w:pPr>
    <w:rPr>
      <w:rFonts w:ascii="Times New Roman" w:hAnsi="Times New Roman"/>
      <w:b/>
      <w:sz w:val="28"/>
    </w:rPr>
  </w:style>
  <w:style w:type="character" w:customStyle="1" w:styleId="Underline">
    <w:name w:val="Underline"/>
    <w:basedOn w:val="DefaultParagraphFont"/>
    <w:qFormat/>
    <w:rsid w:val="003E2D10"/>
    <w:rPr>
      <w:u w:val="single"/>
    </w:rPr>
  </w:style>
  <w:style w:type="paragraph" w:styleId="BalloonText">
    <w:name w:val="Balloon Text"/>
    <w:basedOn w:val="Normal"/>
    <w:link w:val="BalloonTextChar"/>
    <w:rsid w:val="003E2D10"/>
    <w:rPr>
      <w:rFonts w:ascii="Tahoma" w:hAnsi="Tahoma" w:cs="Tahoma"/>
      <w:sz w:val="16"/>
      <w:szCs w:val="16"/>
    </w:rPr>
  </w:style>
  <w:style w:type="character" w:customStyle="1" w:styleId="BalloonTextChar">
    <w:name w:val="Balloon Text Char"/>
    <w:basedOn w:val="DefaultParagraphFont"/>
    <w:link w:val="BalloonText"/>
    <w:rsid w:val="003E2D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2D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D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1444</Words>
  <Characters>8874</Characters>
  <Application>Microsoft Office Word</Application>
  <DocSecurity>0</DocSecurity>
  <Lines>365</Lines>
  <Paragraphs>171</Paragraphs>
  <ScaleCrop>false</ScaleCrop>
  <Company>Author-it Software Corporation Ltd.</Company>
  <LinksUpToDate>false</LinksUpToDate>
  <CharactersWithSpaces>10232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SITXEVT009A Develop event concepts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