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5BF" w:rsidP="009E65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SITTHPR303A Tow and site a recreational vehicle safely</w:t>
      </w:r>
      <w:r>
        <w:fldChar w:fldCharType="end"/>
      </w:r>
    </w:p>
    <w:p w:rsidR="009E65BF" w:rsidP="009E65BF">
      <w:pPr>
        <w:pStyle w:val="Version"/>
        <w:sectPr w:rsidSect="009C3E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C3E22" w:rsidP="009C3E22">
      <w:pPr>
        <w:pStyle w:val="SuperHeading"/>
      </w:pPr>
      <w:r w:rsidRPr="009C3E22">
        <w:t>SITTHPR303A Tow and site a recreational vehicle safely</w:t>
      </w:r>
    </w:p>
    <w:p w:rsidR="00000000" w:rsidRPr="009C3E22" w:rsidP="009C3E22">
      <w:pPr>
        <w:pStyle w:val="SuperHeading"/>
      </w:pPr>
    </w:p>
    <w:p w:rsidR="00000000" w:rsidRPr="009C3E22" w:rsidP="009C3E22">
      <w:pPr>
        <w:pStyle w:val="Heading1"/>
      </w:pPr>
      <w:bookmarkStart w:id="1" w:name="O_147531"/>
      <w:bookmarkEnd w:id="1"/>
      <w:r w:rsidRPr="009C3E22">
        <w:t>Modification History</w:t>
      </w:r>
    </w:p>
    <w:p w:rsidR="00000000" w:rsidRPr="009C3E22" w:rsidP="009C3E22">
      <w:pPr>
        <w:pStyle w:val="BodyText"/>
      </w:pPr>
      <w:r w:rsidRPr="009C3E22">
        <w:t>Not applicable.</w:t>
      </w: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2" w:name="O_147532"/>
      <w:bookmarkEnd w:id="2"/>
      <w:r w:rsidRPr="009C3E2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  <w:r w:rsidRPr="009C3E22">
              <w:t>This unit describes the performance outcomes, skills and knowledge required to safely tow and si</w:t>
            </w:r>
            <w:r w:rsidRPr="009C3E22">
              <w:t>te a recreational vehicle in off-road spaces.</w:t>
            </w:r>
          </w:p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This unit assumes the driver possesses a current driving licence. Driving must be carried out in compliance with the licence requirements and regulations of the relevant state or territory roads and traffic aut</w:t>
            </w:r>
            <w:r w:rsidRPr="009C3E22">
              <w:t>hority.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</w:p>
        </w:tc>
      </w:tr>
    </w:tbl>
    <w:p w:rsidR="00000000" w:rsidRPr="009C3E22" w:rsidP="009C3E22">
      <w:pPr>
        <w:pStyle w:val="BodyText"/>
      </w:pP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3" w:name="O_147533"/>
      <w:bookmarkEnd w:id="3"/>
      <w:r w:rsidRPr="009C3E2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  <w:r w:rsidRPr="009C3E22">
              <w:t xml:space="preserve">This unit applies to individuals whose job role involves towing and siting a recreational vehicle. This could include people who work in holiday </w:t>
            </w:r>
            <w:r w:rsidRPr="009C3E22">
              <w:t>parks or in the manufacture, service, repair or sale of recreational vehicles.</w:t>
            </w:r>
          </w:p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 xml:space="preserve">Recreational vehicles may include pop tops, expanda or slide out, full van, cross-country or an off road all-terrain caravans;  camper or tent trailers; five-wheelers; slide-on </w:t>
            </w:r>
            <w:r w:rsidRPr="009C3E22">
              <w:t>campers or campervans.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</w:p>
        </w:tc>
      </w:tr>
    </w:tbl>
    <w:p w:rsidR="00000000" w:rsidRPr="009C3E22" w:rsidP="009C3E22">
      <w:pPr>
        <w:pStyle w:val="BodyText"/>
      </w:pP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4" w:name="O_147534"/>
      <w:bookmarkEnd w:id="4"/>
      <w:r w:rsidRPr="009C3E22">
        <w:t>Licensing/Regulatory Information</w:t>
      </w:r>
    </w:p>
    <w:p w:rsidR="00000000" w:rsidRPr="009C3E22" w:rsidP="009C3E22">
      <w:pPr>
        <w:pStyle w:val="BodyText"/>
      </w:pPr>
      <w:r w:rsidRPr="009C3E22">
        <w:t>Not applicable.</w:t>
      </w: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5" w:name="O_147535"/>
      <w:bookmarkEnd w:id="5"/>
      <w:r w:rsidRPr="009C3E2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Nil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</w:p>
        </w:tc>
      </w:tr>
    </w:tbl>
    <w:p w:rsidR="00000000" w:rsidRPr="009C3E22" w:rsidP="009C3E22">
      <w:pPr>
        <w:pStyle w:val="BodyText"/>
      </w:pP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6" w:name="O_147536"/>
      <w:bookmarkEnd w:id="6"/>
      <w:r w:rsidRPr="009C3E2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This unit contains employability skills.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</w:p>
        </w:tc>
      </w:tr>
    </w:tbl>
    <w:p w:rsidR="00000000" w:rsidRPr="009C3E22" w:rsidP="009C3E22">
      <w:pPr>
        <w:pStyle w:val="BodyText"/>
      </w:pP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7" w:name="O_147537"/>
      <w:bookmarkEnd w:id="7"/>
      <w:r w:rsidRPr="009C3E2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  <w:r w:rsidRPr="009C3E22">
              <w:t>Performance criteria describe the require</w:t>
            </w:r>
            <w:r w:rsidRPr="009C3E22">
              <w:t xml:space="preserve">d performance needed to demonstrate achievement of the element. Where </w:t>
            </w:r>
            <w:r w:rsidRPr="009C3E22">
              <w:rPr>
                <w:rStyle w:val="BoldandItalics"/>
              </w:rPr>
              <w:t>bold italicised</w:t>
            </w:r>
            <w:r w:rsidRPr="009C3E22">
              <w:t xml:space="preserve"> text is used, further information is detailed in the required skills and knowledge and/or the range statement. Assessment of performance is to be consistent with the evid</w:t>
            </w:r>
            <w:r w:rsidRPr="009C3E22">
              <w:t>ence guide.</w:t>
            </w:r>
          </w:p>
        </w:tc>
      </w:tr>
    </w:tbl>
    <w:p w:rsidR="00000000" w:rsidRPr="009C3E22" w:rsidP="009C3E22">
      <w:pPr>
        <w:pStyle w:val="BodyText"/>
      </w:pP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8" w:name="O_147538"/>
      <w:bookmarkEnd w:id="8"/>
      <w:r w:rsidRPr="009C3E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List"/>
            </w:pPr>
            <w:r w:rsidRPr="009C3E22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rPr>
                <w:rStyle w:val="SpecialBold"/>
              </w:rPr>
              <w:t>PERFORMANCE CRITERIA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Prepare for towing of recreational vehicle.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Calculate the gross weight of the recreational vehicle and determine the aggregate mass.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Check and confirm the towing capacity of the towing vehicle and adhere to tow-bar capacity.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 xml:space="preserve">Attach the recreational vehicle to </w:t>
            </w:r>
            <w:r w:rsidRPr="009C3E22">
              <w:rPr>
                <w:rStyle w:val="BoldandItalics"/>
              </w:rPr>
              <w:t>towing vehicle</w:t>
            </w:r>
            <w:r w:rsidRPr="009C3E22">
              <w:t xml:space="preserve"> in accordance with manufacturer's and state or territory specifications, requirements and regulations.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1</w:t>
            </w:r>
            <w:r w:rsidRPr="009C3E22">
              <w:t>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 xml:space="preserve">Conduct </w:t>
            </w:r>
            <w:r w:rsidRPr="009C3E22">
              <w:rPr>
                <w:rStyle w:val="BoldandItalics"/>
              </w:rPr>
              <w:t>pre</w:t>
            </w:r>
            <w:r w:rsidRPr="009C3E22">
              <w:t>-</w:t>
            </w:r>
            <w:r w:rsidRPr="009C3E22">
              <w:rPr>
                <w:rStyle w:val="BoldandItalics"/>
              </w:rPr>
              <w:t>operational checks</w:t>
            </w:r>
            <w:r w:rsidRPr="009C3E22">
              <w:t xml:space="preserve"> on towing vehicle and recreational vehicle, taking account of all safety considerations.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Site and move recreational vehicle.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Safely manoeuvre recreational vehicle to required location.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 xml:space="preserve">Identify </w:t>
            </w:r>
            <w:r w:rsidRPr="009C3E22">
              <w:rPr>
                <w:rStyle w:val="BoldandItalics"/>
              </w:rPr>
              <w:t>obstacles or hazards</w:t>
            </w:r>
            <w:r w:rsidRPr="009C3E22">
              <w:t xml:space="preserve"> and remove or avoid as appropriate, ensuring effective communication with others.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2.3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Position recreational vehicle ensuring it is level and parallel and within reach of all required equipment by using stabilising fixtures.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List"/>
              <w:rPr>
                <w:lang w:val="en-NZ"/>
              </w:rPr>
            </w:pPr>
            <w:r w:rsidRPr="009C3E22">
              <w:t>2.4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List"/>
            </w:pPr>
            <w:r w:rsidRPr="009C3E22">
              <w:t>Move recreational vehicle from a site, disconnecting power heads, water pipes and electrical leads, ensuring stabilising fixtures are in position prior to commencing the tow.</w:t>
            </w:r>
          </w:p>
        </w:tc>
      </w:tr>
    </w:tbl>
    <w:p w:rsidR="00000000" w:rsidRPr="009C3E22" w:rsidP="009C3E22">
      <w:pPr>
        <w:pStyle w:val="BodyText"/>
      </w:pP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9" w:name="O_147539"/>
      <w:bookmarkEnd w:id="9"/>
      <w:r w:rsidRPr="009C3E2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REQUIRED SKILLS AND KNOWLEDGE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T</w:t>
            </w:r>
            <w:r w:rsidRPr="009C3E22">
              <w:t>his section describes the skills and knowledge required for this unit.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  <w:r w:rsidRPr="009C3E22">
              <w:t>The following skills must be assessed as part of this unit:</w:t>
            </w:r>
          </w:p>
          <w:p w:rsidR="00000000" w:rsidRPr="009C3E22" w:rsidP="009C3E22">
            <w:pPr>
              <w:pStyle w:val="ListBullet"/>
            </w:pPr>
            <w:r w:rsidRPr="009C3E22">
              <w:t>communication skills to advise others of safety issues associated with vehicle towing and siting</w:t>
            </w:r>
          </w:p>
          <w:p w:rsidR="00000000" w:rsidRPr="009C3E22" w:rsidP="009C3E22">
            <w:pPr>
              <w:pStyle w:val="ListBullet"/>
            </w:pPr>
            <w:r w:rsidRPr="009C3E22">
              <w:t>literacy skills to interpret regulations and requirements in relation to vehicle towing and siting</w:t>
            </w:r>
          </w:p>
          <w:p w:rsidR="00000000" w:rsidRPr="009C3E22" w:rsidP="009C3E22">
            <w:pPr>
              <w:pStyle w:val="ListBullet"/>
            </w:pPr>
            <w:r w:rsidRPr="009C3E22">
              <w:t>numeracy skills to make calculations required for towing and siting</w:t>
            </w:r>
          </w:p>
          <w:p w:rsidR="00000000" w:rsidP="009C3E22">
            <w:pPr>
              <w:pStyle w:val="ListBullet"/>
              <w:rPr>
                <w:lang w:val="en-NZ"/>
              </w:rPr>
            </w:pPr>
            <w:r w:rsidRPr="009C3E22">
              <w:t>technical skills to use towing, siting and other recreational vehicle equipment.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  <w:r w:rsidRPr="009C3E22">
              <w:t>The f</w:t>
            </w:r>
            <w:r w:rsidRPr="009C3E22">
              <w:t>ollowing knowledge must be assessed as part of this unit:</w:t>
            </w:r>
          </w:p>
          <w:p w:rsidR="00000000" w:rsidRPr="009C3E22" w:rsidP="009C3E22">
            <w:pPr>
              <w:pStyle w:val="ListBullet"/>
            </w:pPr>
            <w:r w:rsidRPr="009C3E22">
              <w:t>weight-to-vehicle towing ratios set by state and territory authorities and manufacturer requirements</w:t>
            </w:r>
          </w:p>
          <w:p w:rsidR="00000000" w:rsidRPr="009C3E22" w:rsidP="009C3E22">
            <w:pPr>
              <w:pStyle w:val="ListBullet"/>
            </w:pPr>
            <w:r w:rsidRPr="009C3E22">
              <w:t>pre-towing checking procedures</w:t>
            </w:r>
          </w:p>
          <w:p w:rsidR="00000000" w:rsidRPr="009C3E22" w:rsidP="009C3E22">
            <w:pPr>
              <w:pStyle w:val="ListBullet"/>
            </w:pPr>
            <w:r w:rsidRPr="009C3E22">
              <w:t>typical challenges associated with the towing and siting of recre</w:t>
            </w:r>
            <w:r w:rsidRPr="009C3E22">
              <w:t>ational vehicles, and ways to address these</w:t>
            </w:r>
          </w:p>
          <w:p w:rsidR="00000000" w:rsidRPr="009C3E22" w:rsidP="009C3E22">
            <w:pPr>
              <w:pStyle w:val="ListBullet"/>
            </w:pPr>
            <w:r w:rsidRPr="009C3E22">
              <w:t>general duty-of-care requirements.</w:t>
            </w:r>
          </w:p>
        </w:tc>
      </w:tr>
    </w:tbl>
    <w:p w:rsidR="009E65BF" w:rsidP="009C3E22">
      <w:pPr>
        <w:pStyle w:val="BodyText"/>
      </w:pPr>
    </w:p>
    <w:p w:rsidR="009E65BF" w:rsidP="009C3E22">
      <w:pPr>
        <w:pStyle w:val="BodyText"/>
      </w:pPr>
    </w:p>
    <w:p w:rsidR="00000000" w:rsidRPr="009C3E22" w:rsidP="009C3E22">
      <w:pPr>
        <w:pStyle w:val="Heading1"/>
      </w:pPr>
      <w:bookmarkStart w:id="10" w:name="O_147540"/>
      <w:bookmarkEnd w:id="10"/>
      <w:r w:rsidRPr="009C3E2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EVIDENCE GUIDE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The evidence guide provides advice on assessment and must be read in conjunction with the performance criteria,</w:t>
            </w:r>
            <w:r w:rsidRPr="009C3E22">
              <w:t xml:space="preserve"> required skills and knowledge, range statement and the Assessment Guidelines for the Training Package.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  <w:r w:rsidRPr="009C3E22">
              <w:t>Evidence of the following is essential:</w:t>
            </w:r>
          </w:p>
          <w:p w:rsidR="00000000" w:rsidRPr="009C3E22" w:rsidP="009C3E22">
            <w:pPr>
              <w:pStyle w:val="ListBullet"/>
            </w:pPr>
            <w:r w:rsidRPr="009C3E22">
              <w:t>safe manoeuvr</w:t>
            </w:r>
            <w:r w:rsidRPr="009C3E22">
              <w:t>ing, towing and siting of a range of different recreational vehicles according to regulatory requirements</w:t>
            </w:r>
          </w:p>
          <w:p w:rsidR="00000000" w:rsidP="009C3E22">
            <w:pPr>
              <w:pStyle w:val="ListBullet"/>
              <w:rPr>
                <w:lang w:val="en-NZ"/>
              </w:rPr>
            </w:pPr>
            <w:r w:rsidRPr="009C3E22">
              <w:t>applying OHS policies and procedures relevant to driving and towing a recreational vehicle.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  <w:r w:rsidRPr="009C3E22">
              <w:t>Assessment must ensure:</w:t>
            </w:r>
          </w:p>
          <w:p w:rsidR="00000000" w:rsidP="009C3E22">
            <w:pPr>
              <w:pStyle w:val="ListBullet"/>
              <w:rPr>
                <w:lang w:val="en-NZ"/>
              </w:rPr>
            </w:pPr>
            <w:r w:rsidRPr="009C3E22">
              <w:t>access to a range of different recreational vehicles and off road locations to tow and site recreational vehicles.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  <w:r w:rsidRPr="009C3E22">
              <w:t>A range of assessment methods should be used to assess practical skills and knowledge. The</w:t>
            </w:r>
            <w:r w:rsidRPr="009C3E22">
              <w:t xml:space="preserve"> following examples are appropriate for this unit: </w:t>
            </w:r>
          </w:p>
          <w:p w:rsidR="00000000" w:rsidRPr="009C3E22" w:rsidP="009C3E22">
            <w:pPr>
              <w:pStyle w:val="ListBullet"/>
            </w:pPr>
            <w:r w:rsidRPr="009C3E22">
              <w:t>direct observation of the candidate preparing and towing a recreational vehicle and manoeuvring it into a space</w:t>
            </w:r>
          </w:p>
          <w:p w:rsidR="00000000" w:rsidRPr="009C3E22" w:rsidP="009C3E22">
            <w:pPr>
              <w:pStyle w:val="ListBullet"/>
            </w:pPr>
            <w:r w:rsidRPr="009C3E22">
              <w:t xml:space="preserve">oral and written questions to test knowledge of relevant regulatory requirements </w:t>
            </w:r>
          </w:p>
          <w:p w:rsidR="00000000" w:rsidP="009C3E22">
            <w:pPr>
              <w:pStyle w:val="ListBullet"/>
              <w:rPr>
                <w:lang w:val="en-NZ"/>
              </w:rPr>
            </w:pPr>
            <w:r w:rsidRPr="009C3E22">
              <w:t>review of portfolios of evidence and third party workplace reports of the candidate's on-the-job performance.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Holistic assessment with other units relevant to the industry sector, workplace and job role is recommended.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Guidance information for assess</w:t>
            </w:r>
            <w:r w:rsidRPr="009C3E22">
              <w:rPr>
                <w:rStyle w:val="SpecialBold"/>
              </w:rPr>
              <w:t>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  <w:r w:rsidRPr="009C3E22">
              <w:t>Employability skills embedded in this unit should be assessed holistically in the context of the job role and with other relevant units that make up the skill set or qualification.</w:t>
            </w:r>
          </w:p>
        </w:tc>
      </w:tr>
    </w:tbl>
    <w:p w:rsidR="009E65BF" w:rsidP="009C3E22">
      <w:pPr>
        <w:pStyle w:val="BodyText"/>
      </w:pPr>
    </w:p>
    <w:p w:rsidR="009E65BF" w:rsidP="009C3E22">
      <w:pPr>
        <w:pStyle w:val="BodyText"/>
      </w:pPr>
    </w:p>
    <w:p w:rsidR="00000000" w:rsidRPr="009C3E22" w:rsidP="009C3E22">
      <w:pPr>
        <w:pStyle w:val="Heading1"/>
      </w:pPr>
      <w:bookmarkStart w:id="11" w:name="O_147541"/>
      <w:bookmarkEnd w:id="11"/>
      <w:r w:rsidRPr="009C3E2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RANGE STATEMENT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 xml:space="preserve">The range statement relates to the unit of competency as a whole. It allows for different work environments and situations that may affect performance. </w:t>
            </w:r>
            <w:r w:rsidRPr="009C3E22">
              <w:rPr>
                <w:rStyle w:val="BoldandItalics"/>
              </w:rPr>
              <w:t>Bold italicised</w:t>
            </w:r>
            <w:r w:rsidRPr="009C3E22">
              <w:t xml:space="preserve"> wording in the performance criteria is detailed below.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 xml:space="preserve">The </w:t>
            </w:r>
            <w:r w:rsidRPr="009C3E22">
              <w:rPr>
                <w:rStyle w:val="BoldandItalics"/>
              </w:rPr>
              <w:t>towing vehicle</w:t>
            </w:r>
            <w:r w:rsidRPr="009C3E22">
              <w:t xml:space="preserve"> may be: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ListBullet"/>
            </w:pPr>
            <w:r w:rsidRPr="009C3E22">
              <w:t>two wheel drive</w:t>
            </w:r>
          </w:p>
          <w:p w:rsidR="00000000" w:rsidRPr="009C3E22" w:rsidP="009C3E22">
            <w:pPr>
              <w:pStyle w:val="ListBullet"/>
            </w:pPr>
            <w:r w:rsidRPr="009C3E22">
              <w:t>four wheel drive</w:t>
            </w:r>
          </w:p>
          <w:p w:rsidR="00000000" w:rsidRPr="009C3E22" w:rsidP="009C3E22">
            <w:pPr>
              <w:pStyle w:val="ListBullet"/>
            </w:pPr>
            <w:r w:rsidRPr="009C3E22">
              <w:t>truck</w:t>
            </w:r>
          </w:p>
          <w:p w:rsidR="00000000" w:rsidRPr="009C3E22" w:rsidP="009C3E22">
            <w:pPr>
              <w:pStyle w:val="ListBullet"/>
            </w:pPr>
            <w:r w:rsidRPr="009C3E22">
              <w:t>van</w:t>
            </w:r>
          </w:p>
          <w:p w:rsidR="00000000" w:rsidRPr="009C3E22" w:rsidP="009C3E22">
            <w:pPr>
              <w:pStyle w:val="ListBullet"/>
            </w:pPr>
            <w:r w:rsidRPr="009C3E22">
              <w:t>specialised towing truck or unit</w:t>
            </w:r>
          </w:p>
          <w:p w:rsidR="00000000" w:rsidP="009C3E22">
            <w:pPr>
              <w:pStyle w:val="ListBullet"/>
              <w:rPr>
                <w:lang w:val="en-NZ"/>
              </w:rPr>
            </w:pPr>
            <w:r w:rsidRPr="009C3E22">
              <w:t>tractor.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BoldandItalics"/>
              </w:rPr>
              <w:t>Pre</w:t>
            </w:r>
            <w:r w:rsidRPr="009C3E22">
              <w:t>-</w:t>
            </w:r>
            <w:r w:rsidRPr="009C3E22">
              <w:rPr>
                <w:rStyle w:val="BoldandItalics"/>
              </w:rPr>
              <w:t>operational checks</w:t>
            </w:r>
            <w:r w:rsidRPr="009C3E22">
              <w:t xml:space="preserve"> on towing vehicle and recreational vehicle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ListBullet"/>
            </w:pPr>
            <w:r w:rsidRPr="009C3E22">
              <w:t>visual checking of vehicle</w:t>
            </w:r>
          </w:p>
          <w:p w:rsidR="00000000" w:rsidRPr="009C3E22" w:rsidP="009C3E22">
            <w:pPr>
              <w:pStyle w:val="ListBullet"/>
            </w:pPr>
            <w:r w:rsidRPr="009C3E22">
              <w:t>checking and topping up of fluid levels</w:t>
            </w:r>
          </w:p>
          <w:p w:rsidR="00000000" w:rsidRPr="009C3E22" w:rsidP="009C3E22">
            <w:pPr>
              <w:pStyle w:val="ListBullet"/>
            </w:pPr>
            <w:r w:rsidRPr="009C3E22">
              <w:t>checking of tyre pressures</w:t>
            </w:r>
          </w:p>
          <w:p w:rsidR="00000000" w:rsidRPr="009C3E22" w:rsidP="009C3E22">
            <w:pPr>
              <w:pStyle w:val="ListBullet"/>
            </w:pPr>
            <w:r w:rsidRPr="009C3E22">
              <w:t>checking of operation of vehicle lights and indicators</w:t>
            </w:r>
          </w:p>
          <w:p w:rsidR="00000000" w:rsidP="009C3E22">
            <w:pPr>
              <w:pStyle w:val="ListBullet"/>
              <w:rPr>
                <w:lang w:val="en-NZ"/>
              </w:rPr>
            </w:pPr>
            <w:r w:rsidRPr="009C3E22">
              <w:t>checking of brakes.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BoldandItalics"/>
              </w:rPr>
              <w:t>Obstacles or hazards</w:t>
            </w:r>
            <w:r w:rsidRPr="009C3E2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ListBullet"/>
            </w:pPr>
            <w:r w:rsidRPr="009C3E22">
              <w:t xml:space="preserve">steep inclines or sharp curves </w:t>
            </w:r>
          </w:p>
          <w:p w:rsidR="00000000" w:rsidRPr="009C3E22" w:rsidP="009C3E22">
            <w:pPr>
              <w:pStyle w:val="ListBullet"/>
            </w:pPr>
            <w:r w:rsidRPr="009C3E22">
              <w:t>uneven surfaces</w:t>
            </w:r>
          </w:p>
          <w:p w:rsidR="00000000" w:rsidRPr="009C3E22" w:rsidP="009C3E22">
            <w:pPr>
              <w:pStyle w:val="ListBullet"/>
            </w:pPr>
            <w:r w:rsidRPr="009C3E22">
              <w:t>oil, rocks, mud and water on road</w:t>
            </w:r>
          </w:p>
          <w:p w:rsidR="00000000" w:rsidRPr="009C3E22" w:rsidP="009C3E22">
            <w:pPr>
              <w:pStyle w:val="ListBullet"/>
            </w:pPr>
            <w:r w:rsidRPr="009C3E22">
              <w:t>animals and objects on road</w:t>
            </w:r>
          </w:p>
          <w:p w:rsidR="00000000" w:rsidRPr="009C3E22" w:rsidP="009C3E22">
            <w:pPr>
              <w:pStyle w:val="ListBullet"/>
            </w:pPr>
            <w:r w:rsidRPr="009C3E22">
              <w:t>pedestrians and children</w:t>
            </w:r>
          </w:p>
          <w:p w:rsidR="00000000" w:rsidRPr="009C3E22" w:rsidP="009C3E22">
            <w:pPr>
              <w:pStyle w:val="ListBullet"/>
            </w:pPr>
            <w:r w:rsidRPr="009C3E22">
              <w:t>trees and branches</w:t>
            </w:r>
          </w:p>
          <w:p w:rsidR="00000000" w:rsidRPr="009C3E22" w:rsidP="009C3E22">
            <w:pPr>
              <w:pStyle w:val="ListBullet"/>
            </w:pPr>
            <w:r w:rsidRPr="009C3E22">
              <w:t>other vehicles, recreational vehicles and tents.</w:t>
            </w:r>
          </w:p>
        </w:tc>
      </w:tr>
    </w:tbl>
    <w:p w:rsidR="009E65BF" w:rsidP="009C3E22">
      <w:pPr>
        <w:pStyle w:val="BodyText"/>
      </w:pPr>
    </w:p>
    <w:p w:rsidR="009E65BF" w:rsidP="009C3E22">
      <w:pPr>
        <w:pStyle w:val="BodyText"/>
      </w:pPr>
    </w:p>
    <w:p w:rsidR="00000000" w:rsidRPr="009C3E22" w:rsidP="009C3E22">
      <w:pPr>
        <w:pStyle w:val="Heading1"/>
      </w:pPr>
      <w:bookmarkStart w:id="12" w:name="O_147542"/>
      <w:bookmarkEnd w:id="12"/>
      <w:r w:rsidRPr="009C3E2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  <w:r w:rsidRPr="009C3E22">
              <w:t>Tourism</w:t>
            </w:r>
          </w:p>
        </w:tc>
      </w:tr>
    </w:tbl>
    <w:p w:rsidR="00000000" w:rsidRPr="009C3E22" w:rsidP="009C3E22">
      <w:pPr>
        <w:pStyle w:val="BodyText"/>
      </w:pP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13" w:name="O_163393"/>
      <w:bookmarkEnd w:id="13"/>
      <w:r w:rsidRPr="009C3E22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Holiday Parks and Resorts</w:t>
            </w:r>
          </w:p>
        </w:tc>
      </w:tr>
      <w:tr w:rsidTr="009E6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</w:p>
        </w:tc>
      </w:tr>
    </w:tbl>
    <w:p w:rsidR="00000000" w:rsidRPr="009C3E22" w:rsidP="009C3E22">
      <w:pPr>
        <w:pStyle w:val="BodyText"/>
      </w:pPr>
    </w:p>
    <w:p w:rsidR="00000000" w:rsidRPr="009C3E22" w:rsidP="009C3E22"/>
    <w:sectPr w:rsidSect="009C3E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E65BF" w:rsidP="009E65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5BF" w:rsidP="009C3E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E65BF" w:rsidP="009C3E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E65BF" w:rsidP="009C3E2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E65BF" w:rsidP="009E65B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5BF" w:rsidP="009C3E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SITTHPR303A Tow and site a recreational vehicle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E65BF" w:rsidP="009C3E2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204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423D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E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C3E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E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E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E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E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E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E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E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E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E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E22"/>
  </w:style>
  <w:style w:type="character" w:customStyle="1" w:styleId="Heading1Char">
    <w:name w:val="Heading 1 Char"/>
    <w:basedOn w:val="DefaultParagraphFont"/>
    <w:link w:val="Heading1"/>
    <w:rsid w:val="009C3E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E2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E2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C3E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E2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C3E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3E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3E22"/>
    <w:rPr>
      <w:b/>
      <w:spacing w:val="0"/>
    </w:rPr>
  </w:style>
  <w:style w:type="paragraph" w:styleId="Header">
    <w:name w:val="header"/>
    <w:basedOn w:val="Normal"/>
    <w:link w:val="HeaderChar"/>
    <w:rsid w:val="009C3E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E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C3E2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C3E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C3E2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C3E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E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E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E2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C3E2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C3E2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C3E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E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E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E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E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C3E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E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E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3E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E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E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E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3E2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3E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E2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C3E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E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E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E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E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E22"/>
    <w:rPr>
      <w:i/>
    </w:rPr>
  </w:style>
  <w:style w:type="paragraph" w:styleId="Caption">
    <w:name w:val="caption"/>
    <w:basedOn w:val="BodyText"/>
    <w:next w:val="Normal"/>
    <w:qFormat/>
    <w:rsid w:val="009C3E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E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E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E22"/>
  </w:style>
  <w:style w:type="paragraph" w:styleId="TableofFigures">
    <w:name w:val="table of figures"/>
    <w:basedOn w:val="Normal"/>
    <w:next w:val="Normal"/>
    <w:semiHidden/>
    <w:rsid w:val="009C3E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E22"/>
    <w:pPr>
      <w:numPr>
        <w:numId w:val="10"/>
      </w:numPr>
    </w:pPr>
  </w:style>
  <w:style w:type="character" w:customStyle="1" w:styleId="WingdingSymbols">
    <w:name w:val="Wingding Symbols"/>
    <w:rsid w:val="009C3E22"/>
    <w:rPr>
      <w:rFonts w:ascii="Wingdings" w:hAnsi="Wingdings"/>
    </w:rPr>
  </w:style>
  <w:style w:type="paragraph" w:customStyle="1" w:styleId="TableHeading">
    <w:name w:val="Table Heading"/>
    <w:basedOn w:val="HeadingBase"/>
    <w:rsid w:val="009C3E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E22"/>
    <w:rPr>
      <w:color w:val="0033CC"/>
      <w:u w:val="none"/>
    </w:rPr>
  </w:style>
  <w:style w:type="paragraph" w:customStyle="1" w:styleId="BodyTextRight">
    <w:name w:val="Body Text Right"/>
    <w:basedOn w:val="BodyText"/>
    <w:rsid w:val="009C3E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E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E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E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E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E2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C3E22"/>
    <w:rPr>
      <w:sz w:val="32"/>
    </w:rPr>
  </w:style>
  <w:style w:type="paragraph" w:customStyle="1" w:styleId="HeadingProcedure">
    <w:name w:val="Heading Procedure"/>
    <w:basedOn w:val="HeadingBase"/>
    <w:next w:val="Normal"/>
    <w:rsid w:val="009C3E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E22"/>
    <w:pPr>
      <w:spacing w:before="60" w:after="60"/>
    </w:pPr>
  </w:style>
  <w:style w:type="paragraph" w:styleId="ListContinue">
    <w:name w:val="List Continue"/>
    <w:basedOn w:val="List"/>
    <w:rsid w:val="009C3E22"/>
    <w:pPr>
      <w:ind w:firstLine="0"/>
    </w:pPr>
  </w:style>
  <w:style w:type="paragraph" w:customStyle="1" w:styleId="ListNote">
    <w:name w:val="List Note"/>
    <w:basedOn w:val="List"/>
    <w:rsid w:val="009C3E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E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E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E22"/>
    <w:rPr>
      <w:rFonts w:ascii="Courier New" w:hAnsi="Courier New"/>
    </w:rPr>
  </w:style>
  <w:style w:type="paragraph" w:customStyle="1" w:styleId="NoteBullet">
    <w:name w:val="Note Bullet"/>
    <w:basedOn w:val="Note"/>
    <w:rsid w:val="009C3E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E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E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E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E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3E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E2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C3E22"/>
    <w:rPr>
      <w:b/>
      <w:smallCaps/>
    </w:rPr>
  </w:style>
  <w:style w:type="paragraph" w:customStyle="1" w:styleId="TableListNumber">
    <w:name w:val="Table List Number"/>
    <w:basedOn w:val="ListNumber"/>
    <w:rsid w:val="009C3E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E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E22"/>
    <w:pPr>
      <w:numPr>
        <w:numId w:val="8"/>
      </w:numPr>
    </w:pPr>
  </w:style>
  <w:style w:type="paragraph" w:customStyle="1" w:styleId="ListAlpha2">
    <w:name w:val="List Alpha 2"/>
    <w:basedOn w:val="List2"/>
    <w:rsid w:val="009C3E22"/>
    <w:pPr>
      <w:numPr>
        <w:numId w:val="7"/>
      </w:numPr>
    </w:pPr>
  </w:style>
  <w:style w:type="paragraph" w:styleId="List2">
    <w:name w:val="List 2"/>
    <w:basedOn w:val="BodyText"/>
    <w:rsid w:val="009C3E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E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E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E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E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E22"/>
    <w:pPr>
      <w:numPr>
        <w:numId w:val="2"/>
      </w:numPr>
    </w:pPr>
  </w:style>
  <w:style w:type="paragraph" w:styleId="ListBullet5">
    <w:name w:val="List Bullet 5"/>
    <w:basedOn w:val="List5"/>
    <w:rsid w:val="009C3E22"/>
    <w:pPr>
      <w:numPr>
        <w:numId w:val="3"/>
      </w:numPr>
    </w:pPr>
  </w:style>
  <w:style w:type="paragraph" w:styleId="ListContinue2">
    <w:name w:val="List Continue 2"/>
    <w:basedOn w:val="List2"/>
    <w:rsid w:val="009C3E22"/>
    <w:pPr>
      <w:ind w:firstLine="0"/>
    </w:pPr>
  </w:style>
  <w:style w:type="paragraph" w:styleId="ListContinue3">
    <w:name w:val="List Continue 3"/>
    <w:basedOn w:val="List3"/>
    <w:rsid w:val="009C3E22"/>
    <w:pPr>
      <w:ind w:left="1021" w:firstLine="0"/>
    </w:pPr>
  </w:style>
  <w:style w:type="paragraph" w:styleId="ListContinue4">
    <w:name w:val="List Continue 4"/>
    <w:basedOn w:val="List4"/>
    <w:rsid w:val="009C3E22"/>
    <w:pPr>
      <w:ind w:firstLine="0"/>
    </w:pPr>
  </w:style>
  <w:style w:type="paragraph" w:styleId="ListContinue5">
    <w:name w:val="List Continue 5"/>
    <w:basedOn w:val="List5"/>
    <w:rsid w:val="009C3E22"/>
    <w:pPr>
      <w:ind w:firstLine="0"/>
    </w:pPr>
  </w:style>
  <w:style w:type="paragraph" w:styleId="ListNumber3">
    <w:name w:val="List Number 3"/>
    <w:basedOn w:val="List3"/>
    <w:rsid w:val="009C3E22"/>
    <w:pPr>
      <w:numPr>
        <w:numId w:val="4"/>
      </w:numPr>
    </w:pPr>
  </w:style>
  <w:style w:type="paragraph" w:styleId="ListNumber4">
    <w:name w:val="List Number 4"/>
    <w:basedOn w:val="List4"/>
    <w:rsid w:val="009C3E22"/>
    <w:pPr>
      <w:numPr>
        <w:numId w:val="5"/>
      </w:numPr>
    </w:pPr>
  </w:style>
  <w:style w:type="paragraph" w:styleId="ListNumber5">
    <w:name w:val="List Number 5"/>
    <w:basedOn w:val="List5"/>
    <w:rsid w:val="009C3E22"/>
    <w:pPr>
      <w:numPr>
        <w:numId w:val="6"/>
      </w:numPr>
    </w:pPr>
  </w:style>
  <w:style w:type="paragraph" w:styleId="BlockText">
    <w:name w:val="Block Text"/>
    <w:basedOn w:val="Normal"/>
    <w:rsid w:val="009C3E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E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E22"/>
    <w:rPr>
      <w:sz w:val="16"/>
      <w:vertAlign w:val="superscript"/>
    </w:rPr>
  </w:style>
  <w:style w:type="character" w:customStyle="1" w:styleId="Symbols">
    <w:name w:val="Symbols"/>
    <w:basedOn w:val="DefaultParagraphFont"/>
    <w:rsid w:val="009C3E22"/>
    <w:rPr>
      <w:rFonts w:ascii="Symbol" w:hAnsi="Symbol"/>
    </w:rPr>
  </w:style>
  <w:style w:type="character" w:customStyle="1" w:styleId="MenuOptions">
    <w:name w:val="Menu Options"/>
    <w:basedOn w:val="DefaultParagraphFont"/>
    <w:rsid w:val="009C3E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E22"/>
    <w:rPr>
      <w:b/>
    </w:rPr>
  </w:style>
  <w:style w:type="character" w:customStyle="1" w:styleId="Underlined">
    <w:name w:val="Underlined"/>
    <w:basedOn w:val="DefaultParagraphFont"/>
    <w:rsid w:val="009C3E22"/>
    <w:rPr>
      <w:u w:val="single"/>
    </w:rPr>
  </w:style>
  <w:style w:type="paragraph" w:customStyle="1" w:styleId="TableBodyTextRight">
    <w:name w:val="Table Body Text Right"/>
    <w:basedOn w:val="TableBodyText"/>
    <w:rsid w:val="009C3E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E22"/>
    <w:rPr>
      <w:sz w:val="18"/>
    </w:rPr>
  </w:style>
  <w:style w:type="paragraph" w:customStyle="1" w:styleId="BodySmallRight">
    <w:name w:val="Body Small Right"/>
    <w:basedOn w:val="BodyTextRight"/>
    <w:rsid w:val="009C3E22"/>
    <w:rPr>
      <w:sz w:val="18"/>
      <w:szCs w:val="18"/>
    </w:rPr>
  </w:style>
  <w:style w:type="paragraph" w:customStyle="1" w:styleId="MarginEdition">
    <w:name w:val="Margin Edition"/>
    <w:basedOn w:val="MarginNote"/>
    <w:rsid w:val="009C3E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E22"/>
    <w:rPr>
      <w:sz w:val="2"/>
      <w:szCs w:val="2"/>
    </w:rPr>
  </w:style>
  <w:style w:type="character" w:customStyle="1" w:styleId="Small">
    <w:name w:val="Small"/>
    <w:basedOn w:val="DefaultParagraphFont"/>
    <w:rsid w:val="009C3E22"/>
    <w:rPr>
      <w:sz w:val="16"/>
    </w:rPr>
  </w:style>
  <w:style w:type="paragraph" w:customStyle="1" w:styleId="WideTable">
    <w:name w:val="Wide Table"/>
    <w:basedOn w:val="Normal"/>
    <w:rsid w:val="009C3E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E22"/>
  </w:style>
  <w:style w:type="paragraph" w:styleId="Quote">
    <w:name w:val="Quote"/>
    <w:basedOn w:val="Heading1"/>
    <w:link w:val="QuoteChar"/>
    <w:qFormat/>
    <w:rsid w:val="009C3E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E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E22"/>
    <w:pPr>
      <w:pageBreakBefore/>
    </w:pPr>
  </w:style>
  <w:style w:type="paragraph" w:customStyle="1" w:styleId="Border">
    <w:name w:val="Border"/>
    <w:basedOn w:val="Normal"/>
    <w:qFormat/>
    <w:rsid w:val="009C3E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E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E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E2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C3E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E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E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E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E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E22"/>
    <w:rPr>
      <w:u w:val="single"/>
    </w:rPr>
  </w:style>
  <w:style w:type="paragraph" w:styleId="BalloonText">
    <w:name w:val="Balloon Text"/>
    <w:basedOn w:val="Normal"/>
    <w:link w:val="BalloonTextChar"/>
    <w:rsid w:val="009C3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E2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C3E2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E2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880</Words>
  <Characters>5288</Characters>
  <Application>Microsoft Office Word</Application>
  <DocSecurity>0</DocSecurity>
  <Lines>244</Lines>
  <Paragraphs>108</Paragraphs>
  <ScaleCrop>false</ScaleCrop>
  <Company>Author-it Software Corporation Ltd.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SITTHPR303A Tow and site a recreational vehicle safely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2012-05-26T10:26:00Z</dcterms:created>
  <dcterms:modified xsi:type="dcterms:W3CDTF">2012-05-26T10:26:00Z</dcterms:modified>
</cp:coreProperties>
</file>