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455" w:rsidP="00CB2455">
      <w:pPr>
        <w:pStyle w:val="Title"/>
      </w:pPr>
      <w:r>
        <w:fldChar w:fldCharType="begin"/>
      </w:r>
      <w:r>
        <w:instrText xml:space="preserve"> TITLE   \* MERGEFORMAT </w:instrText>
      </w:r>
      <w:r>
        <w:fldChar w:fldCharType="separate"/>
      </w:r>
      <w:r>
        <w:t>SITHGAM005A Develop and manage gaming activities</w:t>
      </w:r>
      <w:r>
        <w:fldChar w:fldCharType="end"/>
      </w:r>
    </w:p>
    <w:p w:rsidR="00CB2455" w:rsidP="00CB2455">
      <w:pPr>
        <w:pStyle w:val="Version"/>
        <w:sectPr w:rsidSect="003048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048F9" w:rsidP="003048F9">
      <w:pPr>
        <w:pStyle w:val="SuperHeading"/>
      </w:pPr>
      <w:r w:rsidRPr="003048F9">
        <w:t>SITHGAM005A Develop and manage gaming activities</w:t>
      </w:r>
    </w:p>
    <w:p w:rsidR="00000000" w:rsidRPr="003048F9" w:rsidP="003048F9">
      <w:pPr>
        <w:pStyle w:val="SuperHeading"/>
      </w:pPr>
    </w:p>
    <w:p w:rsidR="00000000" w:rsidRPr="003048F9" w:rsidP="003048F9">
      <w:pPr>
        <w:pStyle w:val="Heading1"/>
      </w:pPr>
      <w:bookmarkStart w:id="1" w:name="O_147039"/>
      <w:bookmarkEnd w:id="1"/>
      <w:r w:rsidRPr="003048F9">
        <w:t>Modification History</w:t>
      </w:r>
    </w:p>
    <w:p w:rsidR="00000000" w:rsidRPr="003048F9" w:rsidP="003048F9">
      <w:pPr>
        <w:pStyle w:val="BodyText"/>
      </w:pPr>
      <w:r w:rsidRPr="003048F9">
        <w:t>Not applicable.</w:t>
      </w:r>
    </w:p>
    <w:p w:rsidR="00000000" w:rsidRPr="003048F9" w:rsidP="003048F9">
      <w:pPr>
        <w:pStyle w:val="AllowPageBreak"/>
      </w:pPr>
    </w:p>
    <w:p w:rsidR="00000000" w:rsidRPr="003048F9" w:rsidP="003048F9">
      <w:pPr>
        <w:pStyle w:val="Heading1"/>
      </w:pPr>
      <w:bookmarkStart w:id="2" w:name="O_147040"/>
      <w:bookmarkEnd w:id="2"/>
      <w:r w:rsidRPr="003048F9">
        <w:t>Unit Descriptor</w:t>
      </w:r>
    </w:p>
    <w:tbl>
      <w:tblPr>
        <w:tblW w:w="0" w:type="auto"/>
        <w:tblLayout w:type="fixed"/>
        <w:tblCellMar>
          <w:left w:w="62" w:type="dxa"/>
          <w:right w:w="62" w:type="dxa"/>
        </w:tblCellMar>
        <w:tblLook w:val="0000"/>
      </w:tblPr>
      <w:tblGrid>
        <w:gridCol w:w="2836"/>
        <w:gridCol w:w="6344"/>
      </w:tblGrid>
      <w:tr w:rsidTr="00CB245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3048F9" w:rsidP="003048F9">
            <w:pPr>
              <w:pStyle w:val="BodyText"/>
            </w:pPr>
            <w:r w:rsidRPr="003048F9">
              <w:t>This unit describes the performance outcomes, skills and knowledge required to develop and manage ga</w:t>
            </w:r>
            <w:r w:rsidRPr="003048F9">
              <w:t>ming activities in a range of hospitality establishments. It deals with all types of gaming activities, including gaming machines, TAB and Keno. It does not cover table games.</w:t>
            </w:r>
          </w:p>
          <w:p w:rsidR="00000000" w:rsidP="003048F9">
            <w:pPr>
              <w:pStyle w:val="BodyText"/>
              <w:rPr>
                <w:lang w:val="en-NZ"/>
              </w:rPr>
            </w:pPr>
            <w:r w:rsidRPr="003048F9">
              <w:t>In some States and Territories, responsible conduct of gambling or gaming is a r</w:t>
            </w:r>
            <w:r w:rsidRPr="003048F9">
              <w:t>equirement of state and territory legislation. This is addressed in SITHGAM006A Provide responsible gambling services.</w:t>
            </w:r>
          </w:p>
        </w:tc>
      </w:tr>
      <w:tr w:rsidTr="00CB245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048F9" w:rsidP="003048F9">
            <w:pPr>
              <w:pStyle w:val="BodyText"/>
            </w:pPr>
          </w:p>
        </w:tc>
      </w:tr>
    </w:tbl>
    <w:p w:rsidR="00000000" w:rsidRPr="003048F9" w:rsidP="003048F9">
      <w:pPr>
        <w:pStyle w:val="BodyText"/>
      </w:pPr>
    </w:p>
    <w:p w:rsidR="00000000" w:rsidRPr="003048F9" w:rsidP="003048F9">
      <w:pPr>
        <w:pStyle w:val="AllowPageBreak"/>
      </w:pPr>
    </w:p>
    <w:p w:rsidR="00000000" w:rsidRPr="003048F9" w:rsidP="003048F9">
      <w:pPr>
        <w:pStyle w:val="Heading1"/>
      </w:pPr>
      <w:bookmarkStart w:id="3" w:name="O_147041"/>
      <w:bookmarkEnd w:id="3"/>
      <w:r w:rsidRPr="003048F9">
        <w:t>Application of the Unit</w:t>
      </w:r>
    </w:p>
    <w:tbl>
      <w:tblPr>
        <w:tblW w:w="0" w:type="auto"/>
        <w:tblLayout w:type="fixed"/>
        <w:tblCellMar>
          <w:left w:w="62" w:type="dxa"/>
          <w:right w:w="62" w:type="dxa"/>
        </w:tblCellMar>
        <w:tblLook w:val="0000"/>
      </w:tblPr>
      <w:tblGrid>
        <w:gridCol w:w="2836"/>
        <w:gridCol w:w="6344"/>
      </w:tblGrid>
      <w:tr w:rsidTr="00CB245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t>This unit applies to all sectors of the hospitality industry where gaming activities are carried out, including clubs, hotels, pubs and casinos. Gaming supervisors or managers generally undertake this role.</w:t>
            </w:r>
          </w:p>
        </w:tc>
      </w:tr>
      <w:tr w:rsidTr="00CB245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048F9" w:rsidP="003048F9">
            <w:pPr>
              <w:pStyle w:val="BodyText"/>
            </w:pPr>
          </w:p>
        </w:tc>
      </w:tr>
    </w:tbl>
    <w:p w:rsidR="00000000" w:rsidRPr="003048F9" w:rsidP="003048F9">
      <w:pPr>
        <w:pStyle w:val="BodyText"/>
      </w:pPr>
    </w:p>
    <w:p w:rsidR="00000000" w:rsidRPr="003048F9" w:rsidP="003048F9">
      <w:pPr>
        <w:pStyle w:val="AllowPageBreak"/>
      </w:pPr>
    </w:p>
    <w:p w:rsidR="00000000" w:rsidRPr="003048F9" w:rsidP="003048F9">
      <w:pPr>
        <w:pStyle w:val="Heading1"/>
      </w:pPr>
      <w:bookmarkStart w:id="4" w:name="O_147042"/>
      <w:bookmarkEnd w:id="4"/>
      <w:r w:rsidRPr="003048F9">
        <w:t>Licensing/Regulatory Inform</w:t>
      </w:r>
      <w:r w:rsidRPr="003048F9">
        <w:t>ation</w:t>
      </w:r>
    </w:p>
    <w:p w:rsidR="00000000" w:rsidRPr="003048F9" w:rsidP="003048F9">
      <w:pPr>
        <w:pStyle w:val="BodyText"/>
      </w:pPr>
      <w:r w:rsidRPr="003048F9">
        <w:t>Not applicable.</w:t>
      </w:r>
    </w:p>
    <w:p w:rsidR="00000000" w:rsidRPr="003048F9" w:rsidP="003048F9">
      <w:pPr>
        <w:pStyle w:val="AllowPageBreak"/>
      </w:pPr>
    </w:p>
    <w:p w:rsidR="00000000" w:rsidRPr="003048F9" w:rsidP="003048F9">
      <w:pPr>
        <w:pStyle w:val="Heading1"/>
      </w:pPr>
      <w:bookmarkStart w:id="5" w:name="O_147044"/>
      <w:bookmarkEnd w:id="5"/>
      <w:r w:rsidRPr="003048F9">
        <w:t>Pre-Requisites</w:t>
      </w:r>
    </w:p>
    <w:tbl>
      <w:tblPr>
        <w:tblW w:w="0" w:type="auto"/>
        <w:tblLayout w:type="fixed"/>
        <w:tblCellMar>
          <w:left w:w="62" w:type="dxa"/>
          <w:right w:w="62" w:type="dxa"/>
        </w:tblCellMar>
        <w:tblLook w:val="0000"/>
      </w:tblPr>
      <w:tblGrid>
        <w:gridCol w:w="2836"/>
        <w:gridCol w:w="6344"/>
      </w:tblGrid>
      <w:tr w:rsidTr="00CB245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3048F9" w:rsidP="003048F9">
            <w:pPr>
              <w:pStyle w:val="BodyText"/>
            </w:pPr>
            <w:r w:rsidRPr="003048F9">
              <w:t>This unit must be assessed after the following prerequisite units:</w:t>
            </w:r>
          </w:p>
          <w:p w:rsidR="00000000" w:rsidRPr="003048F9" w:rsidP="003048F9">
            <w:pPr>
              <w:pStyle w:val="BodyText"/>
            </w:pPr>
            <w:r w:rsidRPr="003048F9">
              <w:t>SITHGAM001A Attend gaming machines</w:t>
            </w:r>
          </w:p>
          <w:p w:rsidR="00000000" w:rsidRPr="003048F9" w:rsidP="003048F9">
            <w:pPr>
              <w:pStyle w:val="BodyText"/>
            </w:pPr>
            <w:r w:rsidRPr="003048F9">
              <w:t>SITHGAM004B Analyse and report on gaming machine data</w:t>
            </w:r>
          </w:p>
          <w:p w:rsidR="00000000" w:rsidP="003048F9">
            <w:pPr>
              <w:pStyle w:val="BodyText"/>
              <w:rPr>
                <w:lang w:val="en-NZ"/>
              </w:rPr>
            </w:pPr>
            <w:r w:rsidRPr="003048F9">
              <w:t>SITXFIN001A Process financial transactions.</w:t>
            </w:r>
          </w:p>
        </w:tc>
      </w:tr>
      <w:tr w:rsidTr="00CB245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048F9" w:rsidP="003048F9">
            <w:pPr>
              <w:pStyle w:val="BodyText"/>
            </w:pPr>
          </w:p>
        </w:tc>
      </w:tr>
    </w:tbl>
    <w:p w:rsidR="00000000" w:rsidRPr="003048F9" w:rsidP="003048F9">
      <w:pPr>
        <w:pStyle w:val="BodyText"/>
      </w:pPr>
    </w:p>
    <w:p w:rsidR="00000000" w:rsidRPr="003048F9" w:rsidP="003048F9">
      <w:pPr>
        <w:pStyle w:val="AllowPageBreak"/>
      </w:pPr>
    </w:p>
    <w:p w:rsidR="00000000" w:rsidRPr="003048F9" w:rsidP="003048F9">
      <w:pPr>
        <w:pStyle w:val="Heading1"/>
      </w:pPr>
      <w:bookmarkStart w:id="6" w:name="O_147043"/>
      <w:bookmarkEnd w:id="6"/>
      <w:r w:rsidRPr="003048F9">
        <w:t>Employability Skills Information</w:t>
      </w:r>
    </w:p>
    <w:tbl>
      <w:tblPr>
        <w:tblW w:w="0" w:type="auto"/>
        <w:tblLayout w:type="fixed"/>
        <w:tblCellMar>
          <w:left w:w="62" w:type="dxa"/>
          <w:right w:w="62" w:type="dxa"/>
        </w:tblCellMar>
        <w:tblLook w:val="0000"/>
      </w:tblPr>
      <w:tblGrid>
        <w:gridCol w:w="2836"/>
        <w:gridCol w:w="6344"/>
      </w:tblGrid>
      <w:tr w:rsidTr="00CB245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CB245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048F9" w:rsidP="003048F9">
            <w:pPr>
              <w:pStyle w:val="BodyText"/>
            </w:pPr>
          </w:p>
        </w:tc>
      </w:tr>
    </w:tbl>
    <w:p w:rsidR="00000000" w:rsidRPr="003048F9" w:rsidP="003048F9">
      <w:pPr>
        <w:pStyle w:val="BodyText"/>
      </w:pPr>
    </w:p>
    <w:p w:rsidR="00000000" w:rsidRPr="003048F9" w:rsidP="003048F9">
      <w:pPr>
        <w:pStyle w:val="AllowPageBreak"/>
      </w:pPr>
    </w:p>
    <w:p w:rsidR="00000000" w:rsidRPr="003048F9" w:rsidP="003048F9">
      <w:pPr>
        <w:pStyle w:val="Heading1"/>
      </w:pPr>
      <w:bookmarkStart w:id="7" w:name="O_147045"/>
      <w:bookmarkEnd w:id="7"/>
      <w:r w:rsidRPr="003048F9">
        <w:t>Elements and Performance Criteria Pre-Content</w:t>
      </w:r>
    </w:p>
    <w:tbl>
      <w:tblPr>
        <w:tblW w:w="0" w:type="auto"/>
        <w:tblLayout w:type="fixed"/>
        <w:tblCellMar>
          <w:left w:w="62" w:type="dxa"/>
          <w:right w:w="62" w:type="dxa"/>
        </w:tblCellMar>
        <w:tblLook w:val="0000"/>
      </w:tblPr>
      <w:tblGrid>
        <w:gridCol w:w="2836"/>
        <w:gridCol w:w="6344"/>
      </w:tblGrid>
      <w:tr w:rsidTr="00CB245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048F9" w:rsidP="003048F9">
            <w:pPr>
              <w:pStyle w:val="BodyText"/>
            </w:pPr>
            <w:r w:rsidRPr="003048F9">
              <w:t xml:space="preserve">Performance criteria describe the required performance needed to demonstrate achievement of the element. Where </w:t>
            </w:r>
            <w:r w:rsidRPr="003048F9">
              <w:rPr>
                <w:rStyle w:val="BoldandItalics"/>
              </w:rPr>
              <w:t>bold itali</w:t>
            </w:r>
            <w:r w:rsidRPr="003048F9">
              <w:rPr>
                <w:rStyle w:val="BoldandItalics"/>
              </w:rPr>
              <w:t>cised</w:t>
            </w:r>
            <w:r w:rsidRPr="003048F9">
              <w:t xml:space="preserve"> text is used, further information is detailed in the required skills and knowledge and/or the range statement. Assessment of performance is to be consistent with the evidence guide.</w:t>
            </w:r>
          </w:p>
        </w:tc>
      </w:tr>
    </w:tbl>
    <w:p w:rsidR="00000000" w:rsidRPr="003048F9" w:rsidP="003048F9">
      <w:pPr>
        <w:pStyle w:val="BodyText"/>
      </w:pPr>
    </w:p>
    <w:p w:rsidR="00000000" w:rsidRPr="003048F9" w:rsidP="003048F9">
      <w:pPr>
        <w:pStyle w:val="AllowPageBreak"/>
      </w:pPr>
    </w:p>
    <w:p w:rsidR="00000000" w:rsidRPr="003048F9" w:rsidP="003048F9">
      <w:pPr>
        <w:pStyle w:val="Heading1"/>
      </w:pPr>
      <w:bookmarkStart w:id="8" w:name="O_147046"/>
      <w:bookmarkEnd w:id="8"/>
      <w:r w:rsidRPr="003048F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B245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048F9" w:rsidP="003048F9">
            <w:pPr>
              <w:pStyle w:val="List"/>
            </w:pPr>
            <w:r w:rsidRPr="003048F9">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rPr>
                <w:rStyle w:val="SpecialBold"/>
              </w:rPr>
              <w:t>PERFORMANCE CRITERIA</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1</w:t>
            </w:r>
          </w:p>
        </w:tc>
        <w:tc>
          <w:tcPr>
            <w:tcW w:w="2410" w:type="dxa"/>
            <w:vMerge w:val="restart"/>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Develop gaming activities.</w:t>
            </w: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1.1</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Research gaming requirements taking into consideration customer preferences, budget, location and needs of the organisation.</w:t>
            </w:r>
          </w:p>
        </w:tc>
      </w:tr>
      <w:tr w:rsidTr="00CB245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3048F9" w:rsidP="003048F9">
            <w:pPr>
              <w:pStyle w:val="List"/>
            </w:pPr>
            <w:r w:rsidRPr="003048F9">
              <w:t>1.2</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rPr>
                <w:rStyle w:val="BoldandItalics"/>
              </w:rPr>
              <w:t>Source</w:t>
            </w:r>
            <w:r w:rsidRPr="003048F9">
              <w:t xml:space="preserve">, identify and access information on potential </w:t>
            </w:r>
            <w:r w:rsidRPr="003048F9">
              <w:rPr>
                <w:rStyle w:val="BoldandItalics"/>
              </w:rPr>
              <w:t>gaming activities</w:t>
            </w:r>
            <w:r w:rsidRPr="003048F9">
              <w:t xml:space="preserve"> and products.</w:t>
            </w:r>
          </w:p>
        </w:tc>
      </w:tr>
      <w:tr w:rsidTr="00CB245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1.3</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Select gaming products that are suitable for the venue and purpose.</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1.4</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 xml:space="preserve">Select and establish policies, </w:t>
            </w:r>
            <w:r w:rsidRPr="003048F9">
              <w:rPr>
                <w:rStyle w:val="BoldandItalics"/>
              </w:rPr>
              <w:t>systems</w:t>
            </w:r>
            <w:r w:rsidRPr="003048F9">
              <w:t xml:space="preserve"> and procedures regarding the operation of selected gaming activities and monitor their impl</w:t>
            </w:r>
            <w:r w:rsidRPr="003048F9">
              <w:t>ementation according to enterprise, venue policy and legislative requirements.</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1.5</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Investigate relevant computer applications for gaming and set up and implement appropriate systems and records.</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1.6</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Research, plan and set up data systems for safety, security and accounting purposes and put monitoring procedures in place.</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1.7</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 xml:space="preserve">Establish resource requirements, including staffing, </w:t>
            </w:r>
            <w:r w:rsidRPr="003048F9">
              <w:rPr>
                <w:rStyle w:val="BoldandItalics"/>
              </w:rPr>
              <w:t>furniture</w:t>
            </w:r>
            <w:r w:rsidRPr="003048F9">
              <w:t xml:space="preserve">, </w:t>
            </w:r>
            <w:r w:rsidRPr="003048F9">
              <w:rPr>
                <w:rStyle w:val="BoldandItalics"/>
              </w:rPr>
              <w:t>equipment</w:t>
            </w:r>
            <w:r w:rsidRPr="003048F9">
              <w:t xml:space="preserve">, </w:t>
            </w:r>
            <w:r w:rsidRPr="003048F9">
              <w:rPr>
                <w:rStyle w:val="BoldandItalics"/>
              </w:rPr>
              <w:t>fittings</w:t>
            </w:r>
            <w:r w:rsidRPr="003048F9">
              <w:t xml:space="preserve"> and training.</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2</w:t>
            </w:r>
          </w:p>
        </w:tc>
        <w:tc>
          <w:tcPr>
            <w:tcW w:w="2410" w:type="dxa"/>
            <w:vMerge w:val="restart"/>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Develop and maintai</w:t>
            </w:r>
            <w:r w:rsidRPr="003048F9">
              <w:t>n a gaming venue.</w:t>
            </w: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2.1</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Design an overall plan for the gaming floor according to venue capability and restrictions.</w:t>
            </w:r>
          </w:p>
        </w:tc>
      </w:tr>
      <w:tr w:rsidTr="00CB245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2.2</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Analyse and select appropriate furniture, machines, equipment and fittings.</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2.3</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Analyse appropriate systems where required.</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w:t>
            </w:r>
          </w:p>
        </w:tc>
        <w:tc>
          <w:tcPr>
            <w:tcW w:w="2410"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2.4</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Plan pre-installation, including staffing and training, and location and operation of equipment and service design.</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2.5</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Negotiate terms for appropriate equipment and fittings to achieve agreed budget and requirements.</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3048F9" w:rsidP="003048F9">
            <w:pPr>
              <w:pStyle w:val="List"/>
            </w:pPr>
            <w:r w:rsidRPr="003048F9">
              <w:t>2.6</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rPr>
                <w:rStyle w:val="BoldandItalics"/>
              </w:rPr>
              <w:t>Procure and install</w:t>
            </w:r>
            <w:r w:rsidRPr="003048F9">
              <w:t xml:space="preserve"> furnitur</w:t>
            </w:r>
            <w:r w:rsidRPr="003048F9">
              <w:t>e, equipment and fittings.</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2.7</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Check and monitor the gaming location for effective and efficient operation and modify if required.</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3</w:t>
            </w:r>
          </w:p>
        </w:tc>
        <w:tc>
          <w:tcPr>
            <w:tcW w:w="2410"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Monitor gaming activities.</w:t>
            </w: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3.1</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Summarise and analyse gaming data and prepare recommendations.</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3.2</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Develop reports on gaming activities and submit them to appropriate personnel to achieve desired results.</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3.3</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Analyse problems in gaming operations and develop strategies to rectify them.</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3.4</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Match data against key performance indicat</w:t>
            </w:r>
            <w:r w:rsidRPr="003048F9">
              <w:t>ors and benchmarks.</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3.5</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Implement changes in gaming operations to achieve enhanced performance.</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4</w:t>
            </w:r>
          </w:p>
        </w:tc>
        <w:tc>
          <w:tcPr>
            <w:tcW w:w="2410"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Develop promotional activities for gaming.</w:t>
            </w: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4.1</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 xml:space="preserve">Conduct research to determine </w:t>
            </w:r>
            <w:r w:rsidRPr="003048F9">
              <w:rPr>
                <w:rStyle w:val="BoldandItalics"/>
              </w:rPr>
              <w:t>promotional activities</w:t>
            </w:r>
            <w:r w:rsidRPr="003048F9">
              <w:t xml:space="preserve"> suitable for the location.</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3048F9" w:rsidP="003048F9">
            <w:pPr>
              <w:pStyle w:val="List"/>
            </w:pPr>
            <w:r w:rsidRPr="003048F9">
              <w:t>4.2</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rPr>
                <w:rStyle w:val="BoldandItalics"/>
              </w:rPr>
              <w:t>Formulate specific promotional strategies</w:t>
            </w:r>
            <w:r w:rsidRPr="003048F9">
              <w:t xml:space="preserve"> for gaming.</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4.3</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Develop appropriate action plans and evaluation mechanisms for promotional activities.</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5</w:t>
            </w:r>
          </w:p>
        </w:tc>
        <w:tc>
          <w:tcPr>
            <w:tcW w:w="2410" w:type="dxa"/>
            <w:vMerge w:val="restart"/>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Organise and monitor security for gaming location.</w:t>
            </w: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5.1</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Develop, implement and monitor security polic</w:t>
            </w:r>
            <w:r w:rsidRPr="003048F9">
              <w:t>ies and procedures specific to gaming activities.</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048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5.2</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 xml:space="preserve">Ensure that </w:t>
            </w:r>
            <w:r w:rsidRPr="003048F9">
              <w:rPr>
                <w:rStyle w:val="BoldandItalics"/>
              </w:rPr>
              <w:t>security policies and procedures</w:t>
            </w:r>
            <w:r w:rsidRPr="003048F9">
              <w:t xml:space="preserve"> adhere to legislative requirements, and confidentiality and privacy provisions.</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5.3</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Ensure that appropriate security personnel are employed and trained.</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6</w:t>
            </w:r>
          </w:p>
        </w:tc>
        <w:tc>
          <w:tcPr>
            <w:tcW w:w="2410" w:type="dxa"/>
            <w:vMerge w:val="restart"/>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Ensure compliance with enterprise policy, legal obligations and codes of practice for a gaming location.</w:t>
            </w: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6.1</w:t>
            </w:r>
          </w:p>
        </w:tc>
        <w:tc>
          <w:tcPr>
            <w:tcW w:w="577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Identify relevant legal obligations and requirements in respect to gaming activities and gaming locations and ensure compliance.</w:t>
            </w:r>
          </w:p>
        </w:tc>
      </w:tr>
      <w:tr w:rsidTr="00CB24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048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048F9">
            <w:pPr>
              <w:pStyle w:val="List"/>
              <w:rPr>
                <w:lang w:val="en-NZ"/>
              </w:rPr>
            </w:pPr>
            <w:r w:rsidRPr="003048F9">
              <w:t>6.2</w:t>
            </w:r>
          </w:p>
        </w:tc>
        <w:tc>
          <w:tcPr>
            <w:tcW w:w="5777" w:type="dxa"/>
            <w:tcBorders>
              <w:top w:val="nil"/>
              <w:left w:val="nil"/>
              <w:bottom w:val="nil"/>
              <w:right w:val="nil"/>
            </w:tcBorders>
            <w:tcMar>
              <w:top w:w="0" w:type="dxa"/>
              <w:left w:w="62" w:type="dxa"/>
              <w:bottom w:w="0" w:type="dxa"/>
              <w:right w:w="62" w:type="dxa"/>
            </w:tcMar>
          </w:tcPr>
          <w:p w:rsidR="00000000" w:rsidRPr="003048F9" w:rsidP="003048F9">
            <w:pPr>
              <w:pStyle w:val="List"/>
            </w:pPr>
            <w:r w:rsidRPr="003048F9">
              <w:t xml:space="preserve">Ensure that relevant </w:t>
            </w:r>
            <w:r w:rsidRPr="003048F9">
              <w:rPr>
                <w:rStyle w:val="BoldandItalics"/>
              </w:rPr>
              <w:t>information and signage</w:t>
            </w:r>
            <w:r w:rsidRPr="003048F9">
              <w:t xml:space="preserve"> on enterprise </w:t>
            </w:r>
            <w:r w:rsidRPr="003048F9">
              <w:t>gaming activities and responsible gambling policies are available for customers and employees.</w:t>
            </w:r>
          </w:p>
        </w:tc>
      </w:tr>
    </w:tbl>
    <w:p w:rsidR="00000000" w:rsidRPr="003048F9" w:rsidP="003048F9">
      <w:pPr>
        <w:pStyle w:val="BodyText"/>
      </w:pPr>
    </w:p>
    <w:p w:rsidR="00000000" w:rsidRPr="003048F9" w:rsidP="003048F9">
      <w:pPr>
        <w:pStyle w:val="AllowPageBreak"/>
      </w:pPr>
    </w:p>
    <w:p w:rsidR="00000000" w:rsidRPr="003048F9" w:rsidP="003048F9">
      <w:pPr>
        <w:pStyle w:val="Heading1"/>
      </w:pPr>
      <w:bookmarkStart w:id="9" w:name="O_147047"/>
      <w:bookmarkEnd w:id="9"/>
      <w:r w:rsidRPr="003048F9">
        <w:t>Required Skills and Knowledge</w:t>
      </w:r>
    </w:p>
    <w:tbl>
      <w:tblPr>
        <w:tblW w:w="0" w:type="auto"/>
        <w:tblLayout w:type="fixed"/>
        <w:tblCellMar>
          <w:left w:w="62" w:type="dxa"/>
          <w:right w:w="62" w:type="dxa"/>
        </w:tblCellMar>
        <w:tblLook w:val="0000"/>
      </w:tblPr>
      <w:tblGrid>
        <w:gridCol w:w="9180"/>
      </w:tblGrid>
      <w:tr w:rsidTr="00CB245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rPr>
                <w:rStyle w:val="SpecialBold"/>
              </w:rPr>
              <w:t>REQUIRED SKILLS AND KNOWLEDGE</w:t>
            </w:r>
          </w:p>
        </w:tc>
      </w:tr>
      <w:tr w:rsidTr="00CB245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t>This section describes the essential skills and knowledge and their level, requir</w:t>
            </w:r>
            <w:r w:rsidRPr="003048F9">
              <w:t>ed for this unit.</w:t>
            </w:r>
          </w:p>
        </w:tc>
      </w:tr>
      <w:tr w:rsidTr="00CB245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048F9" w:rsidP="003048F9">
            <w:pPr>
              <w:pStyle w:val="BodyText"/>
            </w:pPr>
            <w:r w:rsidRPr="003048F9">
              <w:t>The following skills must be assessed as part of this unit:</w:t>
            </w:r>
          </w:p>
          <w:p w:rsidR="00000000" w:rsidRPr="003048F9" w:rsidP="003048F9">
            <w:pPr>
              <w:pStyle w:val="ListBullet"/>
            </w:pPr>
            <w:r w:rsidRPr="003048F9">
              <w:t>management skills, including:</w:t>
            </w:r>
          </w:p>
          <w:p w:rsidR="00000000" w:rsidRPr="003048F9" w:rsidP="003048F9">
            <w:pPr>
              <w:pStyle w:val="ListBullet2"/>
            </w:pPr>
            <w:r w:rsidRPr="003048F9">
              <w:t>time management</w:t>
            </w:r>
          </w:p>
          <w:p w:rsidR="00000000" w:rsidRPr="003048F9" w:rsidP="003048F9">
            <w:pPr>
              <w:pStyle w:val="ListBullet2"/>
            </w:pPr>
            <w:r w:rsidRPr="003048F9">
              <w:t>communication and negotiation skills</w:t>
            </w:r>
          </w:p>
          <w:p w:rsidR="00000000" w:rsidRPr="003048F9" w:rsidP="003048F9">
            <w:pPr>
              <w:pStyle w:val="ListBullet2"/>
            </w:pPr>
            <w:r w:rsidRPr="003048F9">
              <w:t>staff management</w:t>
            </w:r>
          </w:p>
          <w:p w:rsidR="00000000" w:rsidRPr="003048F9" w:rsidP="003048F9">
            <w:pPr>
              <w:pStyle w:val="ListBullet"/>
            </w:pPr>
            <w:r w:rsidRPr="003048F9">
              <w:t>problem-solving skills to deal with discrepancies in accounts and cash balance, and issues or breaches in security</w:t>
            </w:r>
          </w:p>
          <w:p w:rsidR="00000000" w:rsidRPr="003048F9" w:rsidP="003048F9">
            <w:pPr>
              <w:pStyle w:val="ListBullet"/>
            </w:pPr>
            <w:r w:rsidRPr="003048F9">
              <w:t>literacy skills to research information on gaming activities and security issues</w:t>
            </w:r>
          </w:p>
          <w:p w:rsidR="00000000" w:rsidRPr="003048F9" w:rsidP="003048F9">
            <w:pPr>
              <w:pStyle w:val="ListBullet"/>
            </w:pPr>
            <w:r w:rsidRPr="003048F9">
              <w:t>writing skills to write promotional texts</w:t>
            </w:r>
          </w:p>
          <w:p w:rsidR="00000000" w:rsidP="003048F9">
            <w:pPr>
              <w:pStyle w:val="ListBullet"/>
              <w:rPr>
                <w:lang w:val="en-NZ"/>
              </w:rPr>
            </w:pPr>
            <w:r w:rsidRPr="003048F9">
              <w:t>numeracy skills to</w:t>
            </w:r>
            <w:r w:rsidRPr="003048F9">
              <w:t xml:space="preserve"> calculate return on gaming activities and understand probability theory.</w:t>
            </w:r>
          </w:p>
        </w:tc>
      </w:tr>
      <w:tr w:rsidTr="00CB245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048F9" w:rsidP="003048F9">
            <w:pPr>
              <w:pStyle w:val="BodyText"/>
            </w:pPr>
            <w:r w:rsidRPr="003048F9">
              <w:t>The following knowledge must be assessed as part of this unit:</w:t>
            </w:r>
          </w:p>
          <w:p w:rsidR="00000000" w:rsidRPr="003048F9" w:rsidP="003048F9">
            <w:pPr>
              <w:pStyle w:val="BodyText"/>
            </w:pPr>
            <w:r w:rsidRPr="003048F9">
              <w:t>current gaming environment and market in which the enterprise operates</w:t>
            </w:r>
          </w:p>
          <w:p w:rsidR="00000000" w:rsidRPr="003048F9" w:rsidP="003048F9">
            <w:pPr>
              <w:pStyle w:val="BodyText"/>
            </w:pPr>
            <w:r w:rsidRPr="003048F9">
              <w:t>sources of information on gaming products</w:t>
            </w:r>
          </w:p>
          <w:p w:rsidR="00000000" w:rsidRPr="003048F9" w:rsidP="003048F9">
            <w:pPr>
              <w:pStyle w:val="BodyText"/>
            </w:pPr>
            <w:r w:rsidRPr="003048F9">
              <w:t>current gaming technology and systems</w:t>
            </w:r>
          </w:p>
          <w:p w:rsidR="00000000" w:rsidRPr="003048F9" w:rsidP="003048F9">
            <w:pPr>
              <w:pStyle w:val="BodyText"/>
            </w:pPr>
            <w:r w:rsidRPr="003048F9">
              <w:t>gaming psychology in relation to the development, promotion and management of gaming activities</w:t>
            </w:r>
          </w:p>
          <w:p w:rsidR="00000000" w:rsidRPr="003048F9" w:rsidP="003048F9">
            <w:pPr>
              <w:pStyle w:val="BodyText"/>
            </w:pPr>
            <w:r w:rsidRPr="003048F9">
              <w:t>ethics of gaming related to the operation of a gaming venue, including duty of care</w:t>
            </w:r>
          </w:p>
          <w:p w:rsidR="00000000" w:rsidRPr="003048F9" w:rsidP="003048F9">
            <w:pPr>
              <w:pStyle w:val="BodyText"/>
            </w:pPr>
            <w:r w:rsidRPr="003048F9">
              <w:t>typical gaming reporting formats and p</w:t>
            </w:r>
            <w:r w:rsidRPr="003048F9">
              <w:t>rocedures</w:t>
            </w:r>
          </w:p>
          <w:p w:rsidR="00000000" w:rsidRPr="003048F9" w:rsidP="003048F9">
            <w:pPr>
              <w:pStyle w:val="BodyText"/>
            </w:pPr>
            <w:r w:rsidRPr="003048F9">
              <w:t>gaming and probability theory as it relates to the operation of a gaming venue</w:t>
            </w:r>
          </w:p>
          <w:p w:rsidR="00000000" w:rsidRPr="003048F9" w:rsidP="003048F9">
            <w:pPr>
              <w:pStyle w:val="BodyText"/>
            </w:pPr>
            <w:r w:rsidRPr="003048F9">
              <w:t>purpose and requirements of:</w:t>
            </w:r>
          </w:p>
          <w:p w:rsidR="00000000" w:rsidRPr="003048F9" w:rsidP="003048F9">
            <w:pPr>
              <w:pStyle w:val="BodyText"/>
            </w:pPr>
            <w:r w:rsidRPr="003048F9">
              <w:t>federal, and state or territory legislation relating to gaming</w:t>
            </w:r>
          </w:p>
          <w:p w:rsidR="00000000" w:rsidRPr="003048F9" w:rsidP="003048F9">
            <w:pPr>
              <w:pStyle w:val="BodyText"/>
            </w:pPr>
            <w:r w:rsidRPr="003048F9">
              <w:t>relevant codes of conduct in relation to gaming and betting and responsible</w:t>
            </w:r>
            <w:r w:rsidRPr="003048F9">
              <w:t xml:space="preserve"> conduct of gambling</w:t>
            </w:r>
          </w:p>
          <w:p w:rsidR="00000000" w:rsidRPr="003048F9" w:rsidP="003048F9">
            <w:pPr>
              <w:pStyle w:val="BodyText"/>
            </w:pPr>
            <w:r w:rsidRPr="003048F9">
              <w:t>roles and requirements of other authorities in relation to gaming</w:t>
            </w:r>
          </w:p>
          <w:p w:rsidR="00000000" w:rsidRPr="003048F9" w:rsidP="003048F9">
            <w:pPr>
              <w:pStyle w:val="BodyText"/>
            </w:pPr>
            <w:r w:rsidRPr="003048F9">
              <w:t>taxation structures for gaming activities.</w:t>
            </w:r>
          </w:p>
        </w:tc>
      </w:tr>
    </w:tbl>
    <w:p w:rsidR="00CB2455" w:rsidP="003048F9">
      <w:pPr>
        <w:pStyle w:val="BodyText"/>
      </w:pPr>
    </w:p>
    <w:p w:rsidR="00CB2455" w:rsidP="003048F9">
      <w:pPr>
        <w:pStyle w:val="BodyText"/>
      </w:pPr>
    </w:p>
    <w:p w:rsidR="00000000" w:rsidRPr="003048F9" w:rsidP="003048F9">
      <w:pPr>
        <w:pStyle w:val="Heading1"/>
      </w:pPr>
      <w:bookmarkStart w:id="10" w:name="O_147048"/>
      <w:bookmarkEnd w:id="10"/>
      <w:r w:rsidRPr="003048F9">
        <w:t>Evidence Guide</w:t>
      </w:r>
    </w:p>
    <w:tbl>
      <w:tblPr>
        <w:tblW w:w="0" w:type="auto"/>
        <w:tblLayout w:type="fixed"/>
        <w:tblCellMar>
          <w:left w:w="62" w:type="dxa"/>
          <w:right w:w="62" w:type="dxa"/>
        </w:tblCellMar>
        <w:tblLook w:val="0000"/>
      </w:tblPr>
      <w:tblGrid>
        <w:gridCol w:w="3345"/>
        <w:gridCol w:w="5835"/>
      </w:tblGrid>
      <w:tr w:rsidTr="00CB245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rPr>
                <w:rStyle w:val="SpecialBold"/>
              </w:rPr>
              <w:t>EVIDENCE GUIDE</w:t>
            </w:r>
          </w:p>
        </w:tc>
      </w:tr>
      <w:tr w:rsidTr="00CB245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t>The evidence guide provides advice on assessment and must be read in conjunction with the performance criteria, required skills and knowledge, the range statement and the Assessment Guidelines for this Training Package.</w:t>
            </w: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rPr>
                <w:rStyle w:val="SpecialBold"/>
              </w:rPr>
              <w:t>Critical aspects for assessment</w:t>
            </w:r>
            <w:r w:rsidRPr="003048F9">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3048F9" w:rsidP="003048F9">
            <w:pPr>
              <w:pStyle w:val="BodyText"/>
            </w:pPr>
            <w:r w:rsidRPr="003048F9">
              <w:t>Evidence of the following is essential:</w:t>
            </w:r>
          </w:p>
          <w:p w:rsidR="00000000" w:rsidRPr="003048F9" w:rsidP="003048F9">
            <w:pPr>
              <w:pStyle w:val="ListBullet"/>
            </w:pPr>
            <w:r w:rsidRPr="003048F9">
              <w:t>project or work activities that allow the candidate to plan furniture, equipment and fittings for a specific gaming location</w:t>
            </w:r>
          </w:p>
          <w:p w:rsidR="00000000" w:rsidRPr="003048F9" w:rsidP="003048F9">
            <w:pPr>
              <w:pStyle w:val="ListBullet"/>
            </w:pPr>
            <w:r w:rsidRPr="003048F9">
              <w:t>project or work activities conducted over a period of time so that the candidate can meet the monitoring and implementation aspects of the unit</w:t>
            </w:r>
          </w:p>
          <w:p w:rsidR="00000000" w:rsidRPr="003048F9" w:rsidP="003048F9">
            <w:pPr>
              <w:pStyle w:val="ListBullet"/>
            </w:pPr>
            <w:r w:rsidRPr="003048F9">
              <w:t>comprehensive knowledge of gaming products and associated promotional and operational strategies</w:t>
            </w:r>
          </w:p>
          <w:p w:rsidR="00000000" w:rsidP="003048F9">
            <w:pPr>
              <w:pStyle w:val="ListBullet"/>
              <w:rPr>
                <w:lang w:val="en-NZ"/>
              </w:rPr>
            </w:pPr>
            <w:r w:rsidRPr="003048F9">
              <w:t>knowledge of cu</w:t>
            </w:r>
            <w:r w:rsidRPr="003048F9">
              <w:t>rrent gaming legislation and regulations.</w:t>
            </w: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rPr>
                <w:rStyle w:val="SpecialBold"/>
              </w:rPr>
              <w:t>Context of and specific resources for assessment</w:t>
            </w:r>
            <w:r w:rsidRPr="003048F9">
              <w:t xml:space="preserve"> </w:t>
            </w:r>
          </w:p>
        </w:tc>
        <w:tc>
          <w:tcPr>
            <w:tcW w:w="583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t>Assessment must ensure interaction with suppliers and promoters of gaming products.</w:t>
            </w: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rPr>
                <w:rStyle w:val="SpecialBold"/>
              </w:rPr>
              <w:t>Methods of assessment</w:t>
            </w:r>
            <w:r w:rsidRPr="003048F9">
              <w:t xml:space="preserve"> </w:t>
            </w:r>
          </w:p>
        </w:tc>
        <w:tc>
          <w:tcPr>
            <w:tcW w:w="5835" w:type="dxa"/>
            <w:vMerge w:val="restart"/>
            <w:tcBorders>
              <w:top w:val="nil"/>
              <w:left w:val="nil"/>
              <w:bottom w:val="nil"/>
              <w:right w:val="nil"/>
            </w:tcBorders>
            <w:tcMar>
              <w:top w:w="0" w:type="dxa"/>
              <w:left w:w="62" w:type="dxa"/>
              <w:bottom w:w="0" w:type="dxa"/>
              <w:right w:w="62" w:type="dxa"/>
            </w:tcMar>
          </w:tcPr>
          <w:p w:rsidR="00000000" w:rsidRPr="003048F9" w:rsidP="003048F9">
            <w:pPr>
              <w:pStyle w:val="BodyText"/>
            </w:pPr>
            <w:r w:rsidRPr="003048F9">
              <w:t xml:space="preserve">A range of assessment methods should be used to assess practical skills and knowledge. The following examples are appropriate for this unit: </w:t>
            </w:r>
          </w:p>
          <w:p w:rsidR="00000000" w:rsidRPr="003048F9" w:rsidP="003048F9">
            <w:pPr>
              <w:pStyle w:val="ListBullet"/>
            </w:pPr>
            <w:r w:rsidRPr="003048F9">
              <w:t>evaluation of plans and promotional strategies developed by the candidate for a particular gaming location</w:t>
            </w:r>
          </w:p>
          <w:p w:rsidR="00000000" w:rsidRPr="003048F9" w:rsidP="003048F9">
            <w:pPr>
              <w:pStyle w:val="ListBullet"/>
            </w:pPr>
            <w:r w:rsidRPr="003048F9">
              <w:t>review of promotional materials and strategies developed by the candidate</w:t>
            </w:r>
          </w:p>
          <w:p w:rsidR="00000000" w:rsidRPr="003048F9" w:rsidP="003048F9">
            <w:pPr>
              <w:pStyle w:val="ListBullet"/>
            </w:pPr>
            <w:r w:rsidRPr="003048F9">
              <w:t>case studies to assess ability to apply knowledge to the development and management of gaming activities for specific workplace situations</w:t>
            </w:r>
          </w:p>
          <w:p w:rsidR="00000000" w:rsidRPr="003048F9" w:rsidP="003048F9">
            <w:pPr>
              <w:pStyle w:val="ListBullet"/>
            </w:pPr>
            <w:r w:rsidRPr="003048F9">
              <w:t>review of portfolios of evidence and third-</w:t>
            </w:r>
            <w:r w:rsidRPr="003048F9">
              <w:t>party workplace reports of on-the-job performance by the candidate.</w:t>
            </w:r>
          </w:p>
          <w:p w:rsidR="00000000" w:rsidRPr="003048F9" w:rsidP="003048F9">
            <w:pPr>
              <w:pStyle w:val="BodyText"/>
            </w:pPr>
            <w:r w:rsidRPr="003048F9">
              <w:t>Holistic assessment with other units relevant to the industry sector, workplace and job role is recommended, for example:</w:t>
            </w:r>
          </w:p>
          <w:p w:rsidR="00000000" w:rsidRPr="003048F9" w:rsidP="003048F9">
            <w:pPr>
              <w:pStyle w:val="BodyText"/>
            </w:pPr>
            <w:r w:rsidRPr="003048F9">
              <w:t>SITXGLC001A Develop and update legal knowledge required for busine</w:t>
            </w:r>
            <w:r w:rsidRPr="003048F9">
              <w:t>ss compliance.</w:t>
            </w:r>
          </w:p>
          <w:p w:rsidR="00000000" w:rsidP="003048F9">
            <w:pPr>
              <w:pStyle w:val="BodyText"/>
              <w:rPr>
                <w:lang w:val="en-NZ"/>
              </w:rPr>
            </w:pPr>
            <w:r w:rsidRPr="003048F9">
              <w:t>(Please note that SITXGLC001A must be contextualised to gaming and the particular sector when used in conjunction with SITHGAM005A and other gaming units of competency.)</w:t>
            </w: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vMerge/>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3048F9" w:rsidP="003048F9">
            <w:pPr>
              <w:pStyle w:val="BodyText"/>
            </w:pPr>
            <w:r w:rsidRPr="003048F9">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3048F9" w:rsidP="003048F9">
            <w:pPr>
              <w:pStyle w:val="BodyText"/>
            </w:pPr>
            <w:r w:rsidRPr="003048F9">
              <w:t>Emp</w:t>
            </w:r>
            <w:r w:rsidRPr="003048F9">
              <w:t>loyability skills embedded in this unit should be assessed holistically with other relevant units that make up the skill set or qualification and in the context of the job role.</w:t>
            </w:r>
          </w:p>
        </w:tc>
      </w:tr>
    </w:tbl>
    <w:p w:rsidR="00CB2455" w:rsidP="003048F9">
      <w:pPr>
        <w:pStyle w:val="BodyText"/>
      </w:pPr>
    </w:p>
    <w:p w:rsidR="00CB2455" w:rsidP="003048F9">
      <w:pPr>
        <w:pStyle w:val="BodyText"/>
      </w:pPr>
    </w:p>
    <w:p w:rsidR="00000000" w:rsidRPr="003048F9" w:rsidP="003048F9">
      <w:pPr>
        <w:pStyle w:val="Heading1"/>
      </w:pPr>
      <w:bookmarkStart w:id="11" w:name="O_147049"/>
      <w:bookmarkEnd w:id="11"/>
      <w:r w:rsidRPr="003048F9">
        <w:t>Range Statement</w:t>
      </w:r>
    </w:p>
    <w:tbl>
      <w:tblPr>
        <w:tblW w:w="0" w:type="auto"/>
        <w:tblLayout w:type="fixed"/>
        <w:tblCellMar>
          <w:left w:w="62" w:type="dxa"/>
          <w:right w:w="62" w:type="dxa"/>
        </w:tblCellMar>
        <w:tblLook w:val="0000"/>
      </w:tblPr>
      <w:tblGrid>
        <w:gridCol w:w="3345"/>
        <w:gridCol w:w="5835"/>
      </w:tblGrid>
      <w:tr w:rsidTr="00CB245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rPr>
                <w:rStyle w:val="SpecialBold"/>
              </w:rPr>
              <w:t>RANGE STATEMENT</w:t>
            </w:r>
          </w:p>
        </w:tc>
      </w:tr>
      <w:tr w:rsidTr="00CB245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t>The range statement relates to the unit of competency as a whole. It allows for different work environments and situations that may affect performance. Bold italicised wording in the performance criteria is detailed below.</w:t>
            </w: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rPr>
                <w:rStyle w:val="BoldandItalics"/>
              </w:rPr>
              <w:t>Sources</w:t>
            </w:r>
            <w:r w:rsidRPr="003048F9">
              <w:t xml:space="preserve"> of information on ga</w:t>
            </w:r>
            <w:r w:rsidRPr="003048F9">
              <w:t>ming activities and products may include:</w:t>
            </w:r>
          </w:p>
        </w:tc>
        <w:tc>
          <w:tcPr>
            <w:tcW w:w="5835" w:type="dxa"/>
            <w:tcBorders>
              <w:top w:val="nil"/>
              <w:left w:val="nil"/>
              <w:bottom w:val="nil"/>
              <w:right w:val="nil"/>
            </w:tcBorders>
            <w:tcMar>
              <w:top w:w="0" w:type="dxa"/>
              <w:left w:w="62" w:type="dxa"/>
              <w:bottom w:w="0" w:type="dxa"/>
              <w:right w:w="62" w:type="dxa"/>
            </w:tcMar>
          </w:tcPr>
          <w:p w:rsidR="00000000" w:rsidRPr="003048F9" w:rsidP="003048F9">
            <w:pPr>
              <w:pStyle w:val="ListBullet"/>
            </w:pPr>
            <w:r w:rsidRPr="003048F9">
              <w:t>media</w:t>
            </w:r>
          </w:p>
          <w:p w:rsidR="00000000" w:rsidRPr="003048F9" w:rsidP="003048F9">
            <w:pPr>
              <w:pStyle w:val="ListBullet"/>
            </w:pPr>
            <w:r w:rsidRPr="003048F9">
              <w:t>product brochures</w:t>
            </w:r>
          </w:p>
          <w:p w:rsidR="00000000" w:rsidRPr="003048F9" w:rsidP="003048F9">
            <w:pPr>
              <w:pStyle w:val="ListBullet"/>
            </w:pPr>
            <w:r w:rsidRPr="003048F9">
              <w:t>computer data, including internet</w:t>
            </w:r>
          </w:p>
          <w:p w:rsidR="00000000" w:rsidRPr="003048F9" w:rsidP="003048F9">
            <w:pPr>
              <w:pStyle w:val="ListBullet"/>
            </w:pPr>
            <w:r w:rsidRPr="003048F9">
              <w:t>personal observations and experience</w:t>
            </w:r>
          </w:p>
          <w:p w:rsidR="00000000" w:rsidP="003048F9">
            <w:pPr>
              <w:pStyle w:val="ListBullet"/>
              <w:rPr>
                <w:lang w:val="en-NZ"/>
              </w:rPr>
            </w:pPr>
            <w:r w:rsidRPr="003048F9">
              <w:t>regulatory authorities.</w:t>
            </w:r>
          </w:p>
        </w:tc>
      </w:tr>
      <w:tr w:rsidTr="00CB245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rPr>
                <w:rStyle w:val="BoldandItalics"/>
              </w:rPr>
              <w:t>Gaming activities</w:t>
            </w:r>
            <w:r w:rsidRPr="003048F9">
              <w:t xml:space="preserve"> and systems do not include table games, but do include:</w:t>
            </w:r>
          </w:p>
        </w:tc>
        <w:tc>
          <w:tcPr>
            <w:tcW w:w="5835" w:type="dxa"/>
            <w:tcBorders>
              <w:top w:val="nil"/>
              <w:left w:val="nil"/>
              <w:bottom w:val="nil"/>
              <w:right w:val="nil"/>
            </w:tcBorders>
            <w:tcMar>
              <w:top w:w="0" w:type="dxa"/>
              <w:left w:w="62" w:type="dxa"/>
              <w:bottom w:w="0" w:type="dxa"/>
              <w:right w:w="62" w:type="dxa"/>
            </w:tcMar>
          </w:tcPr>
          <w:p w:rsidR="00000000" w:rsidRPr="003048F9" w:rsidP="003048F9">
            <w:pPr>
              <w:pStyle w:val="ListBullet"/>
            </w:pPr>
            <w:r w:rsidRPr="003048F9">
              <w:t>Keno</w:t>
            </w:r>
          </w:p>
          <w:p w:rsidR="00000000" w:rsidRPr="003048F9" w:rsidP="003048F9">
            <w:pPr>
              <w:pStyle w:val="ListBullet"/>
            </w:pPr>
            <w:r w:rsidRPr="003048F9">
              <w:t>Totalisator Agency Board (TAB)</w:t>
            </w:r>
          </w:p>
          <w:p w:rsidR="00000000" w:rsidRPr="003048F9" w:rsidP="003048F9">
            <w:pPr>
              <w:pStyle w:val="ListBullet"/>
            </w:pPr>
            <w:r w:rsidRPr="003048F9">
              <w:t>electronic gaming machines</w:t>
            </w:r>
          </w:p>
          <w:p w:rsidR="00000000" w:rsidRPr="003048F9" w:rsidP="003048F9">
            <w:pPr>
              <w:pStyle w:val="ListBullet"/>
            </w:pPr>
            <w:r w:rsidRPr="003048F9">
              <w:t>multi-terminal gaming machines (MTGMs)</w:t>
            </w:r>
          </w:p>
          <w:p w:rsidR="00000000" w:rsidRPr="003048F9" w:rsidP="003048F9">
            <w:pPr>
              <w:pStyle w:val="ListBullet"/>
            </w:pPr>
            <w:r w:rsidRPr="003048F9">
              <w:t>linked progressive jackpot systems</w:t>
            </w:r>
          </w:p>
          <w:p w:rsidR="00000000" w:rsidRPr="003048F9" w:rsidP="003048F9">
            <w:pPr>
              <w:pStyle w:val="ListBullet"/>
            </w:pPr>
            <w:r w:rsidRPr="003048F9">
              <w:t>internet gaming</w:t>
            </w:r>
          </w:p>
          <w:p w:rsidR="00000000" w:rsidP="003048F9">
            <w:pPr>
              <w:pStyle w:val="ListBullet"/>
              <w:rPr>
                <w:lang w:val="en-NZ"/>
              </w:rPr>
            </w:pPr>
            <w:r w:rsidRPr="003048F9">
              <w:t>sports betting.</w:t>
            </w: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rPr>
                <w:rStyle w:val="BoldandItalics"/>
              </w:rPr>
              <w:t>Systems</w:t>
            </w:r>
            <w:r w:rsidRPr="003048F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048F9" w:rsidP="003048F9">
            <w:pPr>
              <w:pStyle w:val="ListBullet"/>
            </w:pPr>
            <w:r w:rsidRPr="003048F9">
              <w:t>linked progressive jackpot systems, including random and combination-specific jackpots</w:t>
            </w:r>
          </w:p>
          <w:p w:rsidR="00000000" w:rsidRPr="003048F9" w:rsidP="003048F9">
            <w:pPr>
              <w:pStyle w:val="ListBullet"/>
            </w:pPr>
            <w:r w:rsidRPr="003048F9">
              <w:t>cashcades</w:t>
            </w:r>
          </w:p>
          <w:p w:rsidR="00000000" w:rsidRPr="003048F9" w:rsidP="003048F9">
            <w:pPr>
              <w:pStyle w:val="ListBullet"/>
            </w:pPr>
            <w:r w:rsidRPr="003048F9">
              <w:t>central monitoring</w:t>
            </w:r>
          </w:p>
          <w:p w:rsidR="00000000" w:rsidRPr="003048F9" w:rsidP="003048F9">
            <w:pPr>
              <w:pStyle w:val="ListBullet"/>
            </w:pPr>
            <w:r w:rsidRPr="003048F9">
              <w:t>data retrieval and promotion systems</w:t>
            </w:r>
          </w:p>
          <w:p w:rsidR="00000000" w:rsidRPr="003048F9" w:rsidP="003048F9">
            <w:pPr>
              <w:pStyle w:val="ListBullet"/>
            </w:pPr>
            <w:r w:rsidRPr="003048F9">
              <w:t>membership reward systems</w:t>
            </w:r>
          </w:p>
          <w:p w:rsidR="00000000" w:rsidP="003048F9">
            <w:pPr>
              <w:pStyle w:val="ListBullet"/>
              <w:rPr>
                <w:lang w:val="en-NZ"/>
              </w:rPr>
            </w:pPr>
            <w:r w:rsidRPr="003048F9">
              <w:t>communication.</w:t>
            </w: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rPr>
                <w:rStyle w:val="BoldandItalics"/>
              </w:rPr>
              <w:t>Furniture</w:t>
            </w:r>
            <w:r w:rsidRPr="003048F9">
              <w:t xml:space="preserve">, </w:t>
            </w:r>
            <w:r w:rsidRPr="003048F9">
              <w:rPr>
                <w:rStyle w:val="BoldandItalics"/>
              </w:rPr>
              <w:t>equipment and fittings</w:t>
            </w:r>
            <w:r w:rsidRPr="003048F9">
              <w:t xml:space="preserve"> for a gaming location ma</w:t>
            </w:r>
            <w:r w:rsidRPr="003048F9">
              <w:t>y include:</w:t>
            </w:r>
          </w:p>
        </w:tc>
        <w:tc>
          <w:tcPr>
            <w:tcW w:w="5835" w:type="dxa"/>
            <w:tcBorders>
              <w:top w:val="nil"/>
              <w:left w:val="nil"/>
              <w:bottom w:val="nil"/>
              <w:right w:val="nil"/>
            </w:tcBorders>
            <w:tcMar>
              <w:top w:w="0" w:type="dxa"/>
              <w:left w:w="62" w:type="dxa"/>
              <w:bottom w:w="0" w:type="dxa"/>
              <w:right w:w="62" w:type="dxa"/>
            </w:tcMar>
          </w:tcPr>
          <w:p w:rsidR="00000000" w:rsidRPr="003048F9" w:rsidP="003048F9">
            <w:pPr>
              <w:pStyle w:val="ListBullet"/>
            </w:pPr>
            <w:r w:rsidRPr="003048F9">
              <w:t>power</w:t>
            </w:r>
          </w:p>
          <w:p w:rsidR="00000000" w:rsidRPr="003048F9" w:rsidP="003048F9">
            <w:pPr>
              <w:pStyle w:val="ListBullet"/>
            </w:pPr>
            <w:r w:rsidRPr="003048F9">
              <w:t>cabling</w:t>
            </w:r>
          </w:p>
          <w:p w:rsidR="00000000" w:rsidRPr="003048F9" w:rsidP="003048F9">
            <w:pPr>
              <w:pStyle w:val="ListBullet"/>
            </w:pPr>
            <w:r w:rsidRPr="003048F9">
              <w:t>security systems</w:t>
            </w:r>
          </w:p>
          <w:p w:rsidR="00000000" w:rsidRPr="003048F9" w:rsidP="003048F9">
            <w:pPr>
              <w:pStyle w:val="ListBullet"/>
            </w:pPr>
            <w:r w:rsidRPr="003048F9">
              <w:t>lighting and signage</w:t>
            </w:r>
          </w:p>
          <w:p w:rsidR="00000000" w:rsidRPr="003048F9" w:rsidP="003048F9">
            <w:pPr>
              <w:pStyle w:val="ListBullet"/>
            </w:pPr>
            <w:r w:rsidRPr="003048F9">
              <w:t>change machines</w:t>
            </w:r>
          </w:p>
          <w:p w:rsidR="00000000" w:rsidRPr="003048F9" w:rsidP="003048F9">
            <w:pPr>
              <w:pStyle w:val="ListBullet"/>
            </w:pPr>
            <w:r w:rsidRPr="003048F9">
              <w:t>seating</w:t>
            </w:r>
          </w:p>
          <w:p w:rsidR="00000000" w:rsidP="003048F9">
            <w:pPr>
              <w:pStyle w:val="ListBullet"/>
              <w:rPr>
                <w:lang w:val="en-NZ"/>
              </w:rPr>
            </w:pPr>
            <w:r w:rsidRPr="003048F9">
              <w:t>consideration of player comfort and services, such as accessibility to information and assistance.</w:t>
            </w: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rPr>
                <w:rStyle w:val="BoldandItalics"/>
              </w:rPr>
              <w:t>Procure and install</w:t>
            </w:r>
            <w:r w:rsidRPr="003048F9">
              <w:t xml:space="preserve"> must include consideration of:</w:t>
            </w:r>
          </w:p>
        </w:tc>
        <w:tc>
          <w:tcPr>
            <w:tcW w:w="5835" w:type="dxa"/>
            <w:tcBorders>
              <w:top w:val="nil"/>
              <w:left w:val="nil"/>
              <w:bottom w:val="nil"/>
              <w:right w:val="nil"/>
            </w:tcBorders>
            <w:tcMar>
              <w:top w:w="0" w:type="dxa"/>
              <w:left w:w="62" w:type="dxa"/>
              <w:bottom w:w="0" w:type="dxa"/>
              <w:right w:w="62" w:type="dxa"/>
            </w:tcMar>
          </w:tcPr>
          <w:p w:rsidR="00000000" w:rsidRPr="003048F9" w:rsidP="003048F9">
            <w:pPr>
              <w:pStyle w:val="ListBullet"/>
            </w:pPr>
            <w:r w:rsidRPr="003048F9">
              <w:t>noise levels</w:t>
            </w:r>
          </w:p>
          <w:p w:rsidR="00000000" w:rsidRPr="003048F9" w:rsidP="003048F9">
            <w:pPr>
              <w:pStyle w:val="ListBullet"/>
            </w:pPr>
            <w:r w:rsidRPr="003048F9">
              <w:t>accessibility</w:t>
            </w:r>
          </w:p>
          <w:p w:rsidR="00000000" w:rsidRPr="003048F9" w:rsidP="003048F9">
            <w:pPr>
              <w:pStyle w:val="ListBullet"/>
            </w:pPr>
            <w:r w:rsidRPr="003048F9">
              <w:t>traffic and work flow</w:t>
            </w:r>
          </w:p>
          <w:p w:rsidR="00000000" w:rsidRPr="003048F9" w:rsidP="003048F9">
            <w:pPr>
              <w:pStyle w:val="ListBullet"/>
            </w:pPr>
            <w:r w:rsidRPr="003048F9">
              <w:t>customers</w:t>
            </w:r>
          </w:p>
          <w:p w:rsidR="00000000" w:rsidRPr="003048F9" w:rsidP="003048F9">
            <w:pPr>
              <w:pStyle w:val="ListBullet"/>
            </w:pPr>
            <w:r w:rsidRPr="003048F9">
              <w:t>gaming preferences</w:t>
            </w:r>
          </w:p>
          <w:p w:rsidR="00000000" w:rsidRPr="003048F9" w:rsidP="003048F9">
            <w:pPr>
              <w:pStyle w:val="ListBullet"/>
            </w:pPr>
            <w:r w:rsidRPr="003048F9">
              <w:t>decor</w:t>
            </w:r>
          </w:p>
          <w:p w:rsidR="00000000" w:rsidRPr="003048F9" w:rsidP="003048F9">
            <w:pPr>
              <w:pStyle w:val="ListBullet"/>
            </w:pPr>
            <w:r w:rsidRPr="003048F9">
              <w:t>theming</w:t>
            </w:r>
          </w:p>
          <w:p w:rsidR="00000000" w:rsidRPr="003048F9" w:rsidP="003048F9">
            <w:pPr>
              <w:pStyle w:val="ListBullet"/>
            </w:pPr>
            <w:r w:rsidRPr="003048F9">
              <w:t>player comfort</w:t>
            </w:r>
          </w:p>
          <w:p w:rsidR="00000000" w:rsidP="003048F9">
            <w:pPr>
              <w:pStyle w:val="ListBullet"/>
              <w:rPr>
                <w:lang w:val="en-NZ"/>
              </w:rPr>
            </w:pPr>
            <w:r w:rsidRPr="003048F9">
              <w:t>legislative requirements.</w:t>
            </w: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rPr>
                <w:rStyle w:val="BoldandItalics"/>
              </w:rPr>
              <w:t>Promotional activities</w:t>
            </w:r>
            <w:r w:rsidRPr="003048F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048F9" w:rsidP="003048F9">
            <w:pPr>
              <w:pStyle w:val="ListBullet"/>
            </w:pPr>
            <w:r w:rsidRPr="003048F9">
              <w:t>player reward systems</w:t>
            </w:r>
          </w:p>
          <w:p w:rsidR="00000000" w:rsidRPr="003048F9" w:rsidP="003048F9">
            <w:pPr>
              <w:pStyle w:val="ListBullet"/>
            </w:pPr>
            <w:r w:rsidRPr="003048F9">
              <w:t>member reward systems</w:t>
            </w:r>
          </w:p>
          <w:p w:rsidR="00000000" w:rsidRPr="003048F9" w:rsidP="003048F9">
            <w:pPr>
              <w:pStyle w:val="ListBullet"/>
            </w:pPr>
            <w:r w:rsidRPr="003048F9">
              <w:t>cross-promotional activities with other operational areas</w:t>
            </w:r>
          </w:p>
          <w:p w:rsidR="00000000" w:rsidP="003048F9">
            <w:pPr>
              <w:pStyle w:val="ListBullet"/>
              <w:rPr>
                <w:lang w:val="en-NZ"/>
              </w:rPr>
            </w:pPr>
            <w:r w:rsidRPr="003048F9">
              <w:t>promotional events.</w:t>
            </w: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t xml:space="preserve">Considerations when </w:t>
            </w:r>
            <w:r w:rsidRPr="003048F9">
              <w:rPr>
                <w:rStyle w:val="BoldandItalics"/>
              </w:rPr>
              <w:t>formulating specific promotional strategies</w:t>
            </w:r>
            <w:r w:rsidRPr="003048F9">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3048F9" w:rsidP="003048F9">
            <w:pPr>
              <w:pStyle w:val="ListBullet"/>
            </w:pPr>
            <w:r w:rsidRPr="003048F9">
              <w:t>legislative requirements</w:t>
            </w:r>
          </w:p>
          <w:p w:rsidR="00000000" w:rsidRPr="003048F9" w:rsidP="003048F9">
            <w:pPr>
              <w:pStyle w:val="ListBullet"/>
            </w:pPr>
            <w:r w:rsidRPr="003048F9">
              <w:t>budgets</w:t>
            </w:r>
          </w:p>
          <w:p w:rsidR="00000000" w:rsidRPr="003048F9" w:rsidP="003048F9">
            <w:pPr>
              <w:pStyle w:val="ListBullet"/>
            </w:pPr>
            <w:r w:rsidRPr="003048F9">
              <w:t>geography</w:t>
            </w:r>
          </w:p>
          <w:p w:rsidR="00000000" w:rsidRPr="003048F9" w:rsidP="003048F9">
            <w:pPr>
              <w:pStyle w:val="ListBullet"/>
            </w:pPr>
            <w:r w:rsidRPr="003048F9">
              <w:t>demographics</w:t>
            </w:r>
          </w:p>
          <w:p w:rsidR="00000000" w:rsidRPr="003048F9" w:rsidP="003048F9">
            <w:pPr>
              <w:pStyle w:val="ListBullet"/>
            </w:pPr>
            <w:r w:rsidRPr="003048F9">
              <w:t>responsible gaming</w:t>
            </w:r>
          </w:p>
          <w:p w:rsidR="00000000" w:rsidRPr="003048F9" w:rsidP="003048F9">
            <w:pPr>
              <w:pStyle w:val="ListBullet"/>
            </w:pPr>
            <w:r w:rsidRPr="003048F9">
              <w:t>themes</w:t>
            </w:r>
          </w:p>
          <w:p w:rsidR="00000000" w:rsidRPr="003048F9" w:rsidP="003048F9">
            <w:pPr>
              <w:pStyle w:val="ListBullet"/>
            </w:pPr>
            <w:r w:rsidRPr="003048F9">
              <w:t>player loyalty</w:t>
            </w:r>
          </w:p>
          <w:p w:rsidR="00000000" w:rsidP="003048F9">
            <w:pPr>
              <w:pStyle w:val="ListBullet"/>
              <w:rPr>
                <w:lang w:val="en-NZ"/>
              </w:rPr>
            </w:pPr>
            <w:r w:rsidRPr="003048F9">
              <w:t>industry trends.</w:t>
            </w: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rPr>
                <w:rStyle w:val="BoldandItalics"/>
              </w:rPr>
              <w:t>Security policies and procedures</w:t>
            </w:r>
            <w:r w:rsidRPr="003048F9">
              <w:t xml:space="preserve"> relevant to gaming activities may include:</w:t>
            </w:r>
          </w:p>
        </w:tc>
        <w:tc>
          <w:tcPr>
            <w:tcW w:w="5835" w:type="dxa"/>
            <w:tcBorders>
              <w:top w:val="nil"/>
              <w:left w:val="nil"/>
              <w:bottom w:val="nil"/>
              <w:right w:val="nil"/>
            </w:tcBorders>
            <w:tcMar>
              <w:top w:w="0" w:type="dxa"/>
              <w:left w:w="62" w:type="dxa"/>
              <w:bottom w:w="0" w:type="dxa"/>
              <w:right w:w="62" w:type="dxa"/>
            </w:tcMar>
          </w:tcPr>
          <w:p w:rsidR="00000000" w:rsidRPr="003048F9" w:rsidP="003048F9">
            <w:pPr>
              <w:pStyle w:val="ListBullet"/>
            </w:pPr>
            <w:r w:rsidRPr="003048F9">
              <w:t>key access and control systems</w:t>
            </w:r>
          </w:p>
          <w:p w:rsidR="00000000" w:rsidRPr="003048F9" w:rsidP="003048F9">
            <w:pPr>
              <w:pStyle w:val="ListBullet"/>
            </w:pPr>
            <w:r w:rsidRPr="003048F9">
              <w:t>specialist security activities</w:t>
            </w:r>
          </w:p>
          <w:p w:rsidR="00000000" w:rsidRPr="003048F9" w:rsidP="003048F9">
            <w:pPr>
              <w:pStyle w:val="ListBullet"/>
            </w:pPr>
            <w:r w:rsidRPr="003048F9">
              <w:t>closed-circuit television monitoring</w:t>
            </w:r>
          </w:p>
          <w:p w:rsidR="00000000" w:rsidRPr="003048F9" w:rsidP="003048F9">
            <w:pPr>
              <w:pStyle w:val="ListBullet"/>
            </w:pPr>
            <w:r w:rsidRPr="003048F9">
              <w:t>security clearance procedures, including security checks of staff and players</w:t>
            </w:r>
          </w:p>
          <w:p w:rsidR="00000000" w:rsidRPr="003048F9" w:rsidP="003048F9">
            <w:pPr>
              <w:pStyle w:val="ListBullet"/>
            </w:pPr>
            <w:r w:rsidRPr="003048F9">
              <w:t>investigation into discrepancies in reports and accounts</w:t>
            </w:r>
          </w:p>
          <w:p w:rsidR="00000000" w:rsidP="003048F9">
            <w:pPr>
              <w:pStyle w:val="ListBullet"/>
              <w:rPr>
                <w:lang w:val="en-NZ"/>
              </w:rPr>
            </w:pPr>
            <w:r w:rsidRPr="003048F9">
              <w:t>cash control.</w:t>
            </w: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p>
        </w:tc>
      </w:tr>
      <w:tr w:rsidTr="00CB24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rPr>
                <w:rStyle w:val="BoldandItalics"/>
              </w:rPr>
              <w:t>Information and signage</w:t>
            </w:r>
            <w:r w:rsidRPr="003048F9">
              <w:t xml:space="preserve"> on gaming activities to be provided may include:</w:t>
            </w:r>
          </w:p>
        </w:tc>
        <w:tc>
          <w:tcPr>
            <w:tcW w:w="5835" w:type="dxa"/>
            <w:tcBorders>
              <w:top w:val="nil"/>
              <w:left w:val="nil"/>
              <w:bottom w:val="nil"/>
              <w:right w:val="nil"/>
            </w:tcBorders>
            <w:tcMar>
              <w:top w:w="0" w:type="dxa"/>
              <w:left w:w="62" w:type="dxa"/>
              <w:bottom w:w="0" w:type="dxa"/>
              <w:right w:w="62" w:type="dxa"/>
            </w:tcMar>
          </w:tcPr>
          <w:p w:rsidR="00000000" w:rsidRPr="003048F9" w:rsidP="003048F9">
            <w:pPr>
              <w:pStyle w:val="ListBullet"/>
            </w:pPr>
            <w:r w:rsidRPr="003048F9">
              <w:t>enterprise policy and mission</w:t>
            </w:r>
            <w:r w:rsidRPr="003048F9">
              <w:t xml:space="preserve"> statement on responsible gambling </w:t>
            </w:r>
          </w:p>
          <w:p w:rsidR="00000000" w:rsidRPr="003048F9" w:rsidP="003048F9">
            <w:pPr>
              <w:pStyle w:val="ListBullet"/>
            </w:pPr>
            <w:r w:rsidRPr="003048F9">
              <w:t>available problem gambling support services</w:t>
            </w:r>
          </w:p>
          <w:p w:rsidR="00000000" w:rsidRPr="003048F9" w:rsidP="003048F9">
            <w:pPr>
              <w:pStyle w:val="ListBullet"/>
            </w:pPr>
            <w:r w:rsidRPr="003048F9">
              <w:t>relevant enterprise information on odds, win rates or return rates to player</w:t>
            </w:r>
          </w:p>
          <w:p w:rsidR="00000000" w:rsidRPr="003048F9" w:rsidP="003048F9">
            <w:pPr>
              <w:pStyle w:val="ListBullet"/>
            </w:pPr>
            <w:r w:rsidRPr="003048F9">
              <w:t>available games and game rules</w:t>
            </w:r>
          </w:p>
          <w:p w:rsidR="00000000" w:rsidRPr="003048F9" w:rsidP="003048F9">
            <w:pPr>
              <w:pStyle w:val="ListBullet"/>
            </w:pPr>
            <w:r w:rsidRPr="003048F9">
              <w:t>complaints resolution processes</w:t>
            </w:r>
          </w:p>
          <w:p w:rsidR="00000000" w:rsidRPr="003048F9" w:rsidP="003048F9">
            <w:pPr>
              <w:pStyle w:val="ListBullet"/>
            </w:pPr>
            <w:r w:rsidRPr="003048F9">
              <w:t>hours of gambling services</w:t>
            </w:r>
          </w:p>
          <w:p w:rsidR="00000000" w:rsidRPr="003048F9" w:rsidP="003048F9">
            <w:pPr>
              <w:pStyle w:val="ListBullet"/>
            </w:pPr>
            <w:r w:rsidRPr="003048F9">
              <w:t>exclusion provisions.</w:t>
            </w:r>
          </w:p>
        </w:tc>
      </w:tr>
    </w:tbl>
    <w:p w:rsidR="00000000" w:rsidRPr="003048F9" w:rsidP="003048F9">
      <w:pPr>
        <w:pStyle w:val="BodyText"/>
      </w:pPr>
    </w:p>
    <w:p w:rsidR="00000000" w:rsidRPr="003048F9" w:rsidP="003048F9">
      <w:pPr>
        <w:pStyle w:val="BodyText"/>
      </w:pPr>
    </w:p>
    <w:tbl>
      <w:tblPr>
        <w:tblW w:w="0" w:type="auto"/>
        <w:tblLayout w:type="fixed"/>
        <w:tblCellMar>
          <w:left w:w="62" w:type="dxa"/>
          <w:right w:w="62" w:type="dxa"/>
        </w:tblCellMar>
        <w:tblLook w:val="0000"/>
      </w:tblPr>
      <w:tblGrid>
        <w:gridCol w:w="9180"/>
      </w:tblGrid>
      <w:tr w:rsidTr="00CB245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RPr="003048F9" w:rsidP="003048F9">
            <w:pPr>
              <w:pStyle w:val="BodyText"/>
            </w:pPr>
          </w:p>
        </w:tc>
      </w:tr>
    </w:tbl>
    <w:p w:rsidR="00CB2455" w:rsidP="003048F9">
      <w:pPr>
        <w:pStyle w:val="BodyText"/>
      </w:pPr>
    </w:p>
    <w:p w:rsidR="00CB2455" w:rsidP="003048F9">
      <w:pPr>
        <w:pStyle w:val="BodyText"/>
      </w:pPr>
    </w:p>
    <w:p w:rsidR="00000000" w:rsidRPr="003048F9" w:rsidP="003048F9">
      <w:pPr>
        <w:pStyle w:val="Heading1"/>
      </w:pPr>
      <w:bookmarkStart w:id="12" w:name="O_147050"/>
      <w:bookmarkEnd w:id="12"/>
      <w:r w:rsidRPr="003048F9">
        <w:t>Unit Sector(s)</w:t>
      </w:r>
    </w:p>
    <w:tbl>
      <w:tblPr>
        <w:tblW w:w="0" w:type="auto"/>
        <w:tblLayout w:type="fixed"/>
        <w:tblCellMar>
          <w:left w:w="62" w:type="dxa"/>
          <w:right w:w="62" w:type="dxa"/>
        </w:tblCellMar>
        <w:tblLook w:val="0000"/>
      </w:tblPr>
      <w:tblGrid>
        <w:gridCol w:w="2836"/>
        <w:gridCol w:w="6344"/>
      </w:tblGrid>
      <w:tr w:rsidTr="00CB245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048F9" w:rsidP="003048F9">
            <w:pPr>
              <w:pStyle w:val="BodyText"/>
            </w:pPr>
            <w:r w:rsidRPr="003048F9">
              <w:t>Hospitality</w:t>
            </w:r>
          </w:p>
        </w:tc>
      </w:tr>
    </w:tbl>
    <w:p w:rsidR="00000000" w:rsidRPr="003048F9" w:rsidP="003048F9">
      <w:pPr>
        <w:pStyle w:val="BodyText"/>
      </w:pPr>
    </w:p>
    <w:p w:rsidR="00000000" w:rsidRPr="003048F9" w:rsidP="003048F9">
      <w:pPr>
        <w:pStyle w:val="AllowPageBreak"/>
      </w:pPr>
    </w:p>
    <w:p w:rsidR="00000000" w:rsidRPr="003048F9" w:rsidP="003048F9">
      <w:pPr>
        <w:pStyle w:val="Heading1"/>
      </w:pPr>
      <w:bookmarkStart w:id="13" w:name="O_163338"/>
      <w:bookmarkEnd w:id="13"/>
      <w:r w:rsidRPr="003048F9">
        <w:t>Competency field</w:t>
      </w:r>
    </w:p>
    <w:tbl>
      <w:tblPr>
        <w:tblW w:w="0" w:type="auto"/>
        <w:tblLayout w:type="fixed"/>
        <w:tblCellMar>
          <w:left w:w="62" w:type="dxa"/>
          <w:right w:w="62" w:type="dxa"/>
        </w:tblCellMar>
        <w:tblLook w:val="0000"/>
      </w:tblPr>
      <w:tblGrid>
        <w:gridCol w:w="2836"/>
        <w:gridCol w:w="6344"/>
      </w:tblGrid>
      <w:tr w:rsidTr="00CB245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048F9">
            <w:pPr>
              <w:pStyle w:val="BodyText"/>
              <w:rPr>
                <w:lang w:val="en-NZ"/>
              </w:rPr>
            </w:pPr>
            <w:r w:rsidRPr="003048F9">
              <w:t>Gaming</w:t>
            </w:r>
          </w:p>
        </w:tc>
      </w:tr>
      <w:tr w:rsidTr="00CB245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048F9" w:rsidP="003048F9">
            <w:pPr>
              <w:pStyle w:val="BodyText"/>
            </w:pPr>
          </w:p>
        </w:tc>
      </w:tr>
    </w:tbl>
    <w:p w:rsidR="00000000" w:rsidRPr="003048F9" w:rsidP="003048F9">
      <w:pPr>
        <w:pStyle w:val="BodyText"/>
      </w:pPr>
    </w:p>
    <w:p w:rsidR="00000000" w:rsidRPr="003048F9" w:rsidP="003048F9"/>
    <w:sectPr w:rsidSect="003048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2455" w:rsidP="00CB24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455" w:rsidP="003048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B2455" w:rsidP="003048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B2455" w:rsidP="003048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2455" w:rsidP="00CB24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455" w:rsidP="003048F9">
    <w:pPr>
      <w:pStyle w:val="Header"/>
      <w:framePr w:wrap="around"/>
    </w:pPr>
    <w:r>
      <w:fldChar w:fldCharType="begin"/>
    </w:r>
    <w:r>
      <w:instrText xml:space="preserve"> TITLE   \* MERGEFORMAT </w:instrText>
    </w:r>
    <w:r>
      <w:fldChar w:fldCharType="separate"/>
    </w:r>
    <w:r>
      <w:t>SITHGAM005A Develop and manage gaming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B2455" w:rsidP="003048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F47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981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1CC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8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48F9"/>
    <w:pPr>
      <w:spacing w:before="360" w:after="60"/>
      <w:outlineLvl w:val="0"/>
    </w:pPr>
    <w:rPr>
      <w:sz w:val="32"/>
    </w:rPr>
  </w:style>
  <w:style w:type="paragraph" w:styleId="Heading2">
    <w:name w:val="heading 2"/>
    <w:basedOn w:val="HeadingBase"/>
    <w:next w:val="BodyText"/>
    <w:link w:val="Heading2Char"/>
    <w:qFormat/>
    <w:rsid w:val="003048F9"/>
    <w:pPr>
      <w:keepLines/>
      <w:spacing w:before="240" w:after="120"/>
      <w:outlineLvl w:val="1"/>
    </w:pPr>
    <w:rPr>
      <w:sz w:val="28"/>
      <w:szCs w:val="40"/>
    </w:rPr>
  </w:style>
  <w:style w:type="paragraph" w:styleId="Heading3">
    <w:name w:val="heading 3"/>
    <w:basedOn w:val="HeadingBase"/>
    <w:next w:val="BodyText"/>
    <w:link w:val="Heading3Char"/>
    <w:qFormat/>
    <w:rsid w:val="003048F9"/>
    <w:pPr>
      <w:spacing w:before="180" w:after="120"/>
      <w:outlineLvl w:val="2"/>
    </w:pPr>
    <w:rPr>
      <w:spacing w:val="-10"/>
      <w:kern w:val="32"/>
    </w:rPr>
  </w:style>
  <w:style w:type="paragraph" w:styleId="Heading4">
    <w:name w:val="heading 4"/>
    <w:basedOn w:val="HeadingBase"/>
    <w:next w:val="BodyText"/>
    <w:link w:val="Heading4Char"/>
    <w:qFormat/>
    <w:rsid w:val="003048F9"/>
    <w:pPr>
      <w:spacing w:before="160" w:after="120"/>
      <w:outlineLvl w:val="3"/>
    </w:pPr>
    <w:rPr>
      <w:sz w:val="22"/>
    </w:rPr>
  </w:style>
  <w:style w:type="paragraph" w:styleId="Heading5">
    <w:name w:val="heading 5"/>
    <w:basedOn w:val="HeadingBase"/>
    <w:next w:val="Normal"/>
    <w:link w:val="Heading5Char"/>
    <w:qFormat/>
    <w:rsid w:val="003048F9"/>
    <w:pPr>
      <w:spacing w:before="80"/>
      <w:outlineLvl w:val="4"/>
    </w:pPr>
    <w:rPr>
      <w:color w:val="918585"/>
      <w:sz w:val="20"/>
    </w:rPr>
  </w:style>
  <w:style w:type="paragraph" w:styleId="Heading6">
    <w:name w:val="heading 6"/>
    <w:basedOn w:val="HeadingBase"/>
    <w:next w:val="Normal"/>
    <w:link w:val="Heading6Char"/>
    <w:qFormat/>
    <w:rsid w:val="003048F9"/>
    <w:pPr>
      <w:spacing w:before="60"/>
      <w:outlineLvl w:val="5"/>
    </w:pPr>
    <w:rPr>
      <w:color w:val="918585"/>
      <w:sz w:val="20"/>
    </w:rPr>
  </w:style>
  <w:style w:type="paragraph" w:styleId="Heading7">
    <w:name w:val="heading 7"/>
    <w:basedOn w:val="Normal"/>
    <w:next w:val="Normal"/>
    <w:link w:val="Heading7Char"/>
    <w:qFormat/>
    <w:rsid w:val="003048F9"/>
    <w:pPr>
      <w:ind w:left="720"/>
      <w:outlineLvl w:val="6"/>
    </w:pPr>
    <w:rPr>
      <w:i/>
    </w:rPr>
  </w:style>
  <w:style w:type="paragraph" w:styleId="Heading8">
    <w:name w:val="heading 8"/>
    <w:basedOn w:val="Normal"/>
    <w:next w:val="Normal"/>
    <w:link w:val="Heading8Char"/>
    <w:qFormat/>
    <w:rsid w:val="003048F9"/>
    <w:pPr>
      <w:ind w:left="720"/>
      <w:outlineLvl w:val="7"/>
    </w:pPr>
    <w:rPr>
      <w:i/>
    </w:rPr>
  </w:style>
  <w:style w:type="paragraph" w:styleId="Heading9">
    <w:name w:val="heading 9"/>
    <w:basedOn w:val="Normal"/>
    <w:next w:val="Normal"/>
    <w:link w:val="Heading9Char"/>
    <w:qFormat/>
    <w:rsid w:val="003048F9"/>
    <w:pPr>
      <w:ind w:left="720"/>
      <w:outlineLvl w:val="8"/>
    </w:pPr>
    <w:rPr>
      <w:i/>
    </w:rPr>
  </w:style>
  <w:style w:type="character" w:default="1" w:styleId="DefaultParagraphFont">
    <w:name w:val="Default Paragraph Font"/>
    <w:uiPriority w:val="1"/>
    <w:unhideWhenUsed/>
    <w:rsid w:val="003048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8F9"/>
  </w:style>
  <w:style w:type="character" w:customStyle="1" w:styleId="Heading1Char">
    <w:name w:val="Heading 1 Char"/>
    <w:basedOn w:val="DefaultParagraphFont"/>
    <w:link w:val="Heading1"/>
    <w:rsid w:val="003048F9"/>
    <w:rPr>
      <w:rFonts w:ascii="Times New Roman" w:eastAsia="Times New Roman" w:hAnsi="Times New Roman" w:cs="Times New Roman"/>
      <w:b/>
      <w:sz w:val="32"/>
      <w:szCs w:val="20"/>
      <w:lang w:eastAsia="en-US"/>
    </w:rPr>
  </w:style>
  <w:style w:type="paragraph" w:styleId="BodyText">
    <w:name w:val="Body Text"/>
    <w:basedOn w:val="Normal"/>
    <w:link w:val="BodyTextChar"/>
    <w:rsid w:val="003048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48F9"/>
    <w:rPr>
      <w:rFonts w:ascii="Times New Roman" w:eastAsia="Times New Roman" w:hAnsi="Times New Roman" w:cs="Times New Roman"/>
      <w:sz w:val="24"/>
      <w:lang w:val="en-US" w:eastAsia="en-US"/>
    </w:rPr>
  </w:style>
  <w:style w:type="paragraph" w:styleId="Footer">
    <w:name w:val="footer"/>
    <w:basedOn w:val="Normal"/>
    <w:link w:val="FooterChar"/>
    <w:rsid w:val="003048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8F9"/>
    <w:rPr>
      <w:rFonts w:ascii="Times New Roman" w:eastAsia="Times New Roman" w:hAnsi="Times New Roman" w:cs="Times New Roman"/>
      <w:sz w:val="16"/>
      <w:lang w:val="en-US" w:eastAsia="en-US"/>
    </w:rPr>
  </w:style>
  <w:style w:type="paragraph" w:styleId="List">
    <w:name w:val="List"/>
    <w:basedOn w:val="BodyText"/>
    <w:next w:val="BodyText"/>
    <w:rsid w:val="003048F9"/>
    <w:pPr>
      <w:tabs>
        <w:tab w:val="left" w:pos="340"/>
      </w:tabs>
      <w:spacing w:before="60" w:after="60"/>
      <w:ind w:left="340" w:hanging="340"/>
    </w:pPr>
  </w:style>
  <w:style w:type="paragraph" w:styleId="ListBullet">
    <w:name w:val="List Bullet"/>
    <w:basedOn w:val="List"/>
    <w:rsid w:val="003048F9"/>
    <w:pPr>
      <w:numPr>
        <w:numId w:val="13"/>
      </w:numPr>
      <w:tabs>
        <w:tab w:val="clear" w:pos="340"/>
      </w:tabs>
      <w:spacing w:before="40" w:after="40"/>
    </w:pPr>
  </w:style>
  <w:style w:type="character" w:customStyle="1" w:styleId="SpecialBold">
    <w:name w:val="Special Bold"/>
    <w:basedOn w:val="DefaultParagraphFont"/>
    <w:rsid w:val="003048F9"/>
    <w:rPr>
      <w:b/>
      <w:spacing w:val="0"/>
    </w:rPr>
  </w:style>
  <w:style w:type="paragraph" w:styleId="ListBullet2">
    <w:name w:val="List Bullet 2"/>
    <w:basedOn w:val="List2"/>
    <w:rsid w:val="003048F9"/>
    <w:pPr>
      <w:numPr>
        <w:numId w:val="14"/>
      </w:numPr>
      <w:tabs>
        <w:tab w:val="clear" w:pos="680"/>
      </w:tabs>
    </w:pPr>
  </w:style>
  <w:style w:type="paragraph" w:styleId="Header">
    <w:name w:val="header"/>
    <w:basedOn w:val="Normal"/>
    <w:link w:val="HeaderChar"/>
    <w:rsid w:val="003048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8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48F9"/>
    <w:pPr>
      <w:spacing w:before="240" w:after="120"/>
      <w:outlineLvl w:val="0"/>
    </w:pPr>
    <w:rPr>
      <w:rFonts w:ascii="Times New Roman" w:hAnsi="Times New Roman"/>
      <w:b/>
      <w:sz w:val="28"/>
    </w:rPr>
  </w:style>
  <w:style w:type="paragraph" w:customStyle="1" w:styleId="AllowPageBreak">
    <w:name w:val="AllowPageBreak"/>
    <w:rsid w:val="003048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048F9"/>
    <w:rPr>
      <w:b/>
      <w:i/>
      <w:u w:val="none"/>
    </w:rPr>
  </w:style>
  <w:style w:type="character" w:customStyle="1" w:styleId="Heading2Char">
    <w:name w:val="Heading 2 Char"/>
    <w:basedOn w:val="DefaultParagraphFont"/>
    <w:link w:val="Heading2"/>
    <w:rsid w:val="003048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8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8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8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8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8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48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48F9"/>
    <w:rPr>
      <w:rFonts w:ascii="Courier New" w:eastAsia="Times New Roman" w:hAnsi="Courier New" w:cs="Times New Roman"/>
      <w:i/>
      <w:szCs w:val="20"/>
      <w:lang w:val="en-US" w:eastAsia="en-US"/>
    </w:rPr>
  </w:style>
  <w:style w:type="paragraph" w:customStyle="1" w:styleId="HeadingBase">
    <w:name w:val="Heading Base"/>
    <w:rsid w:val="003048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8F9"/>
    <w:pPr>
      <w:tabs>
        <w:tab w:val="right" w:leader="dot" w:pos="9072"/>
      </w:tabs>
      <w:ind w:left="567"/>
    </w:pPr>
    <w:rPr>
      <w:szCs w:val="22"/>
    </w:rPr>
  </w:style>
  <w:style w:type="paragraph" w:customStyle="1" w:styleId="TOCBase">
    <w:name w:val="TOC Base"/>
    <w:rsid w:val="003048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8F9"/>
    <w:pPr>
      <w:tabs>
        <w:tab w:val="right" w:leader="dot" w:pos="9072"/>
      </w:tabs>
      <w:spacing w:before="40" w:after="40"/>
      <w:ind w:left="284"/>
    </w:pPr>
    <w:rPr>
      <w:rFonts w:ascii="Times New Roman" w:hAnsi="Times New Roman"/>
    </w:rPr>
  </w:style>
  <w:style w:type="paragraph" w:styleId="TOC1">
    <w:name w:val="toc 1"/>
    <w:basedOn w:val="TOCBase"/>
    <w:next w:val="Normal"/>
    <w:rsid w:val="003048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48F9"/>
    <w:pPr>
      <w:spacing w:before="5040"/>
      <w:jc w:val="center"/>
    </w:pPr>
    <w:rPr>
      <w:sz w:val="48"/>
      <w:szCs w:val="72"/>
      <w:lang w:val="en-US"/>
    </w:rPr>
  </w:style>
  <w:style w:type="character" w:customStyle="1" w:styleId="TitleChar">
    <w:name w:val="Title Char"/>
    <w:basedOn w:val="DefaultParagraphFont"/>
    <w:link w:val="Title"/>
    <w:rsid w:val="003048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8F9"/>
    <w:pPr>
      <w:tabs>
        <w:tab w:val="left" w:pos="3600"/>
        <w:tab w:val="left" w:pos="3958"/>
      </w:tabs>
    </w:pPr>
  </w:style>
  <w:style w:type="paragraph" w:customStyle="1" w:styleId="Note">
    <w:name w:val="Note"/>
    <w:basedOn w:val="BodyText"/>
    <w:rsid w:val="003048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8F9"/>
    <w:pPr>
      <w:framePr w:wrap="auto" w:hAnchor="text" w:y="6049"/>
    </w:pPr>
    <w:rPr>
      <w:color w:val="000000"/>
      <w:sz w:val="40"/>
    </w:rPr>
  </w:style>
  <w:style w:type="paragraph" w:customStyle="1" w:styleId="TOCTitle">
    <w:name w:val="TOCTitle"/>
    <w:basedOn w:val="Heading1"/>
    <w:rsid w:val="003048F9"/>
    <w:pPr>
      <w:spacing w:after="240"/>
      <w:jc w:val="center"/>
      <w:outlineLvl w:val="9"/>
    </w:pPr>
    <w:rPr>
      <w:caps/>
    </w:rPr>
  </w:style>
  <w:style w:type="paragraph" w:customStyle="1" w:styleId="Version">
    <w:name w:val="Version"/>
    <w:rsid w:val="003048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48F9"/>
    <w:pPr>
      <w:keepNext w:val="0"/>
      <w:tabs>
        <w:tab w:val="right" w:pos="4176"/>
      </w:tabs>
      <w:ind w:left="198" w:hanging="198"/>
    </w:pPr>
    <w:rPr>
      <w:rFonts w:ascii="Garamond" w:hAnsi="Garamond"/>
    </w:rPr>
  </w:style>
  <w:style w:type="paragraph" w:styleId="IndexHeading">
    <w:name w:val="index heading"/>
    <w:basedOn w:val="Normal"/>
    <w:next w:val="Index1"/>
    <w:semiHidden/>
    <w:rsid w:val="003048F9"/>
    <w:pPr>
      <w:spacing w:before="120" w:after="120"/>
    </w:pPr>
    <w:rPr>
      <w:rFonts w:ascii="Arial" w:hAnsi="Arial"/>
      <w:b/>
      <w:color w:val="918585"/>
      <w:sz w:val="24"/>
    </w:rPr>
  </w:style>
  <w:style w:type="paragraph" w:customStyle="1" w:styleId="Chapter">
    <w:name w:val="Chapter"/>
    <w:basedOn w:val="Normal"/>
    <w:rsid w:val="003048F9"/>
    <w:pPr>
      <w:spacing w:before="240"/>
    </w:pPr>
    <w:rPr>
      <w:rFonts w:ascii="Times New Roman" w:hAnsi="Times New Roman"/>
      <w:smallCaps/>
      <w:spacing w:val="80"/>
      <w:sz w:val="28"/>
    </w:rPr>
  </w:style>
  <w:style w:type="paragraph" w:customStyle="1" w:styleId="InChapter">
    <w:name w:val="InChapter"/>
    <w:basedOn w:val="Heading3"/>
    <w:rsid w:val="003048F9"/>
    <w:pPr>
      <w:spacing w:after="240"/>
      <w:outlineLvl w:val="9"/>
    </w:pPr>
    <w:rPr>
      <w:noProof/>
    </w:rPr>
  </w:style>
  <w:style w:type="paragraph" w:styleId="Index2">
    <w:name w:val="index 2"/>
    <w:basedOn w:val="Normal"/>
    <w:next w:val="Normal"/>
    <w:semiHidden/>
    <w:rsid w:val="003048F9"/>
    <w:pPr>
      <w:tabs>
        <w:tab w:val="right" w:pos="4176"/>
      </w:tabs>
      <w:ind w:left="568" w:hanging="284"/>
    </w:pPr>
    <w:rPr>
      <w:rFonts w:ascii="Garamond" w:hAnsi="Garamond"/>
    </w:rPr>
  </w:style>
  <w:style w:type="paragraph" w:customStyle="1" w:styleId="Byline">
    <w:name w:val="Byline"/>
    <w:rsid w:val="003048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8F9"/>
    <w:pPr>
      <w:tabs>
        <w:tab w:val="clear" w:pos="3600"/>
        <w:tab w:val="clear" w:pos="3958"/>
      </w:tabs>
      <w:jc w:val="right"/>
    </w:pPr>
  </w:style>
  <w:style w:type="character" w:styleId="Emphasis">
    <w:name w:val="Emphasis"/>
    <w:basedOn w:val="DefaultParagraphFont"/>
    <w:qFormat/>
    <w:rsid w:val="003048F9"/>
    <w:rPr>
      <w:i/>
    </w:rPr>
  </w:style>
  <w:style w:type="paragraph" w:styleId="Caption">
    <w:name w:val="caption"/>
    <w:basedOn w:val="BodyText"/>
    <w:next w:val="Normal"/>
    <w:qFormat/>
    <w:rsid w:val="003048F9"/>
    <w:pPr>
      <w:framePr w:w="2268" w:hSpace="181" w:vSpace="181" w:wrap="around" w:vAnchor="text" w:hAnchor="page" w:x="1135" w:y="285" w:anchorLock="1"/>
    </w:pPr>
    <w:rPr>
      <w:i/>
    </w:rPr>
  </w:style>
  <w:style w:type="paragraph" w:customStyle="1" w:styleId="MiniTOCTitle">
    <w:name w:val="MiniTOCTitle"/>
    <w:basedOn w:val="Heading4"/>
    <w:rsid w:val="003048F9"/>
    <w:pPr>
      <w:spacing w:before="240"/>
      <w:outlineLvl w:val="9"/>
    </w:pPr>
    <w:rPr>
      <w:noProof/>
      <w:sz w:val="24"/>
    </w:rPr>
  </w:style>
  <w:style w:type="paragraph" w:customStyle="1" w:styleId="MiniTOCItem">
    <w:name w:val="MiniTOCItem"/>
    <w:basedOn w:val="ListBullet"/>
    <w:rsid w:val="003048F9"/>
    <w:pPr>
      <w:numPr>
        <w:numId w:val="0"/>
      </w:numPr>
      <w:tabs>
        <w:tab w:val="right" w:leader="dot" w:pos="6521"/>
      </w:tabs>
      <w:spacing w:before="0" w:after="0"/>
    </w:pPr>
  </w:style>
  <w:style w:type="paragraph" w:customStyle="1" w:styleId="TOFTitle">
    <w:name w:val="TOFTitle"/>
    <w:basedOn w:val="TOCTitle"/>
    <w:rsid w:val="003048F9"/>
  </w:style>
  <w:style w:type="paragraph" w:styleId="TableofFigures">
    <w:name w:val="table of figures"/>
    <w:basedOn w:val="Normal"/>
    <w:next w:val="Normal"/>
    <w:semiHidden/>
    <w:rsid w:val="003048F9"/>
    <w:pPr>
      <w:tabs>
        <w:tab w:val="right" w:leader="dot" w:pos="9072"/>
      </w:tabs>
      <w:ind w:left="970" w:hanging="403"/>
    </w:pPr>
    <w:rPr>
      <w:rFonts w:ascii="Times New Roman" w:hAnsi="Times New Roman"/>
      <w:b/>
    </w:rPr>
  </w:style>
  <w:style w:type="paragraph" w:styleId="ListNumber">
    <w:name w:val="List Number"/>
    <w:basedOn w:val="List"/>
    <w:rsid w:val="003048F9"/>
    <w:pPr>
      <w:numPr>
        <w:numId w:val="11"/>
      </w:numPr>
    </w:pPr>
  </w:style>
  <w:style w:type="character" w:customStyle="1" w:styleId="WingdingSymbols">
    <w:name w:val="Wingding Symbols"/>
    <w:rsid w:val="003048F9"/>
    <w:rPr>
      <w:rFonts w:ascii="Wingdings" w:hAnsi="Wingdings"/>
    </w:rPr>
  </w:style>
  <w:style w:type="paragraph" w:customStyle="1" w:styleId="TableHeading">
    <w:name w:val="Table Heading"/>
    <w:basedOn w:val="HeadingBase"/>
    <w:rsid w:val="003048F9"/>
    <w:pPr>
      <w:keepLines/>
      <w:pBdr>
        <w:bottom w:val="single" w:sz="6" w:space="1" w:color="918585"/>
      </w:pBdr>
      <w:spacing w:before="240"/>
    </w:pPr>
  </w:style>
  <w:style w:type="character" w:customStyle="1" w:styleId="HotSpot">
    <w:name w:val="HotSpot"/>
    <w:rsid w:val="003048F9"/>
    <w:rPr>
      <w:color w:val="0033CC"/>
      <w:u w:val="none"/>
    </w:rPr>
  </w:style>
  <w:style w:type="paragraph" w:customStyle="1" w:styleId="BodyTextRight">
    <w:name w:val="Body Text Right"/>
    <w:basedOn w:val="BodyText"/>
    <w:rsid w:val="003048F9"/>
    <w:pPr>
      <w:spacing w:before="0" w:after="0"/>
      <w:jc w:val="right"/>
    </w:pPr>
  </w:style>
  <w:style w:type="paragraph" w:styleId="Index3">
    <w:name w:val="index 3"/>
    <w:basedOn w:val="ListNumber2"/>
    <w:next w:val="Normal"/>
    <w:semiHidden/>
    <w:rsid w:val="003048F9"/>
    <w:pPr>
      <w:numPr>
        <w:numId w:val="0"/>
      </w:numPr>
      <w:tabs>
        <w:tab w:val="right" w:leader="dot" w:pos="4176"/>
      </w:tabs>
    </w:pPr>
  </w:style>
  <w:style w:type="paragraph" w:styleId="ListNumber2">
    <w:name w:val="List Number 2"/>
    <w:basedOn w:val="List2"/>
    <w:rsid w:val="003048F9"/>
    <w:pPr>
      <w:numPr>
        <w:numId w:val="10"/>
      </w:numPr>
      <w:tabs>
        <w:tab w:val="clear" w:pos="1060"/>
      </w:tabs>
    </w:pPr>
  </w:style>
  <w:style w:type="paragraph" w:customStyle="1" w:styleId="MarginNote">
    <w:name w:val="Margin Note"/>
    <w:basedOn w:val="BodyText"/>
    <w:rsid w:val="003048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8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8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48F9"/>
    <w:rPr>
      <w:sz w:val="32"/>
    </w:rPr>
  </w:style>
  <w:style w:type="paragraph" w:customStyle="1" w:styleId="HeadingProcedure">
    <w:name w:val="Heading Procedure"/>
    <w:basedOn w:val="HeadingBase"/>
    <w:next w:val="Normal"/>
    <w:rsid w:val="003048F9"/>
    <w:pPr>
      <w:tabs>
        <w:tab w:val="left" w:pos="0"/>
      </w:tabs>
      <w:spacing w:before="120" w:after="60"/>
    </w:pPr>
    <w:rPr>
      <w:i/>
      <w:color w:val="918585"/>
      <w:sz w:val="22"/>
    </w:rPr>
  </w:style>
  <w:style w:type="paragraph" w:customStyle="1" w:styleId="TableBodyText">
    <w:name w:val="Table Body Text"/>
    <w:basedOn w:val="BodyText"/>
    <w:rsid w:val="003048F9"/>
    <w:pPr>
      <w:spacing w:before="60" w:after="60"/>
    </w:pPr>
  </w:style>
  <w:style w:type="paragraph" w:styleId="ListContinue">
    <w:name w:val="List Continue"/>
    <w:basedOn w:val="List"/>
    <w:rsid w:val="003048F9"/>
    <w:pPr>
      <w:ind w:firstLine="0"/>
    </w:pPr>
  </w:style>
  <w:style w:type="paragraph" w:customStyle="1" w:styleId="ListNote">
    <w:name w:val="List Note"/>
    <w:basedOn w:val="List"/>
    <w:rsid w:val="003048F9"/>
    <w:pPr>
      <w:pBdr>
        <w:top w:val="single" w:sz="6" w:space="2" w:color="918585"/>
        <w:bottom w:val="single" w:sz="6" w:space="2" w:color="918585"/>
      </w:pBdr>
      <w:tabs>
        <w:tab w:val="left" w:pos="1021"/>
      </w:tabs>
      <w:ind w:firstLine="0"/>
    </w:pPr>
  </w:style>
  <w:style w:type="paragraph" w:customStyle="1" w:styleId="Warning">
    <w:name w:val="Warning"/>
    <w:basedOn w:val="BodyText"/>
    <w:rsid w:val="003048F9"/>
    <w:pPr>
      <w:shd w:val="clear" w:color="auto" w:fill="D9D9D9"/>
      <w:tabs>
        <w:tab w:val="left" w:pos="992"/>
      </w:tabs>
      <w:ind w:left="119" w:right="119"/>
    </w:pPr>
    <w:rPr>
      <w:sz w:val="20"/>
    </w:rPr>
  </w:style>
  <w:style w:type="paragraph" w:customStyle="1" w:styleId="MarginIcons">
    <w:name w:val="Margin Icons"/>
    <w:basedOn w:val="BodyText"/>
    <w:rsid w:val="003048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8F9"/>
    <w:rPr>
      <w:rFonts w:ascii="Courier New" w:hAnsi="Courier New"/>
    </w:rPr>
  </w:style>
  <w:style w:type="paragraph" w:customStyle="1" w:styleId="NoteBullet">
    <w:name w:val="Note Bullet"/>
    <w:basedOn w:val="Note"/>
    <w:rsid w:val="003048F9"/>
    <w:pPr>
      <w:tabs>
        <w:tab w:val="clear" w:pos="680"/>
      </w:tabs>
      <w:spacing w:before="60" w:after="60"/>
    </w:pPr>
  </w:style>
  <w:style w:type="paragraph" w:customStyle="1" w:styleId="SubHeading2">
    <w:name w:val="SubHeading2"/>
    <w:basedOn w:val="HeadingBase"/>
    <w:rsid w:val="003048F9"/>
    <w:pPr>
      <w:spacing w:before="240" w:after="60"/>
    </w:pPr>
    <w:rPr>
      <w:sz w:val="20"/>
    </w:rPr>
  </w:style>
  <w:style w:type="paragraph" w:customStyle="1" w:styleId="SubHeading1">
    <w:name w:val="SubHeading1"/>
    <w:basedOn w:val="HeadingBase"/>
    <w:rsid w:val="003048F9"/>
    <w:pPr>
      <w:spacing w:before="240" w:after="60"/>
    </w:pPr>
    <w:rPr>
      <w:color w:val="918585"/>
      <w:sz w:val="22"/>
    </w:rPr>
  </w:style>
  <w:style w:type="paragraph" w:customStyle="1" w:styleId="SideHeading">
    <w:name w:val="Side Heading"/>
    <w:basedOn w:val="HeadingBase"/>
    <w:rsid w:val="003048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8F9"/>
    <w:pPr>
      <w:numPr>
        <w:numId w:val="12"/>
      </w:numPr>
    </w:pPr>
  </w:style>
  <w:style w:type="paragraph" w:styleId="PlainText">
    <w:name w:val="Plain Text"/>
    <w:basedOn w:val="Normal"/>
    <w:link w:val="PlainTextChar"/>
    <w:rsid w:val="003048F9"/>
    <w:rPr>
      <w:sz w:val="20"/>
    </w:rPr>
  </w:style>
  <w:style w:type="character" w:customStyle="1" w:styleId="PlainTextChar">
    <w:name w:val="Plain Text Char"/>
    <w:basedOn w:val="DefaultParagraphFont"/>
    <w:link w:val="PlainText"/>
    <w:rsid w:val="003048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48F9"/>
    <w:rPr>
      <w:b/>
      <w:smallCaps/>
    </w:rPr>
  </w:style>
  <w:style w:type="paragraph" w:customStyle="1" w:styleId="TableListNumber">
    <w:name w:val="Table List Number"/>
    <w:basedOn w:val="ListNumber"/>
    <w:rsid w:val="003048F9"/>
    <w:pPr>
      <w:numPr>
        <w:numId w:val="0"/>
      </w:numPr>
    </w:pPr>
  </w:style>
  <w:style w:type="paragraph" w:styleId="TOC4">
    <w:name w:val="toc 4"/>
    <w:basedOn w:val="TOCBase"/>
    <w:next w:val="Normal"/>
    <w:semiHidden/>
    <w:rsid w:val="003048F9"/>
    <w:pPr>
      <w:tabs>
        <w:tab w:val="right" w:leader="dot" w:pos="9071"/>
      </w:tabs>
      <w:ind w:left="1701"/>
    </w:pPr>
  </w:style>
  <w:style w:type="paragraph" w:customStyle="1" w:styleId="ListAlpha">
    <w:name w:val="List Alpha"/>
    <w:basedOn w:val="List"/>
    <w:rsid w:val="003048F9"/>
    <w:pPr>
      <w:numPr>
        <w:numId w:val="9"/>
      </w:numPr>
    </w:pPr>
  </w:style>
  <w:style w:type="paragraph" w:customStyle="1" w:styleId="ListAlpha2">
    <w:name w:val="List Alpha 2"/>
    <w:basedOn w:val="List2"/>
    <w:rsid w:val="003048F9"/>
    <w:pPr>
      <w:numPr>
        <w:numId w:val="8"/>
      </w:numPr>
    </w:pPr>
  </w:style>
  <w:style w:type="paragraph" w:styleId="List2">
    <w:name w:val="List 2"/>
    <w:basedOn w:val="BodyText"/>
    <w:rsid w:val="003048F9"/>
    <w:pPr>
      <w:tabs>
        <w:tab w:val="left" w:pos="680"/>
      </w:tabs>
      <w:spacing w:before="60" w:after="60"/>
      <w:ind w:left="680" w:hanging="340"/>
    </w:pPr>
  </w:style>
  <w:style w:type="paragraph" w:styleId="List3">
    <w:name w:val="List 3"/>
    <w:basedOn w:val="BodyText"/>
    <w:rsid w:val="003048F9"/>
    <w:pPr>
      <w:tabs>
        <w:tab w:val="left" w:pos="1021"/>
      </w:tabs>
      <w:spacing w:before="60" w:after="60"/>
      <w:ind w:left="1020" w:hanging="340"/>
    </w:pPr>
  </w:style>
  <w:style w:type="paragraph" w:styleId="List4">
    <w:name w:val="List 4"/>
    <w:basedOn w:val="BodyText"/>
    <w:rsid w:val="003048F9"/>
    <w:pPr>
      <w:tabs>
        <w:tab w:val="left" w:pos="1361"/>
      </w:tabs>
      <w:spacing w:before="60" w:after="60"/>
      <w:ind w:left="1361" w:hanging="340"/>
    </w:pPr>
  </w:style>
  <w:style w:type="paragraph" w:styleId="List5">
    <w:name w:val="List 5"/>
    <w:basedOn w:val="BodyText"/>
    <w:rsid w:val="003048F9"/>
    <w:pPr>
      <w:tabs>
        <w:tab w:val="left" w:pos="1701"/>
      </w:tabs>
      <w:spacing w:before="60" w:after="60"/>
      <w:ind w:left="1701" w:hanging="340"/>
    </w:pPr>
  </w:style>
  <w:style w:type="paragraph" w:styleId="ListBullet3">
    <w:name w:val="List Bullet 3"/>
    <w:basedOn w:val="List3"/>
    <w:rsid w:val="003048F9"/>
    <w:pPr>
      <w:numPr>
        <w:numId w:val="15"/>
      </w:numPr>
      <w:tabs>
        <w:tab w:val="clear" w:pos="1021"/>
      </w:tabs>
      <w:ind w:left="1037" w:hanging="357"/>
    </w:pPr>
  </w:style>
  <w:style w:type="paragraph" w:styleId="ListBullet4">
    <w:name w:val="List Bullet 4"/>
    <w:basedOn w:val="List4"/>
    <w:rsid w:val="003048F9"/>
    <w:pPr>
      <w:numPr>
        <w:numId w:val="3"/>
      </w:numPr>
    </w:pPr>
  </w:style>
  <w:style w:type="paragraph" w:styleId="ListBullet5">
    <w:name w:val="List Bullet 5"/>
    <w:basedOn w:val="List5"/>
    <w:rsid w:val="003048F9"/>
    <w:pPr>
      <w:numPr>
        <w:numId w:val="4"/>
      </w:numPr>
    </w:pPr>
  </w:style>
  <w:style w:type="paragraph" w:styleId="ListContinue2">
    <w:name w:val="List Continue 2"/>
    <w:basedOn w:val="List2"/>
    <w:rsid w:val="003048F9"/>
    <w:pPr>
      <w:ind w:firstLine="0"/>
    </w:pPr>
  </w:style>
  <w:style w:type="paragraph" w:styleId="ListContinue3">
    <w:name w:val="List Continue 3"/>
    <w:basedOn w:val="List3"/>
    <w:rsid w:val="003048F9"/>
    <w:pPr>
      <w:ind w:left="1021" w:firstLine="0"/>
    </w:pPr>
  </w:style>
  <w:style w:type="paragraph" w:styleId="ListContinue4">
    <w:name w:val="List Continue 4"/>
    <w:basedOn w:val="List4"/>
    <w:rsid w:val="003048F9"/>
    <w:pPr>
      <w:ind w:firstLine="0"/>
    </w:pPr>
  </w:style>
  <w:style w:type="paragraph" w:styleId="ListContinue5">
    <w:name w:val="List Continue 5"/>
    <w:basedOn w:val="List5"/>
    <w:rsid w:val="003048F9"/>
    <w:pPr>
      <w:ind w:firstLine="0"/>
    </w:pPr>
  </w:style>
  <w:style w:type="paragraph" w:styleId="ListNumber3">
    <w:name w:val="List Number 3"/>
    <w:basedOn w:val="List3"/>
    <w:rsid w:val="003048F9"/>
    <w:pPr>
      <w:numPr>
        <w:numId w:val="5"/>
      </w:numPr>
    </w:pPr>
  </w:style>
  <w:style w:type="paragraph" w:styleId="ListNumber4">
    <w:name w:val="List Number 4"/>
    <w:basedOn w:val="List4"/>
    <w:rsid w:val="003048F9"/>
    <w:pPr>
      <w:numPr>
        <w:numId w:val="6"/>
      </w:numPr>
    </w:pPr>
  </w:style>
  <w:style w:type="paragraph" w:styleId="ListNumber5">
    <w:name w:val="List Number 5"/>
    <w:basedOn w:val="List5"/>
    <w:rsid w:val="003048F9"/>
    <w:pPr>
      <w:numPr>
        <w:numId w:val="7"/>
      </w:numPr>
    </w:pPr>
  </w:style>
  <w:style w:type="paragraph" w:styleId="BlockText">
    <w:name w:val="Block Text"/>
    <w:basedOn w:val="Normal"/>
    <w:rsid w:val="003048F9"/>
    <w:pPr>
      <w:spacing w:after="120"/>
      <w:ind w:left="1440" w:right="1440"/>
    </w:pPr>
  </w:style>
  <w:style w:type="character" w:customStyle="1" w:styleId="Subscript">
    <w:name w:val="Subscript"/>
    <w:basedOn w:val="DefaultParagraphFont"/>
    <w:rsid w:val="003048F9"/>
    <w:rPr>
      <w:sz w:val="16"/>
      <w:vertAlign w:val="subscript"/>
    </w:rPr>
  </w:style>
  <w:style w:type="character" w:customStyle="1" w:styleId="Superscript">
    <w:name w:val="Superscript"/>
    <w:basedOn w:val="DefaultParagraphFont"/>
    <w:rsid w:val="003048F9"/>
    <w:rPr>
      <w:sz w:val="16"/>
      <w:vertAlign w:val="superscript"/>
    </w:rPr>
  </w:style>
  <w:style w:type="character" w:customStyle="1" w:styleId="Symbols">
    <w:name w:val="Symbols"/>
    <w:basedOn w:val="DefaultParagraphFont"/>
    <w:rsid w:val="003048F9"/>
    <w:rPr>
      <w:rFonts w:ascii="Symbol" w:hAnsi="Symbol"/>
    </w:rPr>
  </w:style>
  <w:style w:type="character" w:customStyle="1" w:styleId="MenuOptions">
    <w:name w:val="Menu Options"/>
    <w:basedOn w:val="DefaultParagraphFont"/>
    <w:rsid w:val="003048F9"/>
    <w:rPr>
      <w:rFonts w:ascii="Arial Narrow" w:hAnsi="Arial Narrow"/>
      <w:smallCaps/>
    </w:rPr>
  </w:style>
  <w:style w:type="character" w:customStyle="1" w:styleId="Buttons">
    <w:name w:val="Buttons"/>
    <w:basedOn w:val="DefaultParagraphFont"/>
    <w:rsid w:val="003048F9"/>
    <w:rPr>
      <w:b/>
    </w:rPr>
  </w:style>
  <w:style w:type="character" w:customStyle="1" w:styleId="Underlined">
    <w:name w:val="Underlined"/>
    <w:basedOn w:val="DefaultParagraphFont"/>
    <w:rsid w:val="003048F9"/>
    <w:rPr>
      <w:u w:val="single"/>
    </w:rPr>
  </w:style>
  <w:style w:type="paragraph" w:customStyle="1" w:styleId="TableBodyTextRight">
    <w:name w:val="Table Body Text Right"/>
    <w:basedOn w:val="TableBodyText"/>
    <w:rsid w:val="003048F9"/>
    <w:pPr>
      <w:widowControl w:val="0"/>
      <w:autoSpaceDE w:val="0"/>
      <w:autoSpaceDN w:val="0"/>
      <w:adjustRightInd w:val="0"/>
      <w:jc w:val="right"/>
    </w:pPr>
    <w:rPr>
      <w:rFonts w:cs="Arial"/>
      <w:szCs w:val="18"/>
    </w:rPr>
  </w:style>
  <w:style w:type="paragraph" w:customStyle="1" w:styleId="CopyrightText">
    <w:name w:val="Copyright Text"/>
    <w:basedOn w:val="BodyText"/>
    <w:rsid w:val="003048F9"/>
    <w:rPr>
      <w:sz w:val="18"/>
    </w:rPr>
  </w:style>
  <w:style w:type="paragraph" w:customStyle="1" w:styleId="BodySmallRight">
    <w:name w:val="Body Small Right"/>
    <w:basedOn w:val="BodyTextRight"/>
    <w:rsid w:val="003048F9"/>
    <w:rPr>
      <w:sz w:val="18"/>
      <w:szCs w:val="18"/>
    </w:rPr>
  </w:style>
  <w:style w:type="paragraph" w:customStyle="1" w:styleId="MarginEdition">
    <w:name w:val="Margin Edition"/>
    <w:basedOn w:val="MarginNote"/>
    <w:rsid w:val="003048F9"/>
    <w:pPr>
      <w:spacing w:before="0" w:after="0"/>
    </w:pPr>
    <w:rPr>
      <w:rFonts w:ascii="Times New Roman" w:hAnsi="Times New Roman"/>
      <w:color w:val="999999"/>
    </w:rPr>
  </w:style>
  <w:style w:type="paragraph" w:customStyle="1" w:styleId="Spacer">
    <w:name w:val="Spacer"/>
    <w:basedOn w:val="Normal"/>
    <w:rsid w:val="003048F9"/>
    <w:rPr>
      <w:sz w:val="2"/>
      <w:szCs w:val="2"/>
    </w:rPr>
  </w:style>
  <w:style w:type="character" w:customStyle="1" w:styleId="Small">
    <w:name w:val="Small"/>
    <w:basedOn w:val="DefaultParagraphFont"/>
    <w:rsid w:val="003048F9"/>
    <w:rPr>
      <w:sz w:val="16"/>
    </w:rPr>
  </w:style>
  <w:style w:type="paragraph" w:customStyle="1" w:styleId="WideTable">
    <w:name w:val="Wide Table"/>
    <w:basedOn w:val="Normal"/>
    <w:rsid w:val="003048F9"/>
    <w:pPr>
      <w:ind w:left="-1418"/>
    </w:pPr>
    <w:rPr>
      <w:sz w:val="2"/>
      <w:szCs w:val="2"/>
    </w:rPr>
  </w:style>
  <w:style w:type="character" w:styleId="PageNumber">
    <w:name w:val="page number"/>
    <w:basedOn w:val="DefaultParagraphFont"/>
    <w:rsid w:val="003048F9"/>
  </w:style>
  <w:style w:type="paragraph" w:styleId="Quote">
    <w:name w:val="Quote"/>
    <w:basedOn w:val="Heading1"/>
    <w:link w:val="QuoteChar"/>
    <w:qFormat/>
    <w:rsid w:val="003048F9"/>
    <w:rPr>
      <w:b w:val="0"/>
      <w:sz w:val="72"/>
      <w:szCs w:val="72"/>
      <w:lang w:val="en-NZ"/>
    </w:rPr>
  </w:style>
  <w:style w:type="character" w:customStyle="1" w:styleId="QuoteChar">
    <w:name w:val="Quote Char"/>
    <w:basedOn w:val="DefaultParagraphFont"/>
    <w:link w:val="Quote"/>
    <w:rsid w:val="003048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8F9"/>
    <w:pPr>
      <w:pageBreakBefore/>
    </w:pPr>
  </w:style>
  <w:style w:type="paragraph" w:customStyle="1" w:styleId="Border">
    <w:name w:val="Border"/>
    <w:basedOn w:val="Normal"/>
    <w:qFormat/>
    <w:rsid w:val="003048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8F9"/>
    <w:rPr>
      <w:b/>
      <w:bCs/>
      <w:i/>
      <w:iCs/>
      <w:color w:val="auto"/>
    </w:rPr>
  </w:style>
  <w:style w:type="paragraph" w:styleId="IntenseQuote">
    <w:name w:val="Intense Quote"/>
    <w:basedOn w:val="Normal"/>
    <w:next w:val="Normal"/>
    <w:link w:val="IntenseQuoteChar"/>
    <w:uiPriority w:val="30"/>
    <w:qFormat/>
    <w:rsid w:val="003048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8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48F9"/>
    <w:rPr>
      <w:smallCaps/>
      <w:color w:val="auto"/>
      <w:u w:val="single"/>
    </w:rPr>
  </w:style>
  <w:style w:type="character" w:styleId="IntenseReference">
    <w:name w:val="Intense Reference"/>
    <w:basedOn w:val="DefaultParagraphFont"/>
    <w:uiPriority w:val="32"/>
    <w:qFormat/>
    <w:rsid w:val="003048F9"/>
    <w:rPr>
      <w:b/>
      <w:bCs/>
      <w:smallCaps/>
      <w:color w:val="auto"/>
      <w:spacing w:val="5"/>
      <w:u w:val="single"/>
    </w:rPr>
  </w:style>
  <w:style w:type="paragraph" w:customStyle="1" w:styleId="2ColumnHeading">
    <w:name w:val="2Column Heading"/>
    <w:basedOn w:val="BodyText"/>
    <w:qFormat/>
    <w:rsid w:val="003048F9"/>
    <w:pPr>
      <w:spacing w:after="60"/>
      <w:ind w:left="-2268"/>
    </w:pPr>
    <w:rPr>
      <w:b/>
    </w:rPr>
  </w:style>
  <w:style w:type="paragraph" w:customStyle="1" w:styleId="Heading1TOC">
    <w:name w:val="Heading1 TOC"/>
    <w:basedOn w:val="Normal"/>
    <w:qFormat/>
    <w:rsid w:val="003048F9"/>
    <w:pPr>
      <w:spacing w:before="240" w:after="120"/>
    </w:pPr>
    <w:rPr>
      <w:rFonts w:ascii="Times New Roman" w:hAnsi="Times New Roman"/>
      <w:b/>
      <w:sz w:val="32"/>
    </w:rPr>
  </w:style>
  <w:style w:type="paragraph" w:customStyle="1" w:styleId="Heading2TOC">
    <w:name w:val="Heading2 TOC"/>
    <w:basedOn w:val="Normal"/>
    <w:qFormat/>
    <w:rsid w:val="003048F9"/>
    <w:pPr>
      <w:spacing w:before="240" w:after="60"/>
    </w:pPr>
    <w:rPr>
      <w:rFonts w:ascii="Times New Roman" w:hAnsi="Times New Roman"/>
      <w:b/>
      <w:sz w:val="28"/>
    </w:rPr>
  </w:style>
  <w:style w:type="character" w:customStyle="1" w:styleId="Underline">
    <w:name w:val="Underline"/>
    <w:basedOn w:val="DefaultParagraphFont"/>
    <w:qFormat/>
    <w:rsid w:val="003048F9"/>
    <w:rPr>
      <w:u w:val="single"/>
    </w:rPr>
  </w:style>
  <w:style w:type="paragraph" w:styleId="BalloonText">
    <w:name w:val="Balloon Text"/>
    <w:basedOn w:val="Normal"/>
    <w:link w:val="BalloonTextChar"/>
    <w:rsid w:val="003048F9"/>
    <w:rPr>
      <w:rFonts w:ascii="Tahoma" w:hAnsi="Tahoma" w:cs="Tahoma"/>
      <w:sz w:val="16"/>
      <w:szCs w:val="16"/>
    </w:rPr>
  </w:style>
  <w:style w:type="character" w:customStyle="1" w:styleId="BalloonTextChar">
    <w:name w:val="Balloon Text Char"/>
    <w:basedOn w:val="DefaultParagraphFont"/>
    <w:link w:val="BalloonText"/>
    <w:rsid w:val="003048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48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48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1539</Words>
  <Characters>9792</Characters>
  <Application>Microsoft Office Word</Application>
  <DocSecurity>0</DocSecurity>
  <Lines>480</Lines>
  <Paragraphs>221</Paragraphs>
  <ScaleCrop>false</ScaleCrop>
  <Company>Author-it Software Corporation Ltd.</Company>
  <LinksUpToDate>false</LinksUpToDate>
  <CharactersWithSpaces>11188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SITHGAM005A Develop and manage gaming activities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2012-05-26T10:23:00Z</dcterms:created>
  <dcterms:modified xsi:type="dcterms:W3CDTF">2012-05-26T10:23:00Z</dcterms:modified>
</cp:coreProperties>
</file>