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5BA" w:rsidP="001015BA">
      <w:pPr>
        <w:pStyle w:val="Title"/>
      </w:pPr>
      <w:r>
        <w:fldChar w:fldCharType="begin"/>
      </w:r>
      <w:r>
        <w:instrText xml:space="preserve"> TITLE   \* MERGEFORMAT </w:instrText>
      </w:r>
      <w:r>
        <w:fldChar w:fldCharType="separate"/>
      </w:r>
      <w:r>
        <w:t>SITHGAM004B Analyse and report on gaming machine data</w:t>
      </w:r>
      <w:r>
        <w:fldChar w:fldCharType="end"/>
      </w:r>
    </w:p>
    <w:p w:rsidR="001015BA" w:rsidP="001015BA">
      <w:pPr>
        <w:pStyle w:val="Version"/>
        <w:sectPr w:rsidSect="00884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4685" w:rsidP="00884685">
      <w:pPr>
        <w:pStyle w:val="SuperHeading"/>
      </w:pPr>
      <w:r w:rsidRPr="00884685">
        <w:t>SITHGAM004B Analyse and report on gaming machine data</w:t>
      </w:r>
    </w:p>
    <w:p w:rsidR="00000000" w:rsidRPr="00884685" w:rsidP="00884685">
      <w:pPr>
        <w:pStyle w:val="SuperHeading"/>
      </w:pPr>
    </w:p>
    <w:p w:rsidR="00000000" w:rsidRPr="00884685" w:rsidP="00884685">
      <w:pPr>
        <w:pStyle w:val="Heading1"/>
      </w:pPr>
      <w:bookmarkStart w:id="1" w:name="O_147027"/>
      <w:bookmarkEnd w:id="1"/>
      <w:r w:rsidRPr="00884685">
        <w:t>Modification History</w:t>
      </w:r>
    </w:p>
    <w:p w:rsidR="00000000" w:rsidRPr="00884685" w:rsidP="00884685">
      <w:pPr>
        <w:pStyle w:val="BodyText"/>
      </w:pPr>
      <w:r w:rsidRPr="00884685">
        <w:t>Not applicable.</w:t>
      </w:r>
    </w:p>
    <w:p w:rsidR="00000000" w:rsidRPr="00884685" w:rsidP="00884685">
      <w:pPr>
        <w:pStyle w:val="AllowPageBreak"/>
      </w:pPr>
    </w:p>
    <w:p w:rsidR="00000000" w:rsidRPr="00884685" w:rsidP="00884685">
      <w:pPr>
        <w:pStyle w:val="Heading1"/>
      </w:pPr>
      <w:bookmarkStart w:id="2" w:name="O_147028"/>
      <w:bookmarkEnd w:id="2"/>
      <w:r w:rsidRPr="00884685">
        <w:t>Unit Descriptor</w:t>
      </w:r>
    </w:p>
    <w:tbl>
      <w:tblPr>
        <w:tblW w:w="0" w:type="auto"/>
        <w:tblLayout w:type="fixed"/>
        <w:tblCellMar>
          <w:left w:w="62" w:type="dxa"/>
          <w:right w:w="62" w:type="dxa"/>
        </w:tblCellMar>
        <w:tblLook w:val="0000"/>
      </w:tblPr>
      <w:tblGrid>
        <w:gridCol w:w="2836"/>
        <w:gridCol w:w="6344"/>
      </w:tblGrid>
      <w:tr w:rsidTr="001015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This unit describes the performance outcomes, skills and knowledge required to analyse and repo</w:t>
            </w:r>
            <w:r w:rsidRPr="00884685">
              <w:t xml:space="preserve">rt on gaming machine operations. </w:t>
            </w:r>
          </w:p>
          <w:p w:rsidR="00000000" w:rsidP="00884685">
            <w:pPr>
              <w:pStyle w:val="BodyText"/>
              <w:rPr>
                <w:lang w:val="en-NZ"/>
              </w:rPr>
            </w:pPr>
            <w:r w:rsidRPr="00884685">
              <w:t>In some States and Territories, responsible conduct of gambling or gaming is a requirement of state and territory legislation. This is addressed in SITHGAM006A Provide responsible gambling services.</w:t>
            </w:r>
          </w:p>
        </w:tc>
      </w:tr>
      <w:tr w:rsidTr="001015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p>
        </w:tc>
      </w:tr>
    </w:tbl>
    <w:p w:rsidR="00000000" w:rsidRPr="00884685" w:rsidP="00884685">
      <w:pPr>
        <w:pStyle w:val="BodyText"/>
      </w:pPr>
    </w:p>
    <w:p w:rsidR="00000000" w:rsidRPr="00884685" w:rsidP="00884685">
      <w:pPr>
        <w:pStyle w:val="AllowPageBreak"/>
      </w:pPr>
    </w:p>
    <w:p w:rsidR="00000000" w:rsidRPr="00884685" w:rsidP="00884685">
      <w:pPr>
        <w:pStyle w:val="Heading1"/>
      </w:pPr>
      <w:bookmarkStart w:id="3" w:name="O_147029"/>
      <w:bookmarkEnd w:id="3"/>
      <w:r w:rsidRPr="00884685">
        <w:t>Application of the Unit</w:t>
      </w:r>
    </w:p>
    <w:tbl>
      <w:tblPr>
        <w:tblW w:w="0" w:type="auto"/>
        <w:tblLayout w:type="fixed"/>
        <w:tblCellMar>
          <w:left w:w="62" w:type="dxa"/>
          <w:right w:w="62" w:type="dxa"/>
        </w:tblCellMar>
        <w:tblLook w:val="0000"/>
      </w:tblPr>
      <w:tblGrid>
        <w:gridCol w:w="2836"/>
        <w:gridCol w:w="6344"/>
      </w:tblGrid>
      <w:tr w:rsidTr="001015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t>This unit applies to all sectors of the hospitality industry where gaming activities are carried out, including clubs, hotels, pubs and casinos. It relates to the gaming machine reports generated for manageme</w:t>
            </w:r>
            <w:r w:rsidRPr="00884685">
              <w:t>nt by operational staff. These tasks are generally undertaken by a senior gaming attendant or supervisor.</w:t>
            </w:r>
          </w:p>
        </w:tc>
      </w:tr>
      <w:tr w:rsidTr="001015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p>
        </w:tc>
      </w:tr>
    </w:tbl>
    <w:p w:rsidR="00000000" w:rsidRPr="00884685" w:rsidP="00884685">
      <w:pPr>
        <w:pStyle w:val="BodyText"/>
      </w:pPr>
    </w:p>
    <w:p w:rsidR="00000000" w:rsidRPr="00884685" w:rsidP="00884685">
      <w:pPr>
        <w:pStyle w:val="AllowPageBreak"/>
      </w:pPr>
    </w:p>
    <w:p w:rsidR="00000000" w:rsidRPr="00884685" w:rsidP="00884685">
      <w:pPr>
        <w:pStyle w:val="Heading1"/>
      </w:pPr>
      <w:bookmarkStart w:id="4" w:name="O_147030"/>
      <w:bookmarkEnd w:id="4"/>
      <w:r w:rsidRPr="00884685">
        <w:t>Licensing/Regulatory Information</w:t>
      </w:r>
    </w:p>
    <w:p w:rsidR="00000000" w:rsidRPr="00884685" w:rsidP="00884685">
      <w:pPr>
        <w:pStyle w:val="BodyText"/>
      </w:pPr>
      <w:r w:rsidRPr="00884685">
        <w:t>Not applicable.</w:t>
      </w:r>
    </w:p>
    <w:p w:rsidR="00000000" w:rsidRPr="00884685" w:rsidP="00884685">
      <w:pPr>
        <w:pStyle w:val="AllowPageBreak"/>
      </w:pPr>
    </w:p>
    <w:p w:rsidR="00000000" w:rsidRPr="00884685" w:rsidP="00884685">
      <w:pPr>
        <w:pStyle w:val="Heading1"/>
      </w:pPr>
      <w:bookmarkStart w:id="5" w:name="O_147032"/>
      <w:bookmarkEnd w:id="5"/>
      <w:r w:rsidRPr="00884685">
        <w:t>Pre-Requisites</w:t>
      </w:r>
    </w:p>
    <w:tbl>
      <w:tblPr>
        <w:tblW w:w="0" w:type="auto"/>
        <w:tblLayout w:type="fixed"/>
        <w:tblCellMar>
          <w:left w:w="62" w:type="dxa"/>
          <w:right w:w="62" w:type="dxa"/>
        </w:tblCellMar>
        <w:tblLook w:val="0000"/>
      </w:tblPr>
      <w:tblGrid>
        <w:gridCol w:w="2836"/>
        <w:gridCol w:w="6344"/>
      </w:tblGrid>
      <w:tr w:rsidTr="001015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This unit must be assessed after the following prerequisite units:</w:t>
            </w:r>
          </w:p>
          <w:p w:rsidR="00000000" w:rsidRPr="00884685" w:rsidP="00884685">
            <w:pPr>
              <w:pStyle w:val="BodyText"/>
            </w:pPr>
            <w:r w:rsidRPr="00884685">
              <w:t>SITXFIN001A Process financial transactions</w:t>
            </w:r>
          </w:p>
          <w:p w:rsidR="00000000" w:rsidP="00884685">
            <w:pPr>
              <w:pStyle w:val="BodyText"/>
              <w:rPr>
                <w:lang w:val="en-NZ"/>
              </w:rPr>
            </w:pPr>
            <w:r w:rsidRPr="00884685">
              <w:t>SITHGAM001A Attend gaming machines.</w:t>
            </w:r>
          </w:p>
        </w:tc>
      </w:tr>
      <w:tr w:rsidTr="001015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p>
        </w:tc>
      </w:tr>
    </w:tbl>
    <w:p w:rsidR="00000000" w:rsidRPr="00884685" w:rsidP="00884685">
      <w:pPr>
        <w:pStyle w:val="BodyText"/>
      </w:pPr>
    </w:p>
    <w:p w:rsidR="00000000" w:rsidRPr="00884685" w:rsidP="00884685">
      <w:pPr>
        <w:pStyle w:val="AllowPageBreak"/>
      </w:pPr>
    </w:p>
    <w:p w:rsidR="00000000" w:rsidRPr="00884685" w:rsidP="00884685">
      <w:pPr>
        <w:pStyle w:val="Heading1"/>
      </w:pPr>
      <w:bookmarkStart w:id="6" w:name="O_147031"/>
      <w:bookmarkEnd w:id="6"/>
      <w:r w:rsidRPr="00884685">
        <w:t>Employability Skills Information</w:t>
      </w:r>
    </w:p>
    <w:tbl>
      <w:tblPr>
        <w:tblW w:w="0" w:type="auto"/>
        <w:tblLayout w:type="fixed"/>
        <w:tblCellMar>
          <w:left w:w="62" w:type="dxa"/>
          <w:right w:w="62" w:type="dxa"/>
        </w:tblCellMar>
        <w:tblLook w:val="0000"/>
      </w:tblPr>
      <w:tblGrid>
        <w:gridCol w:w="2836"/>
        <w:gridCol w:w="6344"/>
      </w:tblGrid>
      <w:tr w:rsidTr="001015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1015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p>
        </w:tc>
      </w:tr>
    </w:tbl>
    <w:p w:rsidR="00000000" w:rsidRPr="00884685" w:rsidP="00884685">
      <w:pPr>
        <w:pStyle w:val="BodyText"/>
      </w:pPr>
    </w:p>
    <w:p w:rsidR="00000000" w:rsidRPr="00884685" w:rsidP="00884685">
      <w:pPr>
        <w:pStyle w:val="AllowPageBreak"/>
      </w:pPr>
    </w:p>
    <w:p w:rsidR="00000000" w:rsidRPr="00884685" w:rsidP="00884685">
      <w:pPr>
        <w:pStyle w:val="Heading1"/>
      </w:pPr>
      <w:bookmarkStart w:id="7" w:name="O_147033"/>
      <w:bookmarkEnd w:id="7"/>
      <w:r w:rsidRPr="00884685">
        <w:t>Elements and Performance Criteria Pre-Content</w:t>
      </w:r>
    </w:p>
    <w:tbl>
      <w:tblPr>
        <w:tblW w:w="0" w:type="auto"/>
        <w:tblLayout w:type="fixed"/>
        <w:tblCellMar>
          <w:left w:w="62" w:type="dxa"/>
          <w:right w:w="62" w:type="dxa"/>
        </w:tblCellMar>
        <w:tblLook w:val="0000"/>
      </w:tblPr>
      <w:tblGrid>
        <w:gridCol w:w="2836"/>
        <w:gridCol w:w="6344"/>
      </w:tblGrid>
      <w:tr w:rsidTr="001015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 xml:space="preserve">Performance criteria describe the required performance needed to demonstrate achievement of the element. Where </w:t>
            </w:r>
            <w:r w:rsidRPr="00884685">
              <w:rPr>
                <w:rStyle w:val="BoldandItalics"/>
              </w:rPr>
              <w:t>bold itali</w:t>
            </w:r>
            <w:r w:rsidRPr="00884685">
              <w:rPr>
                <w:rStyle w:val="BoldandItalics"/>
              </w:rPr>
              <w:t>cised</w:t>
            </w:r>
            <w:r w:rsidRPr="00884685">
              <w:t xml:space="preserve"> text is used, further information is detailed in the required skills and knowledge and/or the range statement. Assessment of performance is to be consistent with the evidence guide.</w:t>
            </w:r>
          </w:p>
        </w:tc>
      </w:tr>
    </w:tbl>
    <w:p w:rsidR="00000000" w:rsidRPr="00884685" w:rsidP="00884685">
      <w:pPr>
        <w:pStyle w:val="BodyText"/>
      </w:pPr>
    </w:p>
    <w:p w:rsidR="00000000" w:rsidRPr="00884685" w:rsidP="00884685">
      <w:pPr>
        <w:pStyle w:val="AllowPageBreak"/>
      </w:pPr>
    </w:p>
    <w:p w:rsidR="00000000" w:rsidRPr="00884685" w:rsidP="00884685">
      <w:pPr>
        <w:pStyle w:val="Heading1"/>
      </w:pPr>
      <w:bookmarkStart w:id="8" w:name="O_147034"/>
      <w:bookmarkEnd w:id="8"/>
      <w:r w:rsidRPr="0088468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015B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84685" w:rsidP="00884685">
            <w:pPr>
              <w:pStyle w:val="List"/>
            </w:pPr>
            <w:r w:rsidRPr="0088468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rPr>
                <w:rStyle w:val="SpecialBold"/>
              </w:rPr>
              <w:t>PERFORMANCE CRITERIA</w:t>
            </w:r>
          </w:p>
        </w:tc>
      </w:tr>
      <w:tr w:rsidTr="001015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1</w:t>
            </w:r>
          </w:p>
        </w:tc>
        <w:tc>
          <w:tcPr>
            <w:tcW w:w="2410" w:type="dxa"/>
            <w:vMerge w:val="restart"/>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Obtain gaming machine data.</w:t>
            </w:r>
          </w:p>
        </w:tc>
        <w:tc>
          <w:tcPr>
            <w:tcW w:w="56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1.1</w:t>
            </w:r>
          </w:p>
        </w:tc>
        <w:tc>
          <w:tcPr>
            <w:tcW w:w="577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 xml:space="preserve">Retrieve data from </w:t>
            </w:r>
            <w:r w:rsidRPr="00884685">
              <w:rPr>
                <w:rStyle w:val="BoldandItalics"/>
              </w:rPr>
              <w:t>gaming machine and system</w:t>
            </w:r>
            <w:r w:rsidRPr="00884685">
              <w:t xml:space="preserve"> using </w:t>
            </w:r>
            <w:r w:rsidRPr="00884685">
              <w:rPr>
                <w:rStyle w:val="BoldandItalics"/>
              </w:rPr>
              <w:t>retrieval system</w:t>
            </w:r>
            <w:r w:rsidRPr="00884685">
              <w:t xml:space="preserve"> in line with enterprise procedures and legislative requirements.</w:t>
            </w:r>
          </w:p>
        </w:tc>
      </w:tr>
      <w:tr w:rsidTr="001015B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1.2</w:t>
            </w:r>
          </w:p>
        </w:tc>
        <w:tc>
          <w:tcPr>
            <w:tcW w:w="577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 xml:space="preserve">Record </w:t>
            </w:r>
            <w:r w:rsidRPr="00884685">
              <w:rPr>
                <w:rStyle w:val="BoldandItalics"/>
              </w:rPr>
              <w:t>data</w:t>
            </w:r>
            <w:r w:rsidRPr="00884685">
              <w:t xml:space="preserve"> using correct methods and terminology according to enterprise procedures and legislative requirements.</w:t>
            </w:r>
          </w:p>
        </w:tc>
      </w:tr>
      <w:tr w:rsidTr="001015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2</w:t>
            </w:r>
          </w:p>
        </w:tc>
        <w:tc>
          <w:tcPr>
            <w:tcW w:w="2410" w:type="dxa"/>
            <w:vMerge w:val="restart"/>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Analyse data.</w:t>
            </w:r>
          </w:p>
        </w:tc>
        <w:tc>
          <w:tcPr>
            <w:tcW w:w="56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2.1</w:t>
            </w:r>
          </w:p>
        </w:tc>
        <w:tc>
          <w:tcPr>
            <w:tcW w:w="577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Analyse data according to enterprise procedures and legislative requirements.</w:t>
            </w:r>
          </w:p>
        </w:tc>
      </w:tr>
      <w:tr w:rsidTr="001015B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2.2</w:t>
            </w:r>
          </w:p>
        </w:tc>
        <w:tc>
          <w:tcPr>
            <w:tcW w:w="577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Perform cash flow analysis according to the correct mathematical equation, including analysis of metered information and cash data.</w:t>
            </w:r>
          </w:p>
        </w:tc>
      </w:tr>
      <w:tr w:rsidTr="001015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2.3</w:t>
            </w:r>
          </w:p>
        </w:tc>
        <w:tc>
          <w:tcPr>
            <w:tcW w:w="577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Identify variances and determine possible causes according to legislative requirements and enterprise procedures.</w:t>
            </w:r>
          </w:p>
        </w:tc>
      </w:tr>
      <w:tr w:rsidTr="001015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3</w:t>
            </w:r>
          </w:p>
        </w:tc>
        <w:tc>
          <w:tcPr>
            <w:tcW w:w="2410"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Prepare reports.</w:t>
            </w:r>
          </w:p>
        </w:tc>
        <w:tc>
          <w:tcPr>
            <w:tcW w:w="56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3.1</w:t>
            </w:r>
          </w:p>
        </w:tc>
        <w:tc>
          <w:tcPr>
            <w:tcW w:w="577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 xml:space="preserve">Prepare </w:t>
            </w:r>
            <w:r w:rsidRPr="00884685">
              <w:rPr>
                <w:rStyle w:val="BoldandItalics"/>
              </w:rPr>
              <w:t>reports</w:t>
            </w:r>
            <w:r w:rsidRPr="00884685">
              <w:t xml:space="preserve"> and present them to the appropriate person according to industry and enterprise standards and legislative requirements.</w:t>
            </w:r>
          </w:p>
        </w:tc>
      </w:tr>
      <w:tr w:rsidTr="001015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4</w:t>
            </w:r>
          </w:p>
        </w:tc>
        <w:tc>
          <w:tcPr>
            <w:tcW w:w="2410"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884685">
            <w:pPr>
              <w:pStyle w:val="List"/>
              <w:rPr>
                <w:lang w:val="en-NZ"/>
              </w:rPr>
            </w:pPr>
            <w:r w:rsidRPr="00884685">
              <w:t>4.1</w:t>
            </w:r>
          </w:p>
        </w:tc>
        <w:tc>
          <w:tcPr>
            <w:tcW w:w="5777" w:type="dxa"/>
            <w:tcBorders>
              <w:top w:val="nil"/>
              <w:left w:val="nil"/>
              <w:bottom w:val="nil"/>
              <w:right w:val="nil"/>
            </w:tcBorders>
            <w:tcMar>
              <w:top w:w="0" w:type="dxa"/>
              <w:left w:w="62" w:type="dxa"/>
              <w:bottom w:w="0" w:type="dxa"/>
              <w:right w:w="62" w:type="dxa"/>
            </w:tcMar>
          </w:tcPr>
          <w:p w:rsidR="00000000" w:rsidRPr="00884685" w:rsidP="00884685">
            <w:pPr>
              <w:pStyle w:val="List"/>
            </w:pPr>
            <w:r w:rsidRPr="00884685">
              <w:t>Minimise use of printed materials and maximise electronic transmission and filing of all documents to reduce waste and negative environmental impacts.</w:t>
            </w:r>
          </w:p>
        </w:tc>
      </w:tr>
    </w:tbl>
    <w:p w:rsidR="00000000" w:rsidRPr="00884685" w:rsidP="00884685">
      <w:pPr>
        <w:pStyle w:val="BodyText"/>
      </w:pPr>
    </w:p>
    <w:p w:rsidR="00000000" w:rsidRPr="00884685" w:rsidP="00884685">
      <w:pPr>
        <w:pStyle w:val="AllowPageBreak"/>
      </w:pPr>
    </w:p>
    <w:p w:rsidR="00000000" w:rsidRPr="00884685" w:rsidP="00884685">
      <w:pPr>
        <w:pStyle w:val="Heading1"/>
      </w:pPr>
      <w:bookmarkStart w:id="9" w:name="O_147035"/>
      <w:bookmarkEnd w:id="9"/>
      <w:r w:rsidRPr="00884685">
        <w:t>Required Skills and Knowledge</w:t>
      </w:r>
    </w:p>
    <w:tbl>
      <w:tblPr>
        <w:tblW w:w="0" w:type="auto"/>
        <w:tblLayout w:type="fixed"/>
        <w:tblCellMar>
          <w:left w:w="62" w:type="dxa"/>
          <w:right w:w="62" w:type="dxa"/>
        </w:tblCellMar>
        <w:tblLook w:val="0000"/>
      </w:tblPr>
      <w:tblGrid>
        <w:gridCol w:w="9180"/>
      </w:tblGrid>
      <w:tr w:rsidTr="001015B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REQUIRED SKILLS AND KNOWLEDGE</w:t>
            </w:r>
          </w:p>
        </w:tc>
      </w:tr>
      <w:tr w:rsidTr="001015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t>This section describes th</w:t>
            </w:r>
            <w:r w:rsidRPr="00884685">
              <w:t>e essential skills and knowledge and their level, required for this unit.</w:t>
            </w:r>
          </w:p>
        </w:tc>
      </w:tr>
      <w:tr w:rsidTr="001015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The following skills must be assessed as part of this unit:</w:t>
            </w:r>
          </w:p>
          <w:p w:rsidR="00000000" w:rsidRPr="00884685" w:rsidP="00884685">
            <w:pPr>
              <w:pStyle w:val="ListBullet"/>
            </w:pPr>
            <w:r w:rsidRPr="00884685">
              <w:t>problem-solving skills to identify variances in data analysis, determine reason and rectify problem</w:t>
            </w:r>
          </w:p>
          <w:p w:rsidR="00000000" w:rsidRPr="00884685" w:rsidP="00884685">
            <w:pPr>
              <w:pStyle w:val="ListBullet"/>
            </w:pPr>
            <w:r w:rsidRPr="00884685">
              <w:t>literacy skills to compare data against key performance indicators and identify variances</w:t>
            </w:r>
          </w:p>
          <w:p w:rsidR="00000000" w:rsidRPr="00884685" w:rsidP="00884685">
            <w:pPr>
              <w:pStyle w:val="ListBullet"/>
            </w:pPr>
            <w:r w:rsidRPr="00884685">
              <w:t>writing skills to complete reports on gaming machine data or outcomes</w:t>
            </w:r>
          </w:p>
          <w:p w:rsidR="00000000" w:rsidP="00884685">
            <w:pPr>
              <w:pStyle w:val="ListBullet"/>
              <w:rPr>
                <w:lang w:val="en-NZ"/>
              </w:rPr>
            </w:pPr>
            <w:r w:rsidRPr="00884685">
              <w:t>numeracy skills to check and analyse data.</w:t>
            </w:r>
          </w:p>
        </w:tc>
      </w:tr>
      <w:tr w:rsidTr="001015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The following knowledge must be assessed as part o</w:t>
            </w:r>
            <w:r w:rsidRPr="00884685">
              <w:t>f this unit:</w:t>
            </w:r>
          </w:p>
          <w:p w:rsidR="00000000" w:rsidRPr="00884685" w:rsidP="00884685">
            <w:pPr>
              <w:pStyle w:val="ListBullet"/>
            </w:pPr>
            <w:r w:rsidRPr="00884685">
              <w:t>basic requirements of relevant state and territory legislation, including:</w:t>
            </w:r>
          </w:p>
          <w:p w:rsidR="00000000" w:rsidRPr="00884685" w:rsidP="00884685">
            <w:pPr>
              <w:pStyle w:val="ListBullet2"/>
            </w:pPr>
            <w:r w:rsidRPr="00884685">
              <w:t>requirements for record keeping, analysing and reporting on the operation of gaming machines and subsidiary equipment</w:t>
            </w:r>
          </w:p>
          <w:p w:rsidR="00000000" w:rsidRPr="00884685" w:rsidP="00884685">
            <w:pPr>
              <w:pStyle w:val="ListBullet2"/>
            </w:pPr>
            <w:r w:rsidRPr="00884685">
              <w:t>requirement for responsible provision of gambling services, including procedures for self-exclusion of problem gamblers</w:t>
            </w:r>
          </w:p>
          <w:p w:rsidR="00000000" w:rsidRPr="00884685" w:rsidP="00884685">
            <w:pPr>
              <w:pStyle w:val="ListBullet2"/>
            </w:pPr>
            <w:r w:rsidRPr="00884685">
              <w:t>general licence requirements</w:t>
            </w:r>
          </w:p>
          <w:p w:rsidR="00000000" w:rsidRPr="00884685" w:rsidP="00884685">
            <w:pPr>
              <w:pStyle w:val="ListBullet2"/>
            </w:pPr>
            <w:r w:rsidRPr="00884685">
              <w:t>licensing of repairers, service consultants and machine managers</w:t>
            </w:r>
          </w:p>
          <w:p w:rsidR="00000000" w:rsidRPr="00884685" w:rsidP="00884685">
            <w:pPr>
              <w:pStyle w:val="ListBullet2"/>
            </w:pPr>
            <w:r w:rsidRPr="00884685">
              <w:t>general accounting requirements</w:t>
            </w:r>
          </w:p>
          <w:p w:rsidR="00000000" w:rsidRPr="00884685" w:rsidP="00884685">
            <w:pPr>
              <w:pStyle w:val="ListBullet2"/>
            </w:pPr>
            <w:r w:rsidRPr="00884685">
              <w:t>fees, taxe</w:t>
            </w:r>
            <w:r w:rsidRPr="00884685">
              <w:t>s and levies</w:t>
            </w:r>
          </w:p>
          <w:p w:rsidR="00000000" w:rsidRPr="00884685" w:rsidP="00884685">
            <w:pPr>
              <w:pStyle w:val="ListBullet"/>
            </w:pPr>
            <w:r w:rsidRPr="00884685">
              <w:t>mathematical design and reconciliation of all linked systems</w:t>
            </w:r>
          </w:p>
          <w:p w:rsidR="00000000" w:rsidRPr="00884685" w:rsidP="00884685">
            <w:pPr>
              <w:pStyle w:val="ListBullet"/>
            </w:pPr>
            <w:r w:rsidRPr="00884685">
              <w:t>mathematical and analytical concepts relevant to gambling</w:t>
            </w:r>
          </w:p>
          <w:p w:rsidR="00000000" w:rsidRPr="00884685" w:rsidP="00884685">
            <w:pPr>
              <w:pStyle w:val="ListBullet"/>
            </w:pPr>
            <w:r w:rsidRPr="00884685">
              <w:t>working knowledge of a computerised gaming machine program.</w:t>
            </w:r>
          </w:p>
        </w:tc>
      </w:tr>
    </w:tbl>
    <w:p w:rsidR="001015BA" w:rsidP="00884685">
      <w:pPr>
        <w:pStyle w:val="BodyText"/>
      </w:pPr>
    </w:p>
    <w:p w:rsidR="001015BA" w:rsidP="00884685">
      <w:pPr>
        <w:pStyle w:val="BodyText"/>
      </w:pPr>
    </w:p>
    <w:p w:rsidR="00000000" w:rsidRPr="00884685" w:rsidP="00884685">
      <w:pPr>
        <w:pStyle w:val="Heading1"/>
      </w:pPr>
      <w:bookmarkStart w:id="10" w:name="O_147036"/>
      <w:bookmarkEnd w:id="10"/>
      <w:r w:rsidRPr="00884685">
        <w:t>Evidence Guide</w:t>
      </w:r>
    </w:p>
    <w:tbl>
      <w:tblPr>
        <w:tblW w:w="0" w:type="auto"/>
        <w:tblLayout w:type="fixed"/>
        <w:tblCellMar>
          <w:left w:w="62" w:type="dxa"/>
          <w:right w:w="62" w:type="dxa"/>
        </w:tblCellMar>
        <w:tblLook w:val="0000"/>
      </w:tblPr>
      <w:tblGrid>
        <w:gridCol w:w="3345"/>
        <w:gridCol w:w="5835"/>
      </w:tblGrid>
      <w:tr w:rsidTr="001015B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EVIDENCE GUIDE</w:t>
            </w:r>
          </w:p>
        </w:tc>
      </w:tr>
      <w:tr w:rsidTr="001015B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t>The evidence guide provides advice on assessment and must be read in conjunction with the performance criteria, required skills and knowledge, the range statement and the Assessment Guidelines for this Training Package.</w:t>
            </w: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Evidence of the following is essential:</w:t>
            </w:r>
          </w:p>
          <w:p w:rsidR="00000000" w:rsidRPr="00884685" w:rsidP="00884685">
            <w:pPr>
              <w:pStyle w:val="ListBullet"/>
            </w:pPr>
            <w:r w:rsidRPr="00884685">
              <w:t>ability to analyse and report on gaming machine data accurately for a range of different games appropriate to industry sector and enter</w:t>
            </w:r>
            <w:r w:rsidRPr="00884685">
              <w:t>prise</w:t>
            </w:r>
          </w:p>
          <w:p w:rsidR="00000000" w:rsidRPr="00884685" w:rsidP="00884685">
            <w:pPr>
              <w:pStyle w:val="ListBullet"/>
            </w:pPr>
            <w:r w:rsidRPr="00884685">
              <w:t>awareness of security issues and compliance with security procedures</w:t>
            </w:r>
          </w:p>
          <w:p w:rsidR="00000000" w:rsidRPr="00884685" w:rsidP="00884685">
            <w:pPr>
              <w:pStyle w:val="ListBullet"/>
            </w:pPr>
            <w:r w:rsidRPr="00884685">
              <w:t>compliance with legislative and licensing requirements</w:t>
            </w:r>
          </w:p>
          <w:p w:rsidR="00000000" w:rsidP="00884685">
            <w:pPr>
              <w:pStyle w:val="ListBullet"/>
              <w:rPr>
                <w:lang w:val="en-NZ"/>
              </w:rPr>
            </w:pPr>
            <w:r w:rsidRPr="00884685">
              <w:t>demonstration of skills in analysing and reporting on gaming machine data for various gaming machines on multiple occasions.</w:t>
            </w: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Context of and specific resources for assessment</w:t>
            </w:r>
            <w:r w:rsidRPr="00884685">
              <w:t xml:space="preserve"> </w:t>
            </w:r>
          </w:p>
        </w:tc>
        <w:tc>
          <w:tcPr>
            <w:tcW w:w="5835"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Assessment must ensure demonstration of skills using operational gaming machines and gaming equipment, including:</w:t>
            </w:r>
          </w:p>
          <w:p w:rsidR="00000000" w:rsidRPr="00884685" w:rsidP="00884685">
            <w:pPr>
              <w:pStyle w:val="ListBullet"/>
            </w:pPr>
            <w:r w:rsidRPr="00884685">
              <w:t>gaming machines, which may include poker machines, approved amusement devices, slot mach</w:t>
            </w:r>
            <w:r w:rsidRPr="00884685">
              <w:t>ines, multi-terminal gaming machines, progressive or stand-alone machines, stand-alone games, linked machines and linked progressive jackpot systems</w:t>
            </w:r>
          </w:p>
          <w:p w:rsidR="00000000" w:rsidRPr="00884685" w:rsidP="00884685">
            <w:pPr>
              <w:pStyle w:val="ListBullet"/>
            </w:pPr>
            <w:r w:rsidRPr="00884685">
              <w:t>applicable header systems</w:t>
            </w:r>
          </w:p>
          <w:p w:rsidR="00000000" w:rsidRPr="00884685" w:rsidP="00884685">
            <w:pPr>
              <w:pStyle w:val="ListBullet"/>
            </w:pPr>
            <w:r w:rsidRPr="00884685">
              <w:t>data retrieval system</w:t>
            </w:r>
          </w:p>
          <w:p w:rsidR="00000000" w:rsidP="00884685">
            <w:pPr>
              <w:pStyle w:val="ListBullet"/>
              <w:rPr>
                <w:lang w:val="en-NZ"/>
              </w:rPr>
            </w:pPr>
            <w:r w:rsidRPr="00884685">
              <w:t>gaming machine reporting software.</w:t>
            </w: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Methods of assessmen</w:t>
            </w:r>
            <w:r w:rsidRPr="00884685">
              <w:rPr>
                <w:rStyle w:val="SpecialBold"/>
              </w:rPr>
              <w:t>t</w:t>
            </w:r>
            <w:r w:rsidRPr="00884685">
              <w:t xml:space="preserve"> </w:t>
            </w:r>
          </w:p>
        </w:tc>
        <w:tc>
          <w:tcPr>
            <w:tcW w:w="5835"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 xml:space="preserve">A range of assessment methods should be used to assess practical skills and knowledge. The following examples are appropriate for this unit: </w:t>
            </w:r>
          </w:p>
          <w:p w:rsidR="00000000" w:rsidRPr="00884685" w:rsidP="00884685">
            <w:pPr>
              <w:pStyle w:val="ListBullet"/>
            </w:pPr>
            <w:r w:rsidRPr="00884685">
              <w:t>evaluation of reports and gaming data analysis completed by candidate</w:t>
            </w:r>
          </w:p>
          <w:p w:rsidR="00000000" w:rsidRPr="00884685" w:rsidP="00884685">
            <w:pPr>
              <w:pStyle w:val="ListBullet"/>
            </w:pPr>
            <w:r w:rsidRPr="00884685">
              <w:t>oral or written questions to assess knowledge of gaming legislation and enterprise procedures</w:t>
            </w:r>
          </w:p>
          <w:p w:rsidR="00000000" w:rsidRPr="00884685" w:rsidP="00884685">
            <w:pPr>
              <w:pStyle w:val="ListBullet"/>
            </w:pPr>
            <w:r w:rsidRPr="00884685">
              <w:t>review of portfolios of evidence and third-party workplace reports of on-the-job performance by the candidate.</w:t>
            </w:r>
          </w:p>
          <w:p w:rsidR="00000000" w:rsidRPr="00884685" w:rsidP="00884685">
            <w:pPr>
              <w:pStyle w:val="BodyText"/>
            </w:pPr>
            <w:r w:rsidRPr="00884685">
              <w:t>Holistic assessment with other units relevant to th</w:t>
            </w:r>
            <w:r w:rsidRPr="00884685">
              <w:t>e industry sector, workplace and job role is recommended, for example:</w:t>
            </w:r>
          </w:p>
          <w:p w:rsidR="00000000" w:rsidRPr="00884685" w:rsidP="00884685">
            <w:pPr>
              <w:pStyle w:val="BodyText"/>
            </w:pPr>
            <w:r w:rsidRPr="00884685">
              <w:t xml:space="preserve">SITHGAM005A Develop and manage gaming activities </w:t>
            </w:r>
          </w:p>
          <w:p w:rsidR="00000000" w:rsidP="00884685">
            <w:pPr>
              <w:pStyle w:val="BodyText"/>
              <w:rPr>
                <w:lang w:val="en-NZ"/>
              </w:rPr>
            </w:pPr>
            <w:r w:rsidRPr="00884685">
              <w:t>SITHGAM006A Provide responsible gambling services.</w:t>
            </w: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Employability skills are integral to effective pe</w:t>
            </w:r>
            <w:r w:rsidRPr="00884685">
              <w:t>rformance in the workplace and are broadly consistent across industry sectors. How these skills are applied varies between occupations and qualifications due to the different work functions and contexts.</w:t>
            </w:r>
          </w:p>
          <w:p w:rsidR="00000000" w:rsidRPr="00884685" w:rsidP="00884685">
            <w:pPr>
              <w:pStyle w:val="BodyText"/>
            </w:pPr>
            <w:r w:rsidRPr="00884685">
              <w:t>Employability skills embedded in this unit should be</w:t>
            </w:r>
            <w:r w:rsidRPr="00884685">
              <w:t xml:space="preserve"> assessed holistically with other relevant units that make up the skill set or qualification and in the context of the job role.</w:t>
            </w:r>
          </w:p>
        </w:tc>
      </w:tr>
    </w:tbl>
    <w:p w:rsidR="001015BA" w:rsidP="00884685">
      <w:pPr>
        <w:pStyle w:val="BodyText"/>
      </w:pPr>
    </w:p>
    <w:p w:rsidR="001015BA" w:rsidP="00884685">
      <w:pPr>
        <w:pStyle w:val="BodyText"/>
      </w:pPr>
    </w:p>
    <w:p w:rsidR="00000000" w:rsidRPr="00884685" w:rsidP="00884685">
      <w:pPr>
        <w:pStyle w:val="Heading1"/>
      </w:pPr>
      <w:bookmarkStart w:id="11" w:name="O_147037"/>
      <w:bookmarkEnd w:id="11"/>
      <w:r w:rsidRPr="00884685">
        <w:t>Range Statement</w:t>
      </w:r>
    </w:p>
    <w:tbl>
      <w:tblPr>
        <w:tblW w:w="0" w:type="auto"/>
        <w:tblLayout w:type="fixed"/>
        <w:tblCellMar>
          <w:left w:w="62" w:type="dxa"/>
          <w:right w:w="62" w:type="dxa"/>
        </w:tblCellMar>
        <w:tblLook w:val="0000"/>
      </w:tblPr>
      <w:tblGrid>
        <w:gridCol w:w="3345"/>
        <w:gridCol w:w="5835"/>
      </w:tblGrid>
      <w:tr w:rsidTr="001015B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RANGE STATEMENT</w:t>
            </w:r>
          </w:p>
        </w:tc>
      </w:tr>
      <w:tr w:rsidTr="001015B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t>The range statement relates to the unit of competency as a whole. It allows for different work environments and situations that may affect performance. Bold italicised wording in the performance criteria is detailed below.</w:t>
            </w:r>
          </w:p>
        </w:tc>
      </w:tr>
      <w:tr w:rsidTr="001015B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BoldandItalics"/>
              </w:rPr>
              <w:t>Gaming machines and systems</w:t>
            </w:r>
            <w:r w:rsidRPr="00884685">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884685" w:rsidP="00884685">
            <w:pPr>
              <w:pStyle w:val="ListBullet"/>
            </w:pPr>
            <w:r w:rsidRPr="00884685">
              <w:t>stand-alone gaming machines</w:t>
            </w:r>
          </w:p>
          <w:p w:rsidR="00000000" w:rsidRPr="00884685" w:rsidP="00884685">
            <w:pPr>
              <w:pStyle w:val="ListBullet"/>
            </w:pPr>
            <w:r w:rsidRPr="00884685">
              <w:t>stand-alone progressive jackpot machines</w:t>
            </w:r>
          </w:p>
          <w:p w:rsidR="00000000" w:rsidRPr="00884685" w:rsidP="00884685">
            <w:pPr>
              <w:pStyle w:val="ListBullet"/>
            </w:pPr>
            <w:r w:rsidRPr="00884685">
              <w:t>multi-terminal machines</w:t>
            </w:r>
          </w:p>
          <w:p w:rsidR="00000000" w:rsidRPr="00884685" w:rsidP="00884685">
            <w:pPr>
              <w:pStyle w:val="ListBullet"/>
            </w:pPr>
            <w:r w:rsidRPr="00884685">
              <w:t>linked progressive systems, including:</w:t>
            </w:r>
          </w:p>
          <w:p w:rsidR="00000000" w:rsidRPr="00884685" w:rsidP="00884685">
            <w:pPr>
              <w:pStyle w:val="ListBullet2"/>
            </w:pPr>
            <w:r w:rsidRPr="00884685">
              <w:t>bonus (random) link systems</w:t>
            </w:r>
          </w:p>
          <w:p w:rsidR="00000000" w:rsidRPr="00884685" w:rsidP="00884685">
            <w:pPr>
              <w:pStyle w:val="ListBullet2"/>
            </w:pPr>
            <w:r w:rsidRPr="00884685">
              <w:t>combination dependent systems</w:t>
            </w:r>
          </w:p>
          <w:p w:rsidR="00000000" w:rsidRPr="00884685" w:rsidP="00884685">
            <w:pPr>
              <w:pStyle w:val="ListBullet2"/>
            </w:pPr>
            <w:r w:rsidRPr="00884685">
              <w:t>progressive and stand-alone jackpot systems where appropriate</w:t>
            </w:r>
          </w:p>
          <w:p w:rsidR="00000000" w:rsidRPr="00884685" w:rsidP="00884685">
            <w:pPr>
              <w:pStyle w:val="ListBullet2"/>
            </w:pPr>
            <w:r w:rsidRPr="00884685">
              <w:t>inter-venue progressive jackpot link systems</w:t>
            </w:r>
          </w:p>
          <w:p w:rsidR="00000000" w:rsidRPr="00884685" w:rsidP="00884685">
            <w:pPr>
              <w:pStyle w:val="ListBullet2"/>
            </w:pPr>
            <w:r w:rsidRPr="00884685">
              <w:t>hyperlink</w:t>
            </w:r>
          </w:p>
          <w:p w:rsidR="00000000" w:rsidRPr="00884685" w:rsidP="00884685">
            <w:pPr>
              <w:pStyle w:val="ListBullet"/>
            </w:pPr>
            <w:r w:rsidRPr="00884685">
              <w:t>player loyalty systems</w:t>
            </w:r>
          </w:p>
          <w:p w:rsidR="00000000" w:rsidP="00884685">
            <w:pPr>
              <w:pStyle w:val="ListBullet"/>
              <w:rPr>
                <w:lang w:val="en-NZ"/>
              </w:rPr>
            </w:pPr>
            <w:r w:rsidRPr="00884685">
              <w:t>data retrieval systems.</w:t>
            </w: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BoldandItalics"/>
              </w:rPr>
              <w:t>Retrieval systems</w:t>
            </w:r>
            <w:r w:rsidRPr="00884685">
              <w:t xml:space="preserve"> may be: </w:t>
            </w:r>
          </w:p>
        </w:tc>
        <w:tc>
          <w:tcPr>
            <w:tcW w:w="5835" w:type="dxa"/>
            <w:tcBorders>
              <w:top w:val="nil"/>
              <w:left w:val="nil"/>
              <w:bottom w:val="nil"/>
              <w:right w:val="nil"/>
            </w:tcBorders>
            <w:tcMar>
              <w:top w:w="0" w:type="dxa"/>
              <w:left w:w="62" w:type="dxa"/>
              <w:bottom w:w="0" w:type="dxa"/>
              <w:right w:w="62" w:type="dxa"/>
            </w:tcMar>
          </w:tcPr>
          <w:p w:rsidR="00000000" w:rsidRPr="00884685" w:rsidP="00884685">
            <w:pPr>
              <w:pStyle w:val="ListBullet"/>
            </w:pPr>
            <w:r w:rsidRPr="00884685">
              <w:t>manual</w:t>
            </w:r>
          </w:p>
          <w:p w:rsidR="00000000" w:rsidRPr="00884685" w:rsidP="00884685">
            <w:pPr>
              <w:pStyle w:val="ListBullet"/>
            </w:pPr>
            <w:r w:rsidRPr="00884685">
              <w:t>electronic</w:t>
            </w:r>
          </w:p>
          <w:p w:rsidR="00000000" w:rsidRPr="00884685" w:rsidP="00884685">
            <w:pPr>
              <w:pStyle w:val="ListBullet"/>
            </w:pPr>
            <w:r w:rsidRPr="00884685">
              <w:t>accounting, including header and venue-specific</w:t>
            </w:r>
          </w:p>
          <w:p w:rsidR="00000000" w:rsidP="00884685">
            <w:pPr>
              <w:pStyle w:val="ListBullet"/>
              <w:rPr>
                <w:lang w:val="en-NZ"/>
              </w:rPr>
            </w:pPr>
            <w:r w:rsidRPr="00884685">
              <w:t>promotional.</w:t>
            </w: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BoldandItalics"/>
              </w:rPr>
              <w:t>Data</w:t>
            </w:r>
            <w:r w:rsidRPr="00884685">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884685" w:rsidP="00884685">
            <w:pPr>
              <w:pStyle w:val="ListBullet"/>
            </w:pPr>
            <w:r w:rsidRPr="00884685">
              <w:t>gross results of a gaming machine's operation, including meter readings and their increments</w:t>
            </w:r>
          </w:p>
          <w:p w:rsidR="00000000" w:rsidRPr="00884685" w:rsidP="00884685">
            <w:pPr>
              <w:pStyle w:val="ListBullet"/>
            </w:pPr>
            <w:r w:rsidRPr="00884685">
              <w:t>operational data of a gaming machine, including clearances, payouts and hopper wei</w:t>
            </w:r>
            <w:r w:rsidRPr="00884685">
              <w:t>gh amounts</w:t>
            </w:r>
          </w:p>
          <w:p w:rsidR="00000000" w:rsidP="00884685">
            <w:pPr>
              <w:pStyle w:val="ListBullet"/>
              <w:rPr>
                <w:lang w:val="en-NZ"/>
              </w:rPr>
            </w:pPr>
            <w:r w:rsidRPr="00884685">
              <w:t>cash flow, including machine specifications and linked progressive jackpot configurations.</w:t>
            </w: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p>
        </w:tc>
      </w:tr>
      <w:tr w:rsidTr="001015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BoldandItalics"/>
              </w:rPr>
              <w:t>Reports</w:t>
            </w:r>
            <w:r w:rsidRPr="00884685">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884685" w:rsidP="00884685">
            <w:pPr>
              <w:pStyle w:val="ListBullet"/>
            </w:pPr>
            <w:r w:rsidRPr="00884685">
              <w:t>paper-based or electronically transmitted materials</w:t>
            </w:r>
          </w:p>
          <w:p w:rsidR="00000000" w:rsidRPr="00884685" w:rsidP="00884685">
            <w:pPr>
              <w:pStyle w:val="ListBullet"/>
            </w:pPr>
            <w:r w:rsidRPr="00884685">
              <w:t>cash flow analysis</w:t>
            </w:r>
          </w:p>
          <w:p w:rsidR="00000000" w:rsidRPr="00884685" w:rsidP="00884685">
            <w:pPr>
              <w:pStyle w:val="ListBullet"/>
            </w:pPr>
            <w:r w:rsidRPr="00884685">
              <w:t>net revenue analysis and profit variance</w:t>
            </w:r>
          </w:p>
          <w:p w:rsidR="00000000" w:rsidRPr="00884685" w:rsidP="00884685">
            <w:pPr>
              <w:pStyle w:val="ListBullet"/>
            </w:pPr>
            <w:r w:rsidRPr="00884685">
              <w:t>meter comparison report</w:t>
            </w:r>
          </w:p>
          <w:p w:rsidR="00000000" w:rsidRPr="00884685" w:rsidP="00884685">
            <w:pPr>
              <w:pStyle w:val="ListBullet"/>
            </w:pPr>
            <w:r w:rsidRPr="00884685">
              <w:t>history reports, including net revenue analysis and profit variance</w:t>
            </w:r>
          </w:p>
          <w:p w:rsidR="00000000" w:rsidRPr="00884685" w:rsidP="00884685">
            <w:pPr>
              <w:pStyle w:val="ListBullet"/>
            </w:pPr>
            <w:r w:rsidRPr="00884685">
              <w:t>stand-alone progressive and link-progressive jackpot system reconciliations</w:t>
            </w:r>
          </w:p>
          <w:p w:rsidR="00000000" w:rsidRPr="00884685" w:rsidP="00884685">
            <w:pPr>
              <w:pStyle w:val="ListBullet"/>
            </w:pPr>
            <w:r w:rsidRPr="00884685">
              <w:t>reports to enterprise management</w:t>
            </w:r>
          </w:p>
          <w:p w:rsidR="00000000" w:rsidRPr="00884685" w:rsidP="00884685">
            <w:pPr>
              <w:pStyle w:val="ListBullet"/>
            </w:pPr>
            <w:r w:rsidRPr="00884685">
              <w:t>profit reports and declarations</w:t>
            </w:r>
          </w:p>
          <w:p w:rsidR="00000000" w:rsidRPr="00884685" w:rsidP="00884685">
            <w:pPr>
              <w:pStyle w:val="ListBullet"/>
            </w:pPr>
            <w:r w:rsidRPr="00884685">
              <w:t>duty calculations and r</w:t>
            </w:r>
            <w:r w:rsidRPr="00884685">
              <w:t>eturns.</w:t>
            </w:r>
          </w:p>
        </w:tc>
      </w:tr>
    </w:tbl>
    <w:p w:rsidR="001015BA" w:rsidP="00884685">
      <w:pPr>
        <w:pStyle w:val="BodyText"/>
      </w:pPr>
    </w:p>
    <w:p w:rsidR="001015BA" w:rsidP="00884685">
      <w:pPr>
        <w:pStyle w:val="BodyText"/>
      </w:pPr>
    </w:p>
    <w:p w:rsidR="00000000" w:rsidRPr="00884685" w:rsidP="00884685">
      <w:pPr>
        <w:pStyle w:val="Heading1"/>
      </w:pPr>
      <w:bookmarkStart w:id="12" w:name="O_147038"/>
      <w:bookmarkEnd w:id="12"/>
      <w:r w:rsidRPr="00884685">
        <w:t>Unit Sector(s)</w:t>
      </w:r>
    </w:p>
    <w:tbl>
      <w:tblPr>
        <w:tblW w:w="0" w:type="auto"/>
        <w:tblLayout w:type="fixed"/>
        <w:tblCellMar>
          <w:left w:w="62" w:type="dxa"/>
          <w:right w:w="62" w:type="dxa"/>
        </w:tblCellMar>
        <w:tblLook w:val="0000"/>
      </w:tblPr>
      <w:tblGrid>
        <w:gridCol w:w="2836"/>
        <w:gridCol w:w="6344"/>
      </w:tblGrid>
      <w:tr w:rsidTr="001015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r w:rsidRPr="00884685">
              <w:t>Hospitality</w:t>
            </w:r>
          </w:p>
        </w:tc>
      </w:tr>
    </w:tbl>
    <w:p w:rsidR="00000000" w:rsidRPr="00884685" w:rsidP="00884685">
      <w:pPr>
        <w:pStyle w:val="BodyText"/>
      </w:pPr>
    </w:p>
    <w:p w:rsidR="00000000" w:rsidRPr="00884685" w:rsidP="00884685">
      <w:pPr>
        <w:pStyle w:val="AllowPageBreak"/>
      </w:pPr>
    </w:p>
    <w:p w:rsidR="00000000" w:rsidRPr="00884685" w:rsidP="00884685">
      <w:pPr>
        <w:pStyle w:val="Heading1"/>
      </w:pPr>
      <w:bookmarkStart w:id="13" w:name="O_163337"/>
      <w:bookmarkEnd w:id="13"/>
      <w:r w:rsidRPr="00884685">
        <w:t>Competency field</w:t>
      </w:r>
    </w:p>
    <w:tbl>
      <w:tblPr>
        <w:tblW w:w="0" w:type="auto"/>
        <w:tblLayout w:type="fixed"/>
        <w:tblCellMar>
          <w:left w:w="62" w:type="dxa"/>
          <w:right w:w="62" w:type="dxa"/>
        </w:tblCellMar>
        <w:tblLook w:val="0000"/>
      </w:tblPr>
      <w:tblGrid>
        <w:gridCol w:w="2836"/>
        <w:gridCol w:w="6344"/>
      </w:tblGrid>
      <w:tr w:rsidTr="001015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84685">
            <w:pPr>
              <w:pStyle w:val="BodyText"/>
              <w:rPr>
                <w:lang w:val="en-NZ"/>
              </w:rPr>
            </w:pPr>
            <w:r w:rsidRPr="00884685">
              <w:t>Gaming</w:t>
            </w:r>
          </w:p>
        </w:tc>
      </w:tr>
      <w:tr w:rsidTr="001015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4685" w:rsidP="00884685">
            <w:pPr>
              <w:pStyle w:val="BodyText"/>
            </w:pPr>
          </w:p>
        </w:tc>
      </w:tr>
    </w:tbl>
    <w:p w:rsidR="00000000" w:rsidRPr="00884685" w:rsidP="00884685">
      <w:pPr>
        <w:pStyle w:val="BodyText"/>
      </w:pPr>
    </w:p>
    <w:p w:rsidR="00000000" w:rsidRPr="00884685" w:rsidP="00884685"/>
    <w:sectPr w:rsidSect="00884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5BA" w:rsidP="001015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BA" w:rsidP="00884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15BA" w:rsidP="00884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015BA" w:rsidP="00884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5BA" w:rsidP="001015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BA" w:rsidP="00884685">
    <w:pPr>
      <w:pStyle w:val="Header"/>
      <w:framePr w:wrap="around"/>
    </w:pPr>
    <w:r>
      <w:fldChar w:fldCharType="begin"/>
    </w:r>
    <w:r>
      <w:instrText xml:space="preserve"> TITLE   \* MERGEFORMAT </w:instrText>
    </w:r>
    <w:r>
      <w:fldChar w:fldCharType="separate"/>
    </w:r>
    <w:r>
      <w:t>SITHGAM004B Analyse and report on gaming machine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15BA" w:rsidP="008846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02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09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00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6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4685"/>
    <w:pPr>
      <w:spacing w:before="360" w:after="60"/>
      <w:outlineLvl w:val="0"/>
    </w:pPr>
    <w:rPr>
      <w:sz w:val="32"/>
    </w:rPr>
  </w:style>
  <w:style w:type="paragraph" w:styleId="Heading2">
    <w:name w:val="heading 2"/>
    <w:basedOn w:val="HeadingBase"/>
    <w:next w:val="BodyText"/>
    <w:link w:val="Heading2Char"/>
    <w:qFormat/>
    <w:rsid w:val="00884685"/>
    <w:pPr>
      <w:keepLines/>
      <w:spacing w:before="240" w:after="120"/>
      <w:outlineLvl w:val="1"/>
    </w:pPr>
    <w:rPr>
      <w:sz w:val="28"/>
      <w:szCs w:val="40"/>
    </w:rPr>
  </w:style>
  <w:style w:type="paragraph" w:styleId="Heading3">
    <w:name w:val="heading 3"/>
    <w:basedOn w:val="HeadingBase"/>
    <w:next w:val="BodyText"/>
    <w:link w:val="Heading3Char"/>
    <w:qFormat/>
    <w:rsid w:val="00884685"/>
    <w:pPr>
      <w:spacing w:before="180" w:after="120"/>
      <w:outlineLvl w:val="2"/>
    </w:pPr>
    <w:rPr>
      <w:spacing w:val="-10"/>
      <w:kern w:val="32"/>
    </w:rPr>
  </w:style>
  <w:style w:type="paragraph" w:styleId="Heading4">
    <w:name w:val="heading 4"/>
    <w:basedOn w:val="HeadingBase"/>
    <w:next w:val="BodyText"/>
    <w:link w:val="Heading4Char"/>
    <w:qFormat/>
    <w:rsid w:val="00884685"/>
    <w:pPr>
      <w:spacing w:before="160" w:after="120"/>
      <w:outlineLvl w:val="3"/>
    </w:pPr>
    <w:rPr>
      <w:sz w:val="22"/>
    </w:rPr>
  </w:style>
  <w:style w:type="paragraph" w:styleId="Heading5">
    <w:name w:val="heading 5"/>
    <w:basedOn w:val="HeadingBase"/>
    <w:next w:val="Normal"/>
    <w:link w:val="Heading5Char"/>
    <w:qFormat/>
    <w:rsid w:val="00884685"/>
    <w:pPr>
      <w:spacing w:before="80"/>
      <w:outlineLvl w:val="4"/>
    </w:pPr>
    <w:rPr>
      <w:color w:val="918585"/>
      <w:sz w:val="20"/>
    </w:rPr>
  </w:style>
  <w:style w:type="paragraph" w:styleId="Heading6">
    <w:name w:val="heading 6"/>
    <w:basedOn w:val="HeadingBase"/>
    <w:next w:val="Normal"/>
    <w:link w:val="Heading6Char"/>
    <w:qFormat/>
    <w:rsid w:val="00884685"/>
    <w:pPr>
      <w:spacing w:before="60"/>
      <w:outlineLvl w:val="5"/>
    </w:pPr>
    <w:rPr>
      <w:color w:val="918585"/>
      <w:sz w:val="20"/>
    </w:rPr>
  </w:style>
  <w:style w:type="paragraph" w:styleId="Heading7">
    <w:name w:val="heading 7"/>
    <w:basedOn w:val="Normal"/>
    <w:next w:val="Normal"/>
    <w:link w:val="Heading7Char"/>
    <w:qFormat/>
    <w:rsid w:val="00884685"/>
    <w:pPr>
      <w:ind w:left="720"/>
      <w:outlineLvl w:val="6"/>
    </w:pPr>
    <w:rPr>
      <w:i/>
    </w:rPr>
  </w:style>
  <w:style w:type="paragraph" w:styleId="Heading8">
    <w:name w:val="heading 8"/>
    <w:basedOn w:val="Normal"/>
    <w:next w:val="Normal"/>
    <w:link w:val="Heading8Char"/>
    <w:qFormat/>
    <w:rsid w:val="00884685"/>
    <w:pPr>
      <w:ind w:left="720"/>
      <w:outlineLvl w:val="7"/>
    </w:pPr>
    <w:rPr>
      <w:i/>
    </w:rPr>
  </w:style>
  <w:style w:type="paragraph" w:styleId="Heading9">
    <w:name w:val="heading 9"/>
    <w:basedOn w:val="Normal"/>
    <w:next w:val="Normal"/>
    <w:link w:val="Heading9Char"/>
    <w:qFormat/>
    <w:rsid w:val="00884685"/>
    <w:pPr>
      <w:ind w:left="720"/>
      <w:outlineLvl w:val="8"/>
    </w:pPr>
    <w:rPr>
      <w:i/>
    </w:rPr>
  </w:style>
  <w:style w:type="character" w:default="1" w:styleId="DefaultParagraphFont">
    <w:name w:val="Default Paragraph Font"/>
    <w:uiPriority w:val="1"/>
    <w:unhideWhenUsed/>
    <w:rsid w:val="00884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685"/>
  </w:style>
  <w:style w:type="character" w:customStyle="1" w:styleId="Heading1Char">
    <w:name w:val="Heading 1 Char"/>
    <w:basedOn w:val="DefaultParagraphFont"/>
    <w:link w:val="Heading1"/>
    <w:rsid w:val="00884685"/>
    <w:rPr>
      <w:rFonts w:ascii="Times New Roman" w:eastAsia="Times New Roman" w:hAnsi="Times New Roman" w:cs="Times New Roman"/>
      <w:b/>
      <w:sz w:val="32"/>
      <w:szCs w:val="20"/>
      <w:lang w:eastAsia="en-US"/>
    </w:rPr>
  </w:style>
  <w:style w:type="paragraph" w:styleId="BodyText">
    <w:name w:val="Body Text"/>
    <w:basedOn w:val="Normal"/>
    <w:link w:val="BodyTextChar"/>
    <w:rsid w:val="00884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4685"/>
    <w:rPr>
      <w:rFonts w:ascii="Times New Roman" w:eastAsia="Times New Roman" w:hAnsi="Times New Roman" w:cs="Times New Roman"/>
      <w:sz w:val="24"/>
      <w:lang w:val="en-US" w:eastAsia="en-US"/>
    </w:rPr>
  </w:style>
  <w:style w:type="paragraph" w:styleId="Footer">
    <w:name w:val="footer"/>
    <w:basedOn w:val="Normal"/>
    <w:link w:val="FooterChar"/>
    <w:rsid w:val="00884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685"/>
    <w:rPr>
      <w:rFonts w:ascii="Times New Roman" w:eastAsia="Times New Roman" w:hAnsi="Times New Roman" w:cs="Times New Roman"/>
      <w:sz w:val="16"/>
      <w:lang w:val="en-US" w:eastAsia="en-US"/>
    </w:rPr>
  </w:style>
  <w:style w:type="paragraph" w:styleId="List">
    <w:name w:val="List"/>
    <w:basedOn w:val="BodyText"/>
    <w:next w:val="BodyText"/>
    <w:rsid w:val="00884685"/>
    <w:pPr>
      <w:tabs>
        <w:tab w:val="left" w:pos="340"/>
      </w:tabs>
      <w:spacing w:before="60" w:after="60"/>
      <w:ind w:left="340" w:hanging="340"/>
    </w:pPr>
  </w:style>
  <w:style w:type="paragraph" w:styleId="ListBullet">
    <w:name w:val="List Bullet"/>
    <w:basedOn w:val="List"/>
    <w:rsid w:val="00884685"/>
    <w:pPr>
      <w:numPr>
        <w:numId w:val="13"/>
      </w:numPr>
      <w:tabs>
        <w:tab w:val="clear" w:pos="340"/>
      </w:tabs>
      <w:spacing w:before="40" w:after="40"/>
    </w:pPr>
  </w:style>
  <w:style w:type="character" w:customStyle="1" w:styleId="SpecialBold">
    <w:name w:val="Special Bold"/>
    <w:basedOn w:val="DefaultParagraphFont"/>
    <w:rsid w:val="00884685"/>
    <w:rPr>
      <w:b/>
      <w:spacing w:val="0"/>
    </w:rPr>
  </w:style>
  <w:style w:type="paragraph" w:styleId="ListBullet2">
    <w:name w:val="List Bullet 2"/>
    <w:basedOn w:val="List2"/>
    <w:rsid w:val="00884685"/>
    <w:pPr>
      <w:numPr>
        <w:numId w:val="14"/>
      </w:numPr>
      <w:tabs>
        <w:tab w:val="clear" w:pos="680"/>
      </w:tabs>
    </w:pPr>
  </w:style>
  <w:style w:type="paragraph" w:styleId="Header">
    <w:name w:val="header"/>
    <w:basedOn w:val="Normal"/>
    <w:link w:val="HeaderChar"/>
    <w:rsid w:val="00884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6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4685"/>
    <w:pPr>
      <w:spacing w:before="240" w:after="120"/>
      <w:outlineLvl w:val="0"/>
    </w:pPr>
    <w:rPr>
      <w:rFonts w:ascii="Times New Roman" w:hAnsi="Times New Roman"/>
      <w:b/>
      <w:sz w:val="28"/>
    </w:rPr>
  </w:style>
  <w:style w:type="paragraph" w:customStyle="1" w:styleId="AllowPageBreak">
    <w:name w:val="AllowPageBreak"/>
    <w:rsid w:val="00884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4685"/>
    <w:rPr>
      <w:b/>
      <w:i/>
      <w:u w:val="none"/>
    </w:rPr>
  </w:style>
  <w:style w:type="character" w:customStyle="1" w:styleId="Heading2Char">
    <w:name w:val="Heading 2 Char"/>
    <w:basedOn w:val="DefaultParagraphFont"/>
    <w:link w:val="Heading2"/>
    <w:rsid w:val="00884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6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46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4685"/>
    <w:rPr>
      <w:rFonts w:ascii="Courier New" w:eastAsia="Times New Roman" w:hAnsi="Courier New" w:cs="Times New Roman"/>
      <w:i/>
      <w:szCs w:val="20"/>
      <w:lang w:val="en-US" w:eastAsia="en-US"/>
    </w:rPr>
  </w:style>
  <w:style w:type="paragraph" w:customStyle="1" w:styleId="HeadingBase">
    <w:name w:val="Heading Base"/>
    <w:rsid w:val="00884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685"/>
    <w:pPr>
      <w:tabs>
        <w:tab w:val="right" w:leader="dot" w:pos="9072"/>
      </w:tabs>
      <w:ind w:left="567"/>
    </w:pPr>
    <w:rPr>
      <w:szCs w:val="22"/>
    </w:rPr>
  </w:style>
  <w:style w:type="paragraph" w:customStyle="1" w:styleId="TOCBase">
    <w:name w:val="TOC Base"/>
    <w:rsid w:val="00884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685"/>
    <w:pPr>
      <w:tabs>
        <w:tab w:val="right" w:leader="dot" w:pos="9072"/>
      </w:tabs>
      <w:spacing w:before="40" w:after="40"/>
      <w:ind w:left="284"/>
    </w:pPr>
    <w:rPr>
      <w:rFonts w:ascii="Times New Roman" w:hAnsi="Times New Roman"/>
    </w:rPr>
  </w:style>
  <w:style w:type="paragraph" w:styleId="TOC1">
    <w:name w:val="toc 1"/>
    <w:basedOn w:val="TOCBase"/>
    <w:next w:val="Normal"/>
    <w:rsid w:val="00884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4685"/>
    <w:pPr>
      <w:spacing w:before="5040"/>
      <w:jc w:val="center"/>
    </w:pPr>
    <w:rPr>
      <w:sz w:val="48"/>
      <w:szCs w:val="72"/>
      <w:lang w:val="en-US"/>
    </w:rPr>
  </w:style>
  <w:style w:type="character" w:customStyle="1" w:styleId="TitleChar">
    <w:name w:val="Title Char"/>
    <w:basedOn w:val="DefaultParagraphFont"/>
    <w:link w:val="Title"/>
    <w:rsid w:val="00884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685"/>
    <w:pPr>
      <w:tabs>
        <w:tab w:val="left" w:pos="3600"/>
        <w:tab w:val="left" w:pos="3958"/>
      </w:tabs>
    </w:pPr>
  </w:style>
  <w:style w:type="paragraph" w:customStyle="1" w:styleId="Note">
    <w:name w:val="Note"/>
    <w:basedOn w:val="BodyText"/>
    <w:rsid w:val="00884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685"/>
    <w:pPr>
      <w:framePr w:wrap="auto" w:hAnchor="text" w:y="6049"/>
    </w:pPr>
    <w:rPr>
      <w:color w:val="000000"/>
      <w:sz w:val="40"/>
    </w:rPr>
  </w:style>
  <w:style w:type="paragraph" w:customStyle="1" w:styleId="TOCTitle">
    <w:name w:val="TOCTitle"/>
    <w:basedOn w:val="Heading1"/>
    <w:rsid w:val="00884685"/>
    <w:pPr>
      <w:spacing w:after="240"/>
      <w:jc w:val="center"/>
      <w:outlineLvl w:val="9"/>
    </w:pPr>
    <w:rPr>
      <w:caps/>
    </w:rPr>
  </w:style>
  <w:style w:type="paragraph" w:customStyle="1" w:styleId="Version">
    <w:name w:val="Version"/>
    <w:rsid w:val="00884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685"/>
    <w:pPr>
      <w:keepNext w:val="0"/>
      <w:tabs>
        <w:tab w:val="right" w:pos="4176"/>
      </w:tabs>
      <w:ind w:left="198" w:hanging="198"/>
    </w:pPr>
    <w:rPr>
      <w:rFonts w:ascii="Garamond" w:hAnsi="Garamond"/>
    </w:rPr>
  </w:style>
  <w:style w:type="paragraph" w:styleId="IndexHeading">
    <w:name w:val="index heading"/>
    <w:basedOn w:val="Normal"/>
    <w:next w:val="Index1"/>
    <w:semiHidden/>
    <w:rsid w:val="00884685"/>
    <w:pPr>
      <w:spacing w:before="120" w:after="120"/>
    </w:pPr>
    <w:rPr>
      <w:rFonts w:ascii="Arial" w:hAnsi="Arial"/>
      <w:b/>
      <w:color w:val="918585"/>
      <w:sz w:val="24"/>
    </w:rPr>
  </w:style>
  <w:style w:type="paragraph" w:customStyle="1" w:styleId="Chapter">
    <w:name w:val="Chapter"/>
    <w:basedOn w:val="Normal"/>
    <w:rsid w:val="00884685"/>
    <w:pPr>
      <w:spacing w:before="240"/>
    </w:pPr>
    <w:rPr>
      <w:rFonts w:ascii="Times New Roman" w:hAnsi="Times New Roman"/>
      <w:smallCaps/>
      <w:spacing w:val="80"/>
      <w:sz w:val="28"/>
    </w:rPr>
  </w:style>
  <w:style w:type="paragraph" w:customStyle="1" w:styleId="InChapter">
    <w:name w:val="InChapter"/>
    <w:basedOn w:val="Heading3"/>
    <w:rsid w:val="00884685"/>
    <w:pPr>
      <w:spacing w:after="240"/>
      <w:outlineLvl w:val="9"/>
    </w:pPr>
    <w:rPr>
      <w:noProof/>
    </w:rPr>
  </w:style>
  <w:style w:type="paragraph" w:styleId="Index2">
    <w:name w:val="index 2"/>
    <w:basedOn w:val="Normal"/>
    <w:next w:val="Normal"/>
    <w:semiHidden/>
    <w:rsid w:val="00884685"/>
    <w:pPr>
      <w:tabs>
        <w:tab w:val="right" w:pos="4176"/>
      </w:tabs>
      <w:ind w:left="568" w:hanging="284"/>
    </w:pPr>
    <w:rPr>
      <w:rFonts w:ascii="Garamond" w:hAnsi="Garamond"/>
    </w:rPr>
  </w:style>
  <w:style w:type="paragraph" w:customStyle="1" w:styleId="Byline">
    <w:name w:val="Byline"/>
    <w:rsid w:val="00884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685"/>
    <w:pPr>
      <w:tabs>
        <w:tab w:val="clear" w:pos="3600"/>
        <w:tab w:val="clear" w:pos="3958"/>
      </w:tabs>
      <w:jc w:val="right"/>
    </w:pPr>
  </w:style>
  <w:style w:type="character" w:styleId="Emphasis">
    <w:name w:val="Emphasis"/>
    <w:basedOn w:val="DefaultParagraphFont"/>
    <w:qFormat/>
    <w:rsid w:val="00884685"/>
    <w:rPr>
      <w:i/>
    </w:rPr>
  </w:style>
  <w:style w:type="paragraph" w:styleId="Caption">
    <w:name w:val="caption"/>
    <w:basedOn w:val="BodyText"/>
    <w:next w:val="Normal"/>
    <w:qFormat/>
    <w:rsid w:val="00884685"/>
    <w:pPr>
      <w:framePr w:w="2268" w:hSpace="181" w:vSpace="181" w:wrap="around" w:vAnchor="text" w:hAnchor="page" w:x="1135" w:y="285" w:anchorLock="1"/>
    </w:pPr>
    <w:rPr>
      <w:i/>
    </w:rPr>
  </w:style>
  <w:style w:type="paragraph" w:customStyle="1" w:styleId="MiniTOCTitle">
    <w:name w:val="MiniTOCTitle"/>
    <w:basedOn w:val="Heading4"/>
    <w:rsid w:val="00884685"/>
    <w:pPr>
      <w:spacing w:before="240"/>
      <w:outlineLvl w:val="9"/>
    </w:pPr>
    <w:rPr>
      <w:noProof/>
      <w:sz w:val="24"/>
    </w:rPr>
  </w:style>
  <w:style w:type="paragraph" w:customStyle="1" w:styleId="MiniTOCItem">
    <w:name w:val="MiniTOCItem"/>
    <w:basedOn w:val="ListBullet"/>
    <w:rsid w:val="00884685"/>
    <w:pPr>
      <w:numPr>
        <w:numId w:val="0"/>
      </w:numPr>
      <w:tabs>
        <w:tab w:val="right" w:leader="dot" w:pos="6521"/>
      </w:tabs>
      <w:spacing w:before="0" w:after="0"/>
    </w:pPr>
  </w:style>
  <w:style w:type="paragraph" w:customStyle="1" w:styleId="TOFTitle">
    <w:name w:val="TOFTitle"/>
    <w:basedOn w:val="TOCTitle"/>
    <w:rsid w:val="00884685"/>
  </w:style>
  <w:style w:type="paragraph" w:styleId="TableofFigures">
    <w:name w:val="table of figures"/>
    <w:basedOn w:val="Normal"/>
    <w:next w:val="Normal"/>
    <w:semiHidden/>
    <w:rsid w:val="00884685"/>
    <w:pPr>
      <w:tabs>
        <w:tab w:val="right" w:leader="dot" w:pos="9072"/>
      </w:tabs>
      <w:ind w:left="970" w:hanging="403"/>
    </w:pPr>
    <w:rPr>
      <w:rFonts w:ascii="Times New Roman" w:hAnsi="Times New Roman"/>
      <w:b/>
    </w:rPr>
  </w:style>
  <w:style w:type="paragraph" w:styleId="ListNumber">
    <w:name w:val="List Number"/>
    <w:basedOn w:val="List"/>
    <w:rsid w:val="00884685"/>
    <w:pPr>
      <w:numPr>
        <w:numId w:val="11"/>
      </w:numPr>
    </w:pPr>
  </w:style>
  <w:style w:type="character" w:customStyle="1" w:styleId="WingdingSymbols">
    <w:name w:val="Wingding Symbols"/>
    <w:rsid w:val="00884685"/>
    <w:rPr>
      <w:rFonts w:ascii="Wingdings" w:hAnsi="Wingdings"/>
    </w:rPr>
  </w:style>
  <w:style w:type="paragraph" w:customStyle="1" w:styleId="TableHeading">
    <w:name w:val="Table Heading"/>
    <w:basedOn w:val="HeadingBase"/>
    <w:rsid w:val="00884685"/>
    <w:pPr>
      <w:keepLines/>
      <w:pBdr>
        <w:bottom w:val="single" w:sz="6" w:space="1" w:color="918585"/>
      </w:pBdr>
      <w:spacing w:before="240"/>
    </w:pPr>
  </w:style>
  <w:style w:type="character" w:customStyle="1" w:styleId="HotSpot">
    <w:name w:val="HotSpot"/>
    <w:rsid w:val="00884685"/>
    <w:rPr>
      <w:color w:val="0033CC"/>
      <w:u w:val="none"/>
    </w:rPr>
  </w:style>
  <w:style w:type="paragraph" w:customStyle="1" w:styleId="BodyTextRight">
    <w:name w:val="Body Text Right"/>
    <w:basedOn w:val="BodyText"/>
    <w:rsid w:val="00884685"/>
    <w:pPr>
      <w:spacing w:before="0" w:after="0"/>
      <w:jc w:val="right"/>
    </w:pPr>
  </w:style>
  <w:style w:type="paragraph" w:styleId="Index3">
    <w:name w:val="index 3"/>
    <w:basedOn w:val="ListNumber2"/>
    <w:next w:val="Normal"/>
    <w:semiHidden/>
    <w:rsid w:val="00884685"/>
    <w:pPr>
      <w:numPr>
        <w:numId w:val="0"/>
      </w:numPr>
      <w:tabs>
        <w:tab w:val="right" w:leader="dot" w:pos="4176"/>
      </w:tabs>
    </w:pPr>
  </w:style>
  <w:style w:type="paragraph" w:styleId="ListNumber2">
    <w:name w:val="List Number 2"/>
    <w:basedOn w:val="List2"/>
    <w:rsid w:val="00884685"/>
    <w:pPr>
      <w:numPr>
        <w:numId w:val="10"/>
      </w:numPr>
      <w:tabs>
        <w:tab w:val="clear" w:pos="1060"/>
      </w:tabs>
    </w:pPr>
  </w:style>
  <w:style w:type="paragraph" w:customStyle="1" w:styleId="MarginNote">
    <w:name w:val="Margin Note"/>
    <w:basedOn w:val="BodyText"/>
    <w:rsid w:val="00884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6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4685"/>
    <w:rPr>
      <w:sz w:val="32"/>
    </w:rPr>
  </w:style>
  <w:style w:type="paragraph" w:customStyle="1" w:styleId="HeadingProcedure">
    <w:name w:val="Heading Procedure"/>
    <w:basedOn w:val="HeadingBase"/>
    <w:next w:val="Normal"/>
    <w:rsid w:val="00884685"/>
    <w:pPr>
      <w:tabs>
        <w:tab w:val="left" w:pos="0"/>
      </w:tabs>
      <w:spacing w:before="120" w:after="60"/>
    </w:pPr>
    <w:rPr>
      <w:i/>
      <w:color w:val="918585"/>
      <w:sz w:val="22"/>
    </w:rPr>
  </w:style>
  <w:style w:type="paragraph" w:customStyle="1" w:styleId="TableBodyText">
    <w:name w:val="Table Body Text"/>
    <w:basedOn w:val="BodyText"/>
    <w:rsid w:val="00884685"/>
    <w:pPr>
      <w:spacing w:before="60" w:after="60"/>
    </w:pPr>
  </w:style>
  <w:style w:type="paragraph" w:styleId="ListContinue">
    <w:name w:val="List Continue"/>
    <w:basedOn w:val="List"/>
    <w:rsid w:val="00884685"/>
    <w:pPr>
      <w:ind w:firstLine="0"/>
    </w:pPr>
  </w:style>
  <w:style w:type="paragraph" w:customStyle="1" w:styleId="ListNote">
    <w:name w:val="List Note"/>
    <w:basedOn w:val="List"/>
    <w:rsid w:val="00884685"/>
    <w:pPr>
      <w:pBdr>
        <w:top w:val="single" w:sz="6" w:space="2" w:color="918585"/>
        <w:bottom w:val="single" w:sz="6" w:space="2" w:color="918585"/>
      </w:pBdr>
      <w:tabs>
        <w:tab w:val="left" w:pos="1021"/>
      </w:tabs>
      <w:ind w:firstLine="0"/>
    </w:pPr>
  </w:style>
  <w:style w:type="paragraph" w:customStyle="1" w:styleId="Warning">
    <w:name w:val="Warning"/>
    <w:basedOn w:val="BodyText"/>
    <w:rsid w:val="00884685"/>
    <w:pPr>
      <w:shd w:val="clear" w:color="auto" w:fill="D9D9D9"/>
      <w:tabs>
        <w:tab w:val="left" w:pos="992"/>
      </w:tabs>
      <w:ind w:left="119" w:right="119"/>
    </w:pPr>
    <w:rPr>
      <w:sz w:val="20"/>
    </w:rPr>
  </w:style>
  <w:style w:type="paragraph" w:customStyle="1" w:styleId="MarginIcons">
    <w:name w:val="Margin Icons"/>
    <w:basedOn w:val="BodyText"/>
    <w:rsid w:val="00884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685"/>
    <w:rPr>
      <w:rFonts w:ascii="Courier New" w:hAnsi="Courier New"/>
    </w:rPr>
  </w:style>
  <w:style w:type="paragraph" w:customStyle="1" w:styleId="NoteBullet">
    <w:name w:val="Note Bullet"/>
    <w:basedOn w:val="Note"/>
    <w:rsid w:val="00884685"/>
    <w:pPr>
      <w:tabs>
        <w:tab w:val="clear" w:pos="680"/>
      </w:tabs>
      <w:spacing w:before="60" w:after="60"/>
    </w:pPr>
  </w:style>
  <w:style w:type="paragraph" w:customStyle="1" w:styleId="SubHeading2">
    <w:name w:val="SubHeading2"/>
    <w:basedOn w:val="HeadingBase"/>
    <w:rsid w:val="00884685"/>
    <w:pPr>
      <w:spacing w:before="240" w:after="60"/>
    </w:pPr>
    <w:rPr>
      <w:sz w:val="20"/>
    </w:rPr>
  </w:style>
  <w:style w:type="paragraph" w:customStyle="1" w:styleId="SubHeading1">
    <w:name w:val="SubHeading1"/>
    <w:basedOn w:val="HeadingBase"/>
    <w:rsid w:val="00884685"/>
    <w:pPr>
      <w:spacing w:before="240" w:after="60"/>
    </w:pPr>
    <w:rPr>
      <w:color w:val="918585"/>
      <w:sz w:val="22"/>
    </w:rPr>
  </w:style>
  <w:style w:type="paragraph" w:customStyle="1" w:styleId="SideHeading">
    <w:name w:val="Side Heading"/>
    <w:basedOn w:val="HeadingBase"/>
    <w:rsid w:val="00884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685"/>
    <w:pPr>
      <w:numPr>
        <w:numId w:val="12"/>
      </w:numPr>
    </w:pPr>
  </w:style>
  <w:style w:type="paragraph" w:styleId="PlainText">
    <w:name w:val="Plain Text"/>
    <w:basedOn w:val="Normal"/>
    <w:link w:val="PlainTextChar"/>
    <w:rsid w:val="00884685"/>
    <w:rPr>
      <w:sz w:val="20"/>
    </w:rPr>
  </w:style>
  <w:style w:type="character" w:customStyle="1" w:styleId="PlainTextChar">
    <w:name w:val="Plain Text Char"/>
    <w:basedOn w:val="DefaultParagraphFont"/>
    <w:link w:val="PlainText"/>
    <w:rsid w:val="008846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4685"/>
    <w:rPr>
      <w:b/>
      <w:smallCaps/>
    </w:rPr>
  </w:style>
  <w:style w:type="paragraph" w:customStyle="1" w:styleId="TableListNumber">
    <w:name w:val="Table List Number"/>
    <w:basedOn w:val="ListNumber"/>
    <w:rsid w:val="00884685"/>
    <w:pPr>
      <w:numPr>
        <w:numId w:val="0"/>
      </w:numPr>
    </w:pPr>
  </w:style>
  <w:style w:type="paragraph" w:styleId="TOC4">
    <w:name w:val="toc 4"/>
    <w:basedOn w:val="TOCBase"/>
    <w:next w:val="Normal"/>
    <w:semiHidden/>
    <w:rsid w:val="00884685"/>
    <w:pPr>
      <w:tabs>
        <w:tab w:val="right" w:leader="dot" w:pos="9071"/>
      </w:tabs>
      <w:ind w:left="1701"/>
    </w:pPr>
  </w:style>
  <w:style w:type="paragraph" w:customStyle="1" w:styleId="ListAlpha">
    <w:name w:val="List Alpha"/>
    <w:basedOn w:val="List"/>
    <w:rsid w:val="00884685"/>
    <w:pPr>
      <w:numPr>
        <w:numId w:val="9"/>
      </w:numPr>
    </w:pPr>
  </w:style>
  <w:style w:type="paragraph" w:customStyle="1" w:styleId="ListAlpha2">
    <w:name w:val="List Alpha 2"/>
    <w:basedOn w:val="List2"/>
    <w:rsid w:val="00884685"/>
    <w:pPr>
      <w:numPr>
        <w:numId w:val="8"/>
      </w:numPr>
    </w:pPr>
  </w:style>
  <w:style w:type="paragraph" w:styleId="List2">
    <w:name w:val="List 2"/>
    <w:basedOn w:val="BodyText"/>
    <w:rsid w:val="00884685"/>
    <w:pPr>
      <w:tabs>
        <w:tab w:val="left" w:pos="680"/>
      </w:tabs>
      <w:spacing w:before="60" w:after="60"/>
      <w:ind w:left="680" w:hanging="340"/>
    </w:pPr>
  </w:style>
  <w:style w:type="paragraph" w:styleId="List3">
    <w:name w:val="List 3"/>
    <w:basedOn w:val="BodyText"/>
    <w:rsid w:val="00884685"/>
    <w:pPr>
      <w:tabs>
        <w:tab w:val="left" w:pos="1021"/>
      </w:tabs>
      <w:spacing w:before="60" w:after="60"/>
      <w:ind w:left="1020" w:hanging="340"/>
    </w:pPr>
  </w:style>
  <w:style w:type="paragraph" w:styleId="List4">
    <w:name w:val="List 4"/>
    <w:basedOn w:val="BodyText"/>
    <w:rsid w:val="00884685"/>
    <w:pPr>
      <w:tabs>
        <w:tab w:val="left" w:pos="1361"/>
      </w:tabs>
      <w:spacing w:before="60" w:after="60"/>
      <w:ind w:left="1361" w:hanging="340"/>
    </w:pPr>
  </w:style>
  <w:style w:type="paragraph" w:styleId="List5">
    <w:name w:val="List 5"/>
    <w:basedOn w:val="BodyText"/>
    <w:rsid w:val="00884685"/>
    <w:pPr>
      <w:tabs>
        <w:tab w:val="left" w:pos="1701"/>
      </w:tabs>
      <w:spacing w:before="60" w:after="60"/>
      <w:ind w:left="1701" w:hanging="340"/>
    </w:pPr>
  </w:style>
  <w:style w:type="paragraph" w:styleId="ListBullet3">
    <w:name w:val="List Bullet 3"/>
    <w:basedOn w:val="List3"/>
    <w:rsid w:val="00884685"/>
    <w:pPr>
      <w:numPr>
        <w:numId w:val="15"/>
      </w:numPr>
      <w:tabs>
        <w:tab w:val="clear" w:pos="1021"/>
      </w:tabs>
      <w:ind w:left="1037" w:hanging="357"/>
    </w:pPr>
  </w:style>
  <w:style w:type="paragraph" w:styleId="ListBullet4">
    <w:name w:val="List Bullet 4"/>
    <w:basedOn w:val="List4"/>
    <w:rsid w:val="00884685"/>
    <w:pPr>
      <w:numPr>
        <w:numId w:val="3"/>
      </w:numPr>
    </w:pPr>
  </w:style>
  <w:style w:type="paragraph" w:styleId="ListBullet5">
    <w:name w:val="List Bullet 5"/>
    <w:basedOn w:val="List5"/>
    <w:rsid w:val="00884685"/>
    <w:pPr>
      <w:numPr>
        <w:numId w:val="4"/>
      </w:numPr>
    </w:pPr>
  </w:style>
  <w:style w:type="paragraph" w:styleId="ListContinue2">
    <w:name w:val="List Continue 2"/>
    <w:basedOn w:val="List2"/>
    <w:rsid w:val="00884685"/>
    <w:pPr>
      <w:ind w:firstLine="0"/>
    </w:pPr>
  </w:style>
  <w:style w:type="paragraph" w:styleId="ListContinue3">
    <w:name w:val="List Continue 3"/>
    <w:basedOn w:val="List3"/>
    <w:rsid w:val="00884685"/>
    <w:pPr>
      <w:ind w:left="1021" w:firstLine="0"/>
    </w:pPr>
  </w:style>
  <w:style w:type="paragraph" w:styleId="ListContinue4">
    <w:name w:val="List Continue 4"/>
    <w:basedOn w:val="List4"/>
    <w:rsid w:val="00884685"/>
    <w:pPr>
      <w:ind w:firstLine="0"/>
    </w:pPr>
  </w:style>
  <w:style w:type="paragraph" w:styleId="ListContinue5">
    <w:name w:val="List Continue 5"/>
    <w:basedOn w:val="List5"/>
    <w:rsid w:val="00884685"/>
    <w:pPr>
      <w:ind w:firstLine="0"/>
    </w:pPr>
  </w:style>
  <w:style w:type="paragraph" w:styleId="ListNumber3">
    <w:name w:val="List Number 3"/>
    <w:basedOn w:val="List3"/>
    <w:rsid w:val="00884685"/>
    <w:pPr>
      <w:numPr>
        <w:numId w:val="5"/>
      </w:numPr>
    </w:pPr>
  </w:style>
  <w:style w:type="paragraph" w:styleId="ListNumber4">
    <w:name w:val="List Number 4"/>
    <w:basedOn w:val="List4"/>
    <w:rsid w:val="00884685"/>
    <w:pPr>
      <w:numPr>
        <w:numId w:val="6"/>
      </w:numPr>
    </w:pPr>
  </w:style>
  <w:style w:type="paragraph" w:styleId="ListNumber5">
    <w:name w:val="List Number 5"/>
    <w:basedOn w:val="List5"/>
    <w:rsid w:val="00884685"/>
    <w:pPr>
      <w:numPr>
        <w:numId w:val="7"/>
      </w:numPr>
    </w:pPr>
  </w:style>
  <w:style w:type="paragraph" w:styleId="BlockText">
    <w:name w:val="Block Text"/>
    <w:basedOn w:val="Normal"/>
    <w:rsid w:val="00884685"/>
    <w:pPr>
      <w:spacing w:after="120"/>
      <w:ind w:left="1440" w:right="1440"/>
    </w:pPr>
  </w:style>
  <w:style w:type="character" w:customStyle="1" w:styleId="Subscript">
    <w:name w:val="Subscript"/>
    <w:basedOn w:val="DefaultParagraphFont"/>
    <w:rsid w:val="00884685"/>
    <w:rPr>
      <w:sz w:val="16"/>
      <w:vertAlign w:val="subscript"/>
    </w:rPr>
  </w:style>
  <w:style w:type="character" w:customStyle="1" w:styleId="Superscript">
    <w:name w:val="Superscript"/>
    <w:basedOn w:val="DefaultParagraphFont"/>
    <w:rsid w:val="00884685"/>
    <w:rPr>
      <w:sz w:val="16"/>
      <w:vertAlign w:val="superscript"/>
    </w:rPr>
  </w:style>
  <w:style w:type="character" w:customStyle="1" w:styleId="Symbols">
    <w:name w:val="Symbols"/>
    <w:basedOn w:val="DefaultParagraphFont"/>
    <w:rsid w:val="00884685"/>
    <w:rPr>
      <w:rFonts w:ascii="Symbol" w:hAnsi="Symbol"/>
    </w:rPr>
  </w:style>
  <w:style w:type="character" w:customStyle="1" w:styleId="MenuOptions">
    <w:name w:val="Menu Options"/>
    <w:basedOn w:val="DefaultParagraphFont"/>
    <w:rsid w:val="00884685"/>
    <w:rPr>
      <w:rFonts w:ascii="Arial Narrow" w:hAnsi="Arial Narrow"/>
      <w:smallCaps/>
    </w:rPr>
  </w:style>
  <w:style w:type="character" w:customStyle="1" w:styleId="Buttons">
    <w:name w:val="Buttons"/>
    <w:basedOn w:val="DefaultParagraphFont"/>
    <w:rsid w:val="00884685"/>
    <w:rPr>
      <w:b/>
    </w:rPr>
  </w:style>
  <w:style w:type="character" w:customStyle="1" w:styleId="Underlined">
    <w:name w:val="Underlined"/>
    <w:basedOn w:val="DefaultParagraphFont"/>
    <w:rsid w:val="00884685"/>
    <w:rPr>
      <w:u w:val="single"/>
    </w:rPr>
  </w:style>
  <w:style w:type="paragraph" w:customStyle="1" w:styleId="TableBodyTextRight">
    <w:name w:val="Table Body Text Right"/>
    <w:basedOn w:val="TableBodyText"/>
    <w:rsid w:val="00884685"/>
    <w:pPr>
      <w:widowControl w:val="0"/>
      <w:autoSpaceDE w:val="0"/>
      <w:autoSpaceDN w:val="0"/>
      <w:adjustRightInd w:val="0"/>
      <w:jc w:val="right"/>
    </w:pPr>
    <w:rPr>
      <w:rFonts w:cs="Arial"/>
      <w:szCs w:val="18"/>
    </w:rPr>
  </w:style>
  <w:style w:type="paragraph" w:customStyle="1" w:styleId="CopyrightText">
    <w:name w:val="Copyright Text"/>
    <w:basedOn w:val="BodyText"/>
    <w:rsid w:val="00884685"/>
    <w:rPr>
      <w:sz w:val="18"/>
    </w:rPr>
  </w:style>
  <w:style w:type="paragraph" w:customStyle="1" w:styleId="BodySmallRight">
    <w:name w:val="Body Small Right"/>
    <w:basedOn w:val="BodyTextRight"/>
    <w:rsid w:val="00884685"/>
    <w:rPr>
      <w:sz w:val="18"/>
      <w:szCs w:val="18"/>
    </w:rPr>
  </w:style>
  <w:style w:type="paragraph" w:customStyle="1" w:styleId="MarginEdition">
    <w:name w:val="Margin Edition"/>
    <w:basedOn w:val="MarginNote"/>
    <w:rsid w:val="00884685"/>
    <w:pPr>
      <w:spacing w:before="0" w:after="0"/>
    </w:pPr>
    <w:rPr>
      <w:rFonts w:ascii="Times New Roman" w:hAnsi="Times New Roman"/>
      <w:color w:val="999999"/>
    </w:rPr>
  </w:style>
  <w:style w:type="paragraph" w:customStyle="1" w:styleId="Spacer">
    <w:name w:val="Spacer"/>
    <w:basedOn w:val="Normal"/>
    <w:rsid w:val="00884685"/>
    <w:rPr>
      <w:sz w:val="2"/>
      <w:szCs w:val="2"/>
    </w:rPr>
  </w:style>
  <w:style w:type="character" w:customStyle="1" w:styleId="Small">
    <w:name w:val="Small"/>
    <w:basedOn w:val="DefaultParagraphFont"/>
    <w:rsid w:val="00884685"/>
    <w:rPr>
      <w:sz w:val="16"/>
    </w:rPr>
  </w:style>
  <w:style w:type="paragraph" w:customStyle="1" w:styleId="WideTable">
    <w:name w:val="Wide Table"/>
    <w:basedOn w:val="Normal"/>
    <w:rsid w:val="00884685"/>
    <w:pPr>
      <w:ind w:left="-1418"/>
    </w:pPr>
    <w:rPr>
      <w:sz w:val="2"/>
      <w:szCs w:val="2"/>
    </w:rPr>
  </w:style>
  <w:style w:type="character" w:styleId="PageNumber">
    <w:name w:val="page number"/>
    <w:basedOn w:val="DefaultParagraphFont"/>
    <w:rsid w:val="00884685"/>
  </w:style>
  <w:style w:type="paragraph" w:styleId="Quote">
    <w:name w:val="Quote"/>
    <w:basedOn w:val="Heading1"/>
    <w:link w:val="QuoteChar"/>
    <w:qFormat/>
    <w:rsid w:val="00884685"/>
    <w:rPr>
      <w:b w:val="0"/>
      <w:sz w:val="72"/>
      <w:szCs w:val="72"/>
      <w:lang w:val="en-NZ"/>
    </w:rPr>
  </w:style>
  <w:style w:type="character" w:customStyle="1" w:styleId="QuoteChar">
    <w:name w:val="Quote Char"/>
    <w:basedOn w:val="DefaultParagraphFont"/>
    <w:link w:val="Quote"/>
    <w:rsid w:val="00884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685"/>
    <w:pPr>
      <w:pageBreakBefore/>
    </w:pPr>
  </w:style>
  <w:style w:type="paragraph" w:customStyle="1" w:styleId="Border">
    <w:name w:val="Border"/>
    <w:basedOn w:val="Normal"/>
    <w:qFormat/>
    <w:rsid w:val="00884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685"/>
    <w:rPr>
      <w:b/>
      <w:bCs/>
      <w:i/>
      <w:iCs/>
      <w:color w:val="auto"/>
    </w:rPr>
  </w:style>
  <w:style w:type="paragraph" w:styleId="IntenseQuote">
    <w:name w:val="Intense Quote"/>
    <w:basedOn w:val="Normal"/>
    <w:next w:val="Normal"/>
    <w:link w:val="IntenseQuoteChar"/>
    <w:uiPriority w:val="30"/>
    <w:qFormat/>
    <w:rsid w:val="00884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6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4685"/>
    <w:rPr>
      <w:smallCaps/>
      <w:color w:val="auto"/>
      <w:u w:val="single"/>
    </w:rPr>
  </w:style>
  <w:style w:type="character" w:styleId="IntenseReference">
    <w:name w:val="Intense Reference"/>
    <w:basedOn w:val="DefaultParagraphFont"/>
    <w:uiPriority w:val="32"/>
    <w:qFormat/>
    <w:rsid w:val="00884685"/>
    <w:rPr>
      <w:b/>
      <w:bCs/>
      <w:smallCaps/>
      <w:color w:val="auto"/>
      <w:spacing w:val="5"/>
      <w:u w:val="single"/>
    </w:rPr>
  </w:style>
  <w:style w:type="paragraph" w:customStyle="1" w:styleId="2ColumnHeading">
    <w:name w:val="2Column Heading"/>
    <w:basedOn w:val="BodyText"/>
    <w:qFormat/>
    <w:rsid w:val="00884685"/>
    <w:pPr>
      <w:spacing w:after="60"/>
      <w:ind w:left="-2268"/>
    </w:pPr>
    <w:rPr>
      <w:b/>
    </w:rPr>
  </w:style>
  <w:style w:type="paragraph" w:customStyle="1" w:styleId="Heading1TOC">
    <w:name w:val="Heading1 TOC"/>
    <w:basedOn w:val="Normal"/>
    <w:qFormat/>
    <w:rsid w:val="00884685"/>
    <w:pPr>
      <w:spacing w:before="240" w:after="120"/>
    </w:pPr>
    <w:rPr>
      <w:rFonts w:ascii="Times New Roman" w:hAnsi="Times New Roman"/>
      <w:b/>
      <w:sz w:val="32"/>
    </w:rPr>
  </w:style>
  <w:style w:type="paragraph" w:customStyle="1" w:styleId="Heading2TOC">
    <w:name w:val="Heading2 TOC"/>
    <w:basedOn w:val="Normal"/>
    <w:qFormat/>
    <w:rsid w:val="00884685"/>
    <w:pPr>
      <w:spacing w:before="240" w:after="60"/>
    </w:pPr>
    <w:rPr>
      <w:rFonts w:ascii="Times New Roman" w:hAnsi="Times New Roman"/>
      <w:b/>
      <w:sz w:val="28"/>
    </w:rPr>
  </w:style>
  <w:style w:type="character" w:customStyle="1" w:styleId="Underline">
    <w:name w:val="Underline"/>
    <w:basedOn w:val="DefaultParagraphFont"/>
    <w:qFormat/>
    <w:rsid w:val="00884685"/>
    <w:rPr>
      <w:u w:val="single"/>
    </w:rPr>
  </w:style>
  <w:style w:type="paragraph" w:styleId="BalloonText">
    <w:name w:val="Balloon Text"/>
    <w:basedOn w:val="Normal"/>
    <w:link w:val="BalloonTextChar"/>
    <w:rsid w:val="00884685"/>
    <w:rPr>
      <w:rFonts w:ascii="Tahoma" w:hAnsi="Tahoma" w:cs="Tahoma"/>
      <w:sz w:val="16"/>
      <w:szCs w:val="16"/>
    </w:rPr>
  </w:style>
  <w:style w:type="character" w:customStyle="1" w:styleId="BalloonTextChar">
    <w:name w:val="Balloon Text Char"/>
    <w:basedOn w:val="DefaultParagraphFont"/>
    <w:link w:val="BalloonText"/>
    <w:rsid w:val="008846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4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46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6981</Characters>
  <Application>Microsoft Office Word</Application>
  <DocSecurity>0</DocSecurity>
  <Lines>284</Lines>
  <Paragraphs>135</Paragraphs>
  <ScaleCrop>false</ScaleCrop>
  <Company>Author-it Software Corporation Ltd.</Company>
  <LinksUpToDate>false</LinksUpToDate>
  <CharactersWithSpaces>7979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SITHGAM004B Analyse and report on gaming machine data</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2012-05-26T10:23:00Z</dcterms:created>
  <dcterms:modified xsi:type="dcterms:W3CDTF">2012-05-26T10:23:00Z</dcterms:modified>
</cp:coreProperties>
</file>