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12E3" w:rsidP="00F812E3">
      <w:pPr>
        <w:pStyle w:val="Title"/>
      </w:pPr>
      <w:r>
        <w:fldChar w:fldCharType="begin"/>
      </w:r>
      <w:r>
        <w:instrText xml:space="preserve"> TITLE   \* MERGEFORMAT </w:instrText>
      </w:r>
      <w:r>
        <w:fldChar w:fldCharType="separate"/>
      </w:r>
      <w:r>
        <w:t>SITHGAM004A Analyse and report on gaming machine data</w:t>
      </w:r>
      <w:r>
        <w:fldChar w:fldCharType="end"/>
      </w:r>
    </w:p>
    <w:p w:rsidR="00F812E3" w:rsidP="00F812E3">
      <w:pPr>
        <w:pStyle w:val="Version"/>
        <w:sectPr w:rsidSect="005C43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43F2" w:rsidP="005C43F2">
      <w:pPr>
        <w:pStyle w:val="SuperHeading"/>
      </w:pPr>
      <w:r w:rsidRPr="005C43F2">
        <w:t>SITHGAM004A Analyse and report on gaming machine data</w:t>
      </w:r>
    </w:p>
    <w:p w:rsidR="00000000" w:rsidRPr="005C43F2" w:rsidP="005C43F2">
      <w:pPr>
        <w:pStyle w:val="Heading1"/>
      </w:pPr>
      <w:bookmarkStart w:id="1" w:name="O_319812"/>
      <w:bookmarkEnd w:id="1"/>
      <w:r w:rsidRPr="005C43F2">
        <w:t>Modification History</w:t>
      </w:r>
    </w:p>
    <w:p w:rsidR="00000000" w:rsidRPr="005C43F2" w:rsidP="005C43F2">
      <w:pPr>
        <w:pStyle w:val="BodyText"/>
      </w:pPr>
      <w:r w:rsidRPr="005C43F2">
        <w:t>Not applicable.</w:t>
      </w:r>
    </w:p>
    <w:p w:rsidR="00000000" w:rsidRPr="005C43F2" w:rsidP="005C43F2">
      <w:pPr>
        <w:pStyle w:val="AllowPageBreak"/>
      </w:pPr>
    </w:p>
    <w:p w:rsidR="00000000" w:rsidRPr="005C43F2" w:rsidP="005C43F2">
      <w:pPr>
        <w:pStyle w:val="Heading1"/>
      </w:pPr>
      <w:bookmarkStart w:id="2" w:name="O_319811"/>
      <w:bookmarkEnd w:id="2"/>
      <w:r w:rsidRPr="005C43F2">
        <w:t>Unit Descriptor</w:t>
      </w:r>
    </w:p>
    <w:p w:rsidR="00000000" w:rsidRPr="005C43F2" w:rsidP="005C43F2">
      <w:pPr>
        <w:pStyle w:val="BodyText"/>
      </w:pPr>
      <w:r w:rsidRPr="005C43F2">
        <w:t>This unit describes the performance outcomes, skills and knowledge required to analyse and report on gaming mach</w:t>
      </w:r>
      <w:r w:rsidRPr="005C43F2">
        <w:t xml:space="preserve">ine operations. </w:t>
      </w:r>
    </w:p>
    <w:p w:rsidR="00000000" w:rsidRPr="005C43F2" w:rsidP="005C43F2">
      <w:pPr>
        <w:pStyle w:val="BodyText"/>
      </w:pPr>
      <w:r w:rsidRPr="005C43F2">
        <w:t>In some States and Territories, responsible conduct of gambling or gaming is a requirement of state and territory legislation. This is addressed in SITHGAM006A Provide responsible gambling services.</w:t>
      </w:r>
    </w:p>
    <w:p w:rsidR="00000000" w:rsidRPr="005C43F2" w:rsidP="005C43F2">
      <w:pPr>
        <w:pStyle w:val="AllowPageBreak"/>
      </w:pPr>
    </w:p>
    <w:p w:rsidR="00000000" w:rsidRPr="005C43F2" w:rsidP="005C43F2">
      <w:pPr>
        <w:pStyle w:val="Heading1"/>
      </w:pPr>
      <w:bookmarkStart w:id="3" w:name="O_319801"/>
      <w:bookmarkEnd w:id="3"/>
      <w:r w:rsidRPr="005C43F2">
        <w:t>Application of the Unit</w:t>
      </w:r>
    </w:p>
    <w:p w:rsidR="00000000" w:rsidRPr="005C43F2" w:rsidP="005C43F2">
      <w:pPr>
        <w:pStyle w:val="BodyText"/>
      </w:pPr>
      <w:r w:rsidRPr="005C43F2">
        <w:t>This unit applies to all sectors of the hospitality industry where gaming activities are carried out, including clubs, hotels, pubs and casinos. It relates to the gaming machine reports generated for management by operational staff. These tasks are genera</w:t>
      </w:r>
      <w:r w:rsidRPr="005C43F2">
        <w:t>lly undertaken by a senior gaming attendant or supervisor.</w:t>
      </w:r>
    </w:p>
    <w:p w:rsidR="00000000" w:rsidRPr="005C43F2" w:rsidP="005C43F2">
      <w:pPr>
        <w:pStyle w:val="AllowPageBreak"/>
      </w:pPr>
    </w:p>
    <w:p w:rsidR="00000000" w:rsidRPr="005C43F2" w:rsidP="005C43F2">
      <w:pPr>
        <w:pStyle w:val="Heading1"/>
      </w:pPr>
      <w:bookmarkStart w:id="4" w:name="O_319810"/>
      <w:bookmarkEnd w:id="4"/>
      <w:r w:rsidRPr="005C43F2">
        <w:t>Licensing/Regulatory Information</w:t>
      </w:r>
    </w:p>
    <w:p w:rsidR="00000000" w:rsidRPr="005C43F2" w:rsidP="005C43F2">
      <w:pPr>
        <w:pStyle w:val="BodyText"/>
      </w:pPr>
      <w:r w:rsidRPr="005C43F2">
        <w:t>Not applicable.</w:t>
      </w:r>
    </w:p>
    <w:p w:rsidR="00000000" w:rsidRPr="005C43F2" w:rsidP="005C43F2">
      <w:pPr>
        <w:pStyle w:val="AllowPageBreak"/>
      </w:pPr>
    </w:p>
    <w:p w:rsidR="00000000" w:rsidRPr="005C43F2" w:rsidP="005C43F2">
      <w:pPr>
        <w:pStyle w:val="Heading1"/>
      </w:pPr>
      <w:bookmarkStart w:id="5" w:name="O_319813"/>
      <w:bookmarkEnd w:id="5"/>
      <w:r w:rsidRPr="005C43F2">
        <w:t>Pre-Requisites</w:t>
      </w:r>
    </w:p>
    <w:p w:rsidR="00000000" w:rsidRPr="005C43F2" w:rsidP="005C43F2">
      <w:pPr>
        <w:pStyle w:val="BodyText"/>
      </w:pPr>
      <w:r w:rsidRPr="005C43F2">
        <w:t>This unit must be assessed after the following prerequisite units:</w:t>
      </w:r>
    </w:p>
    <w:p w:rsidR="00000000" w:rsidRPr="005C43F2" w:rsidP="005C43F2">
      <w:pPr>
        <w:pStyle w:val="BodyText"/>
      </w:pPr>
      <w:r w:rsidRPr="005C43F2">
        <w:t>SITXFIN001A Process financial transactions</w:t>
      </w:r>
    </w:p>
    <w:p w:rsidR="00000000" w:rsidRPr="005C43F2" w:rsidP="005C43F2">
      <w:pPr>
        <w:pStyle w:val="BodyText"/>
      </w:pPr>
      <w:r w:rsidRPr="005C43F2">
        <w:t>SITHGAM001A Attend gaming machines.</w:t>
      </w:r>
    </w:p>
    <w:p w:rsidR="00000000" w:rsidRPr="005C43F2" w:rsidP="005C43F2">
      <w:pPr>
        <w:pStyle w:val="AllowPageBreak"/>
      </w:pPr>
    </w:p>
    <w:p w:rsidR="00000000" w:rsidRPr="005C43F2" w:rsidP="005C43F2">
      <w:pPr>
        <w:pStyle w:val="Heading1"/>
      </w:pPr>
      <w:bookmarkStart w:id="6" w:name="O_319809"/>
      <w:bookmarkEnd w:id="6"/>
      <w:r w:rsidRPr="005C43F2">
        <w:t>Employability Skills Information</w:t>
      </w:r>
    </w:p>
    <w:p w:rsidR="00000000" w:rsidRPr="005C43F2" w:rsidP="005C43F2">
      <w:pPr>
        <w:pStyle w:val="BodyText"/>
      </w:pPr>
      <w:r w:rsidRPr="005C43F2">
        <w:t>The required outcomes described in this unit of competency contain applicable facets of employability skills. The Employability</w:t>
      </w:r>
      <w:r w:rsidRPr="005C43F2">
        <w:t xml:space="preserve"> Skills Summary of the qualification in which this unit is packaged will assist in identifying employability skills requirements.</w:t>
      </w:r>
    </w:p>
    <w:p w:rsidR="00000000" w:rsidRPr="005C43F2" w:rsidP="005C43F2">
      <w:pPr>
        <w:pStyle w:val="AllowPageBreak"/>
      </w:pPr>
    </w:p>
    <w:p w:rsidR="00000000" w:rsidRPr="005C43F2" w:rsidP="005C43F2">
      <w:pPr>
        <w:pStyle w:val="Heading1"/>
      </w:pPr>
      <w:bookmarkStart w:id="7" w:name="O_319808"/>
      <w:bookmarkEnd w:id="7"/>
      <w:r w:rsidRPr="005C43F2">
        <w:t>Elements and Performance Criteria Pre-Content</w:t>
      </w:r>
    </w:p>
    <w:p w:rsidR="00000000" w:rsidRPr="005C43F2" w:rsidP="005C43F2">
      <w:pPr>
        <w:pStyle w:val="BodyText"/>
      </w:pPr>
      <w:r w:rsidRPr="005C43F2">
        <w:t>E</w:t>
      </w:r>
      <w:r w:rsidRPr="005C43F2">
        <w:t>lements describe the essential outcomes of a unit of competency.</w:t>
      </w:r>
    </w:p>
    <w:p w:rsidR="00000000" w:rsidRPr="005C43F2" w:rsidP="005C43F2">
      <w:pPr>
        <w:pStyle w:val="BodyText"/>
      </w:pPr>
      <w:r w:rsidRPr="005C43F2">
        <w:t xml:space="preserve">Performance criteria describe the required performance needed to demonstrate achievement of the element. Where </w:t>
      </w:r>
      <w:r w:rsidRPr="005C43F2">
        <w:rPr>
          <w:rStyle w:val="SpecialBold"/>
        </w:rPr>
        <w:t xml:space="preserve">bold italicised </w:t>
      </w:r>
      <w:r w:rsidRPr="005C43F2">
        <w:t>text is used, further information is detailed in the required sk</w:t>
      </w:r>
      <w:r w:rsidRPr="005C43F2">
        <w:t>ills and knowledge and/or the range statement. Assessment of performance is to be consistent with the evidence guide.</w:t>
      </w:r>
    </w:p>
    <w:p w:rsidR="00000000" w:rsidRPr="005C43F2" w:rsidP="005C43F2">
      <w:pPr>
        <w:pStyle w:val="AllowPageBreak"/>
      </w:pPr>
    </w:p>
    <w:p w:rsidR="00000000" w:rsidRPr="005C43F2" w:rsidP="005C43F2">
      <w:pPr>
        <w:pStyle w:val="Heading1"/>
      </w:pPr>
      <w:bookmarkStart w:id="8" w:name="O_319802"/>
      <w:bookmarkEnd w:id="8"/>
      <w:r w:rsidRPr="005C43F2">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812E3">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5C43F2">
            <w:pPr>
              <w:pStyle w:val="BodyText"/>
              <w:rPr>
                <w:lang w:val="en-NZ"/>
              </w:rPr>
            </w:pPr>
            <w:r w:rsidRPr="005C43F2">
              <w:rPr>
                <w:rStyle w:val="SpecialBold"/>
              </w:rPr>
              <w:t>Elements and Performance Criteria</w:t>
            </w:r>
          </w:p>
        </w:tc>
      </w:tr>
      <w:tr w:rsidTr="00F812E3">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5C43F2" w:rsidP="005C43F2">
            <w:pPr>
              <w:pStyle w:val="BodyText"/>
            </w:pPr>
            <w:r w:rsidRPr="005C43F2">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5C43F2">
            <w:pPr>
              <w:pStyle w:val="BodyText"/>
              <w:rPr>
                <w:lang w:val="en-NZ"/>
              </w:rPr>
            </w:pPr>
            <w:r w:rsidRPr="005C43F2">
              <w:rPr>
                <w:rStyle w:val="SpecialBold"/>
              </w:rPr>
              <w:t>Performance Criteria</w:t>
            </w:r>
          </w:p>
        </w:tc>
      </w:tr>
      <w:tr w:rsidTr="00F812E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C43F2">
            <w:pPr>
              <w:pStyle w:val="BodyText"/>
              <w:rPr>
                <w:lang w:val="en-NZ"/>
              </w:rPr>
            </w:pPr>
            <w:r w:rsidRPr="005C43F2">
              <w:t>1</w:t>
            </w:r>
          </w:p>
        </w:tc>
        <w:tc>
          <w:tcPr>
            <w:tcW w:w="3000" w:type="dxa"/>
            <w:vMerge w:val="restart"/>
            <w:tcBorders>
              <w:top w:val="nil"/>
              <w:left w:val="nil"/>
              <w:bottom w:val="nil"/>
              <w:right w:val="nil"/>
            </w:tcBorders>
            <w:tcMar>
              <w:top w:w="0" w:type="dxa"/>
              <w:left w:w="62" w:type="dxa"/>
              <w:bottom w:w="0" w:type="dxa"/>
              <w:right w:w="62" w:type="dxa"/>
            </w:tcMar>
          </w:tcPr>
          <w:p w:rsidR="00000000" w:rsidP="005C43F2">
            <w:pPr>
              <w:pStyle w:val="BodyText"/>
              <w:rPr>
                <w:lang w:val="en-NZ"/>
              </w:rPr>
            </w:pPr>
            <w:r w:rsidRPr="005C43F2">
              <w:t>Obtain gaming machine data.</w:t>
            </w:r>
          </w:p>
        </w:tc>
        <w:tc>
          <w:tcPr>
            <w:tcW w:w="500" w:type="dxa"/>
            <w:tcBorders>
              <w:top w:val="nil"/>
              <w:left w:val="nil"/>
              <w:bottom w:val="nil"/>
              <w:right w:val="nil"/>
            </w:tcBorders>
            <w:tcMar>
              <w:top w:w="0" w:type="dxa"/>
              <w:left w:w="62" w:type="dxa"/>
              <w:bottom w:w="0" w:type="dxa"/>
              <w:right w:w="62" w:type="dxa"/>
            </w:tcMar>
          </w:tcPr>
          <w:p w:rsidR="00000000" w:rsidP="005C43F2">
            <w:pPr>
              <w:pStyle w:val="BodyText"/>
              <w:rPr>
                <w:lang w:val="en-NZ"/>
              </w:rPr>
            </w:pPr>
            <w:r w:rsidRPr="005C43F2">
              <w:t>1.1</w:t>
            </w:r>
          </w:p>
        </w:tc>
        <w:tc>
          <w:tcPr>
            <w:tcW w:w="5100" w:type="dxa"/>
            <w:tcBorders>
              <w:top w:val="nil"/>
              <w:left w:val="nil"/>
              <w:bottom w:val="nil"/>
              <w:right w:val="nil"/>
            </w:tcBorders>
            <w:tcMar>
              <w:top w:w="0" w:type="dxa"/>
              <w:left w:w="62" w:type="dxa"/>
              <w:bottom w:w="0" w:type="dxa"/>
              <w:right w:w="62" w:type="dxa"/>
            </w:tcMar>
          </w:tcPr>
          <w:p w:rsidR="00000000" w:rsidP="005C43F2">
            <w:pPr>
              <w:pStyle w:val="BodyText"/>
              <w:rPr>
                <w:lang w:val="en-NZ"/>
              </w:rPr>
            </w:pPr>
            <w:r w:rsidRPr="005C43F2">
              <w:t xml:space="preserve">Retrieve data from </w:t>
            </w:r>
            <w:r w:rsidRPr="005C43F2">
              <w:rPr>
                <w:rStyle w:val="SpecialBold"/>
              </w:rPr>
              <w:t xml:space="preserve">gaming machine and system </w:t>
            </w:r>
            <w:r w:rsidRPr="005C43F2">
              <w:t xml:space="preserve">using </w:t>
            </w:r>
            <w:r w:rsidRPr="005C43F2">
              <w:rPr>
                <w:rStyle w:val="SpecialBold"/>
              </w:rPr>
              <w:t xml:space="preserve">retrieval system </w:t>
            </w:r>
            <w:r w:rsidRPr="005C43F2">
              <w:t>in line with enterprise procedures and legislative requirements.</w:t>
            </w:r>
          </w:p>
        </w:tc>
      </w:tr>
      <w:tr w:rsidTr="00F812E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C43F2">
            <w:pPr>
              <w:pStyle w:val="BodyText"/>
              <w:rPr>
                <w:lang w:val="en-NZ"/>
              </w:rPr>
            </w:pPr>
            <w:r w:rsidRPr="005C43F2">
              <w:t>1.2</w:t>
            </w:r>
          </w:p>
        </w:tc>
        <w:tc>
          <w:tcPr>
            <w:tcW w:w="5100" w:type="dxa"/>
            <w:tcBorders>
              <w:top w:val="nil"/>
              <w:left w:val="nil"/>
              <w:bottom w:val="nil"/>
              <w:right w:val="nil"/>
            </w:tcBorders>
            <w:tcMar>
              <w:top w:w="0" w:type="dxa"/>
              <w:left w:w="62" w:type="dxa"/>
              <w:bottom w:w="0" w:type="dxa"/>
              <w:right w:w="62" w:type="dxa"/>
            </w:tcMar>
          </w:tcPr>
          <w:p w:rsidR="00000000" w:rsidP="005C43F2">
            <w:pPr>
              <w:pStyle w:val="BodyText"/>
              <w:rPr>
                <w:lang w:val="en-NZ"/>
              </w:rPr>
            </w:pPr>
            <w:r w:rsidRPr="005C43F2">
              <w:t xml:space="preserve">Record </w:t>
            </w:r>
            <w:r w:rsidRPr="005C43F2">
              <w:rPr>
                <w:rStyle w:val="SpecialBold"/>
              </w:rPr>
              <w:t xml:space="preserve">data </w:t>
            </w:r>
            <w:r w:rsidRPr="005C43F2">
              <w:t>using correct methods and terminology according to enterprise procedures</w:t>
            </w:r>
            <w:r w:rsidRPr="005C43F2">
              <w:t xml:space="preserve"> and legislative requirements.</w:t>
            </w:r>
          </w:p>
        </w:tc>
      </w:tr>
      <w:tr w:rsidTr="00F812E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C43F2">
            <w:pPr>
              <w:pStyle w:val="BodyText"/>
              <w:rPr>
                <w:lang w:val="en-NZ"/>
              </w:rPr>
            </w:pPr>
            <w:r w:rsidRPr="005C43F2">
              <w:t>2</w:t>
            </w:r>
          </w:p>
        </w:tc>
        <w:tc>
          <w:tcPr>
            <w:tcW w:w="3000" w:type="dxa"/>
            <w:vMerge w:val="restart"/>
            <w:tcBorders>
              <w:top w:val="nil"/>
              <w:left w:val="nil"/>
              <w:bottom w:val="nil"/>
              <w:right w:val="nil"/>
            </w:tcBorders>
            <w:tcMar>
              <w:top w:w="0" w:type="dxa"/>
              <w:left w:w="62" w:type="dxa"/>
              <w:bottom w:w="0" w:type="dxa"/>
              <w:right w:w="62" w:type="dxa"/>
            </w:tcMar>
          </w:tcPr>
          <w:p w:rsidR="00000000" w:rsidP="005C43F2">
            <w:pPr>
              <w:pStyle w:val="BodyText"/>
              <w:rPr>
                <w:lang w:val="en-NZ"/>
              </w:rPr>
            </w:pPr>
            <w:r w:rsidRPr="005C43F2">
              <w:t>Analyse data.</w:t>
            </w:r>
          </w:p>
        </w:tc>
        <w:tc>
          <w:tcPr>
            <w:tcW w:w="500" w:type="dxa"/>
            <w:tcBorders>
              <w:top w:val="nil"/>
              <w:left w:val="nil"/>
              <w:bottom w:val="nil"/>
              <w:right w:val="nil"/>
            </w:tcBorders>
            <w:tcMar>
              <w:top w:w="0" w:type="dxa"/>
              <w:left w:w="62" w:type="dxa"/>
              <w:bottom w:w="0" w:type="dxa"/>
              <w:right w:w="62" w:type="dxa"/>
            </w:tcMar>
          </w:tcPr>
          <w:p w:rsidR="00000000" w:rsidP="005C43F2">
            <w:pPr>
              <w:pStyle w:val="BodyText"/>
              <w:rPr>
                <w:lang w:val="en-NZ"/>
              </w:rPr>
            </w:pPr>
            <w:r w:rsidRPr="005C43F2">
              <w:t>2.1</w:t>
            </w:r>
          </w:p>
        </w:tc>
        <w:tc>
          <w:tcPr>
            <w:tcW w:w="5100" w:type="dxa"/>
            <w:tcBorders>
              <w:top w:val="nil"/>
              <w:left w:val="nil"/>
              <w:bottom w:val="nil"/>
              <w:right w:val="nil"/>
            </w:tcBorders>
            <w:tcMar>
              <w:top w:w="0" w:type="dxa"/>
              <w:left w:w="62" w:type="dxa"/>
              <w:bottom w:w="0" w:type="dxa"/>
              <w:right w:w="62" w:type="dxa"/>
            </w:tcMar>
          </w:tcPr>
          <w:p w:rsidR="00000000" w:rsidP="005C43F2">
            <w:pPr>
              <w:pStyle w:val="BodyText"/>
              <w:rPr>
                <w:lang w:val="en-NZ"/>
              </w:rPr>
            </w:pPr>
            <w:r w:rsidRPr="005C43F2">
              <w:t>Analyse data according to enterprise procedures and legislative requirements.</w:t>
            </w:r>
          </w:p>
        </w:tc>
      </w:tr>
      <w:tr w:rsidTr="00F812E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C43F2">
            <w:pPr>
              <w:pStyle w:val="BodyText"/>
              <w:rPr>
                <w:lang w:val="en-NZ"/>
              </w:rPr>
            </w:pPr>
            <w:r w:rsidRPr="005C43F2">
              <w:t>2.2</w:t>
            </w:r>
          </w:p>
        </w:tc>
        <w:tc>
          <w:tcPr>
            <w:tcW w:w="5100" w:type="dxa"/>
            <w:tcBorders>
              <w:top w:val="nil"/>
              <w:left w:val="nil"/>
              <w:bottom w:val="nil"/>
              <w:right w:val="nil"/>
            </w:tcBorders>
            <w:tcMar>
              <w:top w:w="0" w:type="dxa"/>
              <w:left w:w="62" w:type="dxa"/>
              <w:bottom w:w="0" w:type="dxa"/>
              <w:right w:w="62" w:type="dxa"/>
            </w:tcMar>
          </w:tcPr>
          <w:p w:rsidR="00000000" w:rsidP="005C43F2">
            <w:pPr>
              <w:pStyle w:val="BodyText"/>
              <w:rPr>
                <w:lang w:val="en-NZ"/>
              </w:rPr>
            </w:pPr>
            <w:r w:rsidRPr="005C43F2">
              <w:t>Perform cash flow analysis according to the correct mathematical equation, including analysis of metered information and cash data.</w:t>
            </w:r>
          </w:p>
        </w:tc>
      </w:tr>
      <w:tr w:rsidTr="00F812E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C43F2">
            <w:pPr>
              <w:pStyle w:val="BodyText"/>
              <w:rPr>
                <w:lang w:val="en-NZ"/>
              </w:rPr>
            </w:pPr>
            <w:r w:rsidRPr="005C43F2">
              <w:t>2.3</w:t>
            </w:r>
          </w:p>
        </w:tc>
        <w:tc>
          <w:tcPr>
            <w:tcW w:w="5100" w:type="dxa"/>
            <w:tcBorders>
              <w:top w:val="nil"/>
              <w:left w:val="nil"/>
              <w:bottom w:val="nil"/>
              <w:right w:val="nil"/>
            </w:tcBorders>
            <w:tcMar>
              <w:top w:w="0" w:type="dxa"/>
              <w:left w:w="62" w:type="dxa"/>
              <w:bottom w:w="0" w:type="dxa"/>
              <w:right w:w="62" w:type="dxa"/>
            </w:tcMar>
          </w:tcPr>
          <w:p w:rsidR="00000000" w:rsidP="005C43F2">
            <w:pPr>
              <w:pStyle w:val="BodyText"/>
              <w:rPr>
                <w:lang w:val="en-NZ"/>
              </w:rPr>
            </w:pPr>
            <w:r w:rsidRPr="005C43F2">
              <w:t>Identify variances and determine possible causes according to legislative requirements and enterprise procedures.</w:t>
            </w:r>
          </w:p>
        </w:tc>
      </w:tr>
      <w:tr w:rsidTr="00F812E3">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5C43F2">
            <w:pPr>
              <w:pStyle w:val="BodyText"/>
              <w:rPr>
                <w:lang w:val="en-NZ"/>
              </w:rPr>
            </w:pPr>
            <w:r w:rsidRPr="005C43F2">
              <w:t>3</w:t>
            </w:r>
          </w:p>
        </w:tc>
        <w:tc>
          <w:tcPr>
            <w:tcW w:w="3000" w:type="dxa"/>
            <w:tcBorders>
              <w:top w:val="nil"/>
              <w:left w:val="nil"/>
              <w:bottom w:val="nil"/>
              <w:right w:val="nil"/>
            </w:tcBorders>
            <w:tcMar>
              <w:top w:w="0" w:type="dxa"/>
              <w:left w:w="62" w:type="dxa"/>
              <w:bottom w:w="0" w:type="dxa"/>
              <w:right w:w="62" w:type="dxa"/>
            </w:tcMar>
          </w:tcPr>
          <w:p w:rsidR="00000000" w:rsidP="005C43F2">
            <w:pPr>
              <w:pStyle w:val="BodyText"/>
              <w:rPr>
                <w:lang w:val="en-NZ"/>
              </w:rPr>
            </w:pPr>
            <w:r w:rsidRPr="005C43F2">
              <w:t>Prepare reports.</w:t>
            </w:r>
          </w:p>
        </w:tc>
        <w:tc>
          <w:tcPr>
            <w:tcW w:w="500" w:type="dxa"/>
            <w:tcBorders>
              <w:top w:val="nil"/>
              <w:left w:val="nil"/>
              <w:bottom w:val="nil"/>
              <w:right w:val="nil"/>
            </w:tcBorders>
            <w:tcMar>
              <w:top w:w="0" w:type="dxa"/>
              <w:left w:w="62" w:type="dxa"/>
              <w:bottom w:w="0" w:type="dxa"/>
              <w:right w:w="62" w:type="dxa"/>
            </w:tcMar>
          </w:tcPr>
          <w:p w:rsidR="00000000" w:rsidP="005C43F2">
            <w:pPr>
              <w:pStyle w:val="BodyText"/>
              <w:rPr>
                <w:lang w:val="en-NZ"/>
              </w:rPr>
            </w:pPr>
            <w:r w:rsidRPr="005C43F2">
              <w:t>3.1</w:t>
            </w:r>
          </w:p>
        </w:tc>
        <w:tc>
          <w:tcPr>
            <w:tcW w:w="5100" w:type="dxa"/>
            <w:tcBorders>
              <w:top w:val="nil"/>
              <w:left w:val="nil"/>
              <w:bottom w:val="nil"/>
              <w:right w:val="nil"/>
            </w:tcBorders>
            <w:tcMar>
              <w:top w:w="0" w:type="dxa"/>
              <w:left w:w="62" w:type="dxa"/>
              <w:bottom w:w="0" w:type="dxa"/>
              <w:right w:w="62" w:type="dxa"/>
            </w:tcMar>
          </w:tcPr>
          <w:p w:rsidR="00000000" w:rsidRPr="005C43F2" w:rsidP="005C43F2">
            <w:pPr>
              <w:pStyle w:val="BodyText"/>
            </w:pPr>
            <w:r w:rsidRPr="005C43F2">
              <w:t xml:space="preserve">Prepare </w:t>
            </w:r>
            <w:r w:rsidRPr="005C43F2">
              <w:rPr>
                <w:rStyle w:val="SpecialBold"/>
              </w:rPr>
              <w:t xml:space="preserve">reports </w:t>
            </w:r>
            <w:r w:rsidRPr="005C43F2">
              <w:t>and present them to the appropriate person according to industry and enterprise standards and legislative requirements.</w:t>
            </w:r>
          </w:p>
        </w:tc>
      </w:tr>
    </w:tbl>
    <w:p w:rsidR="00000000" w:rsidRPr="005C43F2" w:rsidP="005C43F2">
      <w:pPr>
        <w:pStyle w:val="BodyText"/>
      </w:pPr>
    </w:p>
    <w:p w:rsidR="00000000" w:rsidRPr="005C43F2" w:rsidP="005C43F2">
      <w:pPr>
        <w:pStyle w:val="AllowPageBreak"/>
      </w:pPr>
    </w:p>
    <w:p w:rsidR="00000000" w:rsidRPr="005C43F2" w:rsidP="005C43F2">
      <w:pPr>
        <w:pStyle w:val="Heading1"/>
      </w:pPr>
      <w:bookmarkStart w:id="9" w:name="O_319807"/>
      <w:bookmarkEnd w:id="9"/>
      <w:r w:rsidRPr="005C43F2">
        <w:t>Required Skills and Knowledge</w:t>
      </w:r>
    </w:p>
    <w:tbl>
      <w:tblPr>
        <w:tblW w:w="0" w:type="auto"/>
        <w:tblLayout w:type="fixed"/>
        <w:tblCellMar>
          <w:left w:w="62" w:type="dxa"/>
          <w:right w:w="62" w:type="dxa"/>
        </w:tblCellMar>
        <w:tblLook w:val="0000"/>
      </w:tblPr>
      <w:tblGrid>
        <w:gridCol w:w="9000"/>
      </w:tblGrid>
      <w:tr w:rsidTr="00F812E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C43F2">
            <w:pPr>
              <w:pStyle w:val="BodyText"/>
              <w:rPr>
                <w:lang w:val="en-NZ"/>
              </w:rPr>
            </w:pPr>
          </w:p>
        </w:tc>
      </w:tr>
      <w:tr w:rsidTr="00F812E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C43F2">
            <w:pPr>
              <w:pStyle w:val="BodyText"/>
              <w:rPr>
                <w:lang w:val="en-NZ"/>
              </w:rPr>
            </w:pPr>
            <w:r w:rsidRPr="005C43F2">
              <w:t>This section describes the essential skills and knowledge and their level, required for this unit.</w:t>
            </w:r>
          </w:p>
        </w:tc>
      </w:tr>
      <w:tr w:rsidTr="00F812E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C43F2">
            <w:pPr>
              <w:pStyle w:val="BodyText"/>
              <w:rPr>
                <w:lang w:val="en-NZ"/>
              </w:rPr>
            </w:pPr>
          </w:p>
        </w:tc>
      </w:tr>
      <w:tr w:rsidTr="00F812E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C43F2" w:rsidP="005C43F2">
            <w:pPr>
              <w:pStyle w:val="BodyText"/>
            </w:pPr>
            <w:r w:rsidRPr="005C43F2">
              <w:t xml:space="preserve">The following skills must be assessed as part of this unit:    </w:t>
            </w:r>
          </w:p>
          <w:p w:rsidR="00000000" w:rsidRPr="005C43F2" w:rsidP="005C43F2">
            <w:pPr>
              <w:pStyle w:val="BodyText"/>
            </w:pPr>
            <w:r w:rsidRPr="005C43F2">
              <w:t>problem-solving skills to identify variances in data analysis, determine reason and rectif</w:t>
            </w:r>
            <w:r w:rsidRPr="005C43F2">
              <w:t xml:space="preserve">y problem </w:t>
            </w:r>
          </w:p>
          <w:p w:rsidR="00000000" w:rsidRPr="005C43F2" w:rsidP="005C43F2">
            <w:pPr>
              <w:pStyle w:val="BodyText"/>
            </w:pPr>
            <w:r w:rsidRPr="005C43F2">
              <w:t xml:space="preserve">literacy skills to compare data against key performance indicators and identify variances </w:t>
            </w:r>
          </w:p>
          <w:p w:rsidR="00000000" w:rsidRPr="005C43F2" w:rsidP="005C43F2">
            <w:pPr>
              <w:pStyle w:val="BodyText"/>
            </w:pPr>
            <w:r w:rsidRPr="005C43F2">
              <w:t xml:space="preserve">writing skills to complete reports on gaming machine data or outcomes </w:t>
            </w:r>
          </w:p>
          <w:p w:rsidR="00000000" w:rsidP="005C43F2">
            <w:pPr>
              <w:pStyle w:val="BodyText"/>
              <w:rPr>
                <w:lang w:val="en-NZ"/>
              </w:rPr>
            </w:pPr>
            <w:r w:rsidRPr="005C43F2">
              <w:t>numeracy skills to check and analyse data.</w:t>
            </w:r>
          </w:p>
        </w:tc>
      </w:tr>
      <w:tr w:rsidTr="00F812E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C43F2">
            <w:pPr>
              <w:pStyle w:val="BodyText"/>
              <w:rPr>
                <w:lang w:val="en-NZ"/>
              </w:rPr>
            </w:pPr>
          </w:p>
        </w:tc>
      </w:tr>
      <w:tr w:rsidTr="00F812E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C43F2" w:rsidP="005C43F2">
            <w:pPr>
              <w:pStyle w:val="BodyText"/>
            </w:pPr>
            <w:r w:rsidRPr="005C43F2">
              <w:t>The following knowledge must be asses</w:t>
            </w:r>
            <w:r w:rsidRPr="005C43F2">
              <w:t xml:space="preserve">sed as part of this unit:    </w:t>
            </w:r>
          </w:p>
          <w:p w:rsidR="00000000" w:rsidRPr="005C43F2" w:rsidP="005C43F2">
            <w:pPr>
              <w:pStyle w:val="BodyText"/>
            </w:pPr>
            <w:r w:rsidRPr="005C43F2">
              <w:t xml:space="preserve">basic requirements of relevant state and territory legislation, including:   </w:t>
            </w:r>
          </w:p>
          <w:p w:rsidR="00000000" w:rsidRPr="005C43F2" w:rsidP="005C43F2">
            <w:pPr>
              <w:pStyle w:val="BodyText"/>
            </w:pPr>
            <w:r w:rsidRPr="005C43F2">
              <w:t xml:space="preserve">requirements for record keeping, analysing and reporting on the operation of gaming machines and subsidiary equipment   </w:t>
            </w:r>
          </w:p>
          <w:p w:rsidR="00000000" w:rsidRPr="005C43F2" w:rsidP="005C43F2">
            <w:pPr>
              <w:pStyle w:val="BodyText"/>
            </w:pPr>
            <w:r w:rsidRPr="005C43F2">
              <w:t>requirement for responsible</w:t>
            </w:r>
            <w:r w:rsidRPr="005C43F2">
              <w:t xml:space="preserve"> provision of gambling services, including procedures for self-exclusion of problem gamblers   </w:t>
            </w:r>
          </w:p>
          <w:p w:rsidR="00000000" w:rsidRPr="005C43F2" w:rsidP="005C43F2">
            <w:pPr>
              <w:pStyle w:val="BodyText"/>
            </w:pPr>
            <w:r w:rsidRPr="005C43F2">
              <w:t xml:space="preserve">general licence requirements   </w:t>
            </w:r>
          </w:p>
          <w:p w:rsidR="00000000" w:rsidRPr="005C43F2" w:rsidP="005C43F2">
            <w:pPr>
              <w:pStyle w:val="BodyText"/>
            </w:pPr>
            <w:r w:rsidRPr="005C43F2">
              <w:t xml:space="preserve">licensing of repairers, service consultants and machine managers   </w:t>
            </w:r>
          </w:p>
          <w:p w:rsidR="00000000" w:rsidRPr="005C43F2" w:rsidP="005C43F2">
            <w:pPr>
              <w:pStyle w:val="BodyText"/>
            </w:pPr>
            <w:r w:rsidRPr="005C43F2">
              <w:t xml:space="preserve">general accounting requirements   </w:t>
            </w:r>
          </w:p>
          <w:p w:rsidR="00000000" w:rsidRPr="005C43F2" w:rsidP="005C43F2">
            <w:pPr>
              <w:pStyle w:val="BodyText"/>
            </w:pPr>
            <w:r w:rsidRPr="005C43F2">
              <w:t>fees, taxes and levies</w:t>
            </w:r>
          </w:p>
          <w:p w:rsidR="00000000" w:rsidRPr="005C43F2" w:rsidP="005C43F2">
            <w:pPr>
              <w:pStyle w:val="BodyText"/>
            </w:pPr>
          </w:p>
          <w:p w:rsidR="00000000" w:rsidRPr="005C43F2" w:rsidP="005C43F2">
            <w:pPr>
              <w:pStyle w:val="BodyText"/>
            </w:pPr>
            <w:r w:rsidRPr="005C43F2">
              <w:t>m</w:t>
            </w:r>
            <w:r w:rsidRPr="005C43F2">
              <w:t xml:space="preserve">athematical design and reconciliation of all linked systems   </w:t>
            </w:r>
          </w:p>
          <w:p w:rsidR="00000000" w:rsidRPr="005C43F2" w:rsidP="005C43F2">
            <w:pPr>
              <w:pStyle w:val="BodyText"/>
            </w:pPr>
            <w:r w:rsidRPr="005C43F2">
              <w:t xml:space="preserve">mathematical and analytical concepts relevant to gambling </w:t>
            </w:r>
          </w:p>
          <w:p w:rsidR="00000000" w:rsidRPr="005C43F2" w:rsidP="005C43F2">
            <w:pPr>
              <w:pStyle w:val="BodyText"/>
            </w:pPr>
            <w:r w:rsidRPr="005C43F2">
              <w:t>working knowledge of a computerised gaming machine program.</w:t>
            </w:r>
          </w:p>
        </w:tc>
      </w:tr>
    </w:tbl>
    <w:p w:rsidR="00000000" w:rsidRPr="005C43F2" w:rsidP="005C43F2">
      <w:pPr>
        <w:pStyle w:val="BodyText"/>
      </w:pPr>
    </w:p>
    <w:p w:rsidR="00000000" w:rsidRPr="005C43F2" w:rsidP="005C43F2">
      <w:pPr>
        <w:pStyle w:val="AllowPageBreak"/>
      </w:pPr>
    </w:p>
    <w:p w:rsidR="00000000" w:rsidRPr="005C43F2" w:rsidP="005C43F2">
      <w:pPr>
        <w:pStyle w:val="Heading1"/>
      </w:pPr>
      <w:bookmarkStart w:id="10" w:name="O_319806"/>
      <w:bookmarkEnd w:id="10"/>
      <w:r w:rsidRPr="005C43F2">
        <w:t>Evidence Guide</w:t>
      </w:r>
    </w:p>
    <w:tbl>
      <w:tblPr>
        <w:tblW w:w="0" w:type="auto"/>
        <w:tblLayout w:type="fixed"/>
        <w:tblCellMar>
          <w:left w:w="62" w:type="dxa"/>
          <w:right w:w="62" w:type="dxa"/>
        </w:tblCellMar>
        <w:tblLook w:val="0000"/>
      </w:tblPr>
      <w:tblGrid>
        <w:gridCol w:w="4500"/>
        <w:gridCol w:w="4500"/>
      </w:tblGrid>
      <w:tr w:rsidTr="00F812E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C43F2">
            <w:pPr>
              <w:pStyle w:val="BodyText"/>
              <w:rPr>
                <w:lang w:val="en-NZ"/>
              </w:rPr>
            </w:pPr>
          </w:p>
        </w:tc>
      </w:tr>
      <w:tr w:rsidTr="00F812E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C43F2">
            <w:pPr>
              <w:pStyle w:val="BodyText"/>
              <w:rPr>
                <w:lang w:val="en-NZ"/>
              </w:rPr>
            </w:pPr>
            <w:r w:rsidRPr="005C43F2">
              <w:t>The evidence guide provides advice on assessment and must be read in conjunction with the performance criteria, required skills and knowledge, the range statement and the Assessment Guidelines for this Training Package.</w:t>
            </w:r>
          </w:p>
        </w:tc>
      </w:tr>
      <w:tr w:rsidTr="00F812E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C43F2">
            <w:pPr>
              <w:pStyle w:val="BodyText"/>
              <w:rPr>
                <w:lang w:val="en-NZ"/>
              </w:rPr>
            </w:pPr>
            <w:r w:rsidRPr="005C43F2">
              <w:rPr>
                <w:rStyle w:val="SpecialBold"/>
              </w:rPr>
              <w:t>Critical aspects for assessment an</w:t>
            </w:r>
            <w:r w:rsidRPr="005C43F2">
              <w:rPr>
                <w:rStyle w:val="SpecialBold"/>
              </w:rPr>
              <w:t>d evidence required to demonstrate competency</w:t>
            </w:r>
          </w:p>
        </w:tc>
        <w:tc>
          <w:tcPr>
            <w:tcW w:w="4500" w:type="dxa"/>
            <w:tcBorders>
              <w:top w:val="nil"/>
              <w:left w:val="nil"/>
              <w:bottom w:val="nil"/>
              <w:right w:val="nil"/>
            </w:tcBorders>
            <w:tcMar>
              <w:top w:w="0" w:type="dxa"/>
              <w:left w:w="62" w:type="dxa"/>
              <w:bottom w:w="0" w:type="dxa"/>
              <w:right w:w="62" w:type="dxa"/>
            </w:tcMar>
          </w:tcPr>
          <w:p w:rsidR="00000000" w:rsidRPr="005C43F2" w:rsidP="005C43F2">
            <w:pPr>
              <w:pStyle w:val="BodyText"/>
            </w:pPr>
            <w:r w:rsidRPr="005C43F2">
              <w:t xml:space="preserve">Evidence of the following is essential:    </w:t>
            </w:r>
          </w:p>
          <w:p w:rsidR="00000000" w:rsidRPr="005C43F2" w:rsidP="005C43F2">
            <w:pPr>
              <w:pStyle w:val="BodyText"/>
            </w:pPr>
            <w:r w:rsidRPr="005C43F2">
              <w:t xml:space="preserve">ability to analyse and report on gaming machine data accurately for a range of different games appropriate to industry sector and enterprise </w:t>
            </w:r>
          </w:p>
          <w:p w:rsidR="00000000" w:rsidRPr="005C43F2" w:rsidP="005C43F2">
            <w:pPr>
              <w:pStyle w:val="BodyText"/>
            </w:pPr>
            <w:r w:rsidRPr="005C43F2">
              <w:t>awareness of security is</w:t>
            </w:r>
            <w:r w:rsidRPr="005C43F2">
              <w:t xml:space="preserve">sues and compliance with security procedures </w:t>
            </w:r>
          </w:p>
          <w:p w:rsidR="00000000" w:rsidRPr="005C43F2" w:rsidP="005C43F2">
            <w:pPr>
              <w:pStyle w:val="BodyText"/>
            </w:pPr>
            <w:r w:rsidRPr="005C43F2">
              <w:t xml:space="preserve">compliance with legislative and licensing requirements </w:t>
            </w:r>
          </w:p>
          <w:p w:rsidR="00000000" w:rsidP="005C43F2">
            <w:pPr>
              <w:pStyle w:val="BodyText"/>
              <w:rPr>
                <w:lang w:val="en-NZ"/>
              </w:rPr>
            </w:pPr>
            <w:r w:rsidRPr="005C43F2">
              <w:t>demonstration of skills in analysing and reporting on gaming machine data for various gaming machines on multiple occasions.</w:t>
            </w:r>
          </w:p>
        </w:tc>
      </w:tr>
      <w:tr w:rsidTr="00F812E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C43F2">
            <w:pPr>
              <w:pStyle w:val="BodyText"/>
              <w:rPr>
                <w:lang w:val="en-NZ"/>
              </w:rPr>
            </w:pPr>
          </w:p>
        </w:tc>
      </w:tr>
      <w:tr w:rsidTr="00F812E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C43F2">
            <w:pPr>
              <w:pStyle w:val="BodyText"/>
              <w:rPr>
                <w:lang w:val="en-NZ"/>
              </w:rPr>
            </w:pPr>
            <w:r w:rsidRPr="005C43F2">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5C43F2" w:rsidP="005C43F2">
            <w:pPr>
              <w:pStyle w:val="BodyText"/>
            </w:pPr>
            <w:r w:rsidRPr="005C43F2">
              <w:t xml:space="preserve">Assessment must ensure demonstration of skills using operational gaming machines and gaming equipment, including:    </w:t>
            </w:r>
          </w:p>
          <w:p w:rsidR="00000000" w:rsidRPr="005C43F2" w:rsidP="005C43F2">
            <w:pPr>
              <w:pStyle w:val="BodyText"/>
            </w:pPr>
            <w:r w:rsidRPr="005C43F2">
              <w:t>gaming machines, which may include poker machines, approved amusement devices, slot machi</w:t>
            </w:r>
            <w:r w:rsidRPr="005C43F2">
              <w:t xml:space="preserve">nes, multi-terminal gaming machines, progressive or stand-alone machines, stand-alone games, linked machines and linked progressive jackpot systems </w:t>
            </w:r>
          </w:p>
          <w:p w:rsidR="00000000" w:rsidRPr="005C43F2" w:rsidP="005C43F2">
            <w:pPr>
              <w:pStyle w:val="BodyText"/>
            </w:pPr>
            <w:r w:rsidRPr="005C43F2">
              <w:t xml:space="preserve">applicable header systems </w:t>
            </w:r>
          </w:p>
          <w:p w:rsidR="00000000" w:rsidRPr="005C43F2" w:rsidP="005C43F2">
            <w:pPr>
              <w:pStyle w:val="BodyText"/>
            </w:pPr>
            <w:r w:rsidRPr="005C43F2">
              <w:t xml:space="preserve">data retrieval system </w:t>
            </w:r>
          </w:p>
          <w:p w:rsidR="00000000" w:rsidP="005C43F2">
            <w:pPr>
              <w:pStyle w:val="BodyText"/>
              <w:rPr>
                <w:lang w:val="en-NZ"/>
              </w:rPr>
            </w:pPr>
            <w:r w:rsidRPr="005C43F2">
              <w:t>gaming machine reporting software.</w:t>
            </w:r>
          </w:p>
        </w:tc>
      </w:tr>
      <w:tr w:rsidTr="00F812E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C43F2">
            <w:pPr>
              <w:pStyle w:val="BodyText"/>
              <w:rPr>
                <w:lang w:val="en-NZ"/>
              </w:rPr>
            </w:pPr>
          </w:p>
        </w:tc>
      </w:tr>
      <w:tr w:rsidTr="00F812E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C43F2">
            <w:pPr>
              <w:pStyle w:val="BodyText"/>
              <w:rPr>
                <w:lang w:val="en-NZ"/>
              </w:rPr>
            </w:pPr>
            <w:r w:rsidRPr="005C43F2">
              <w:rPr>
                <w:rStyle w:val="SpecialBold"/>
              </w:rPr>
              <w:t>Methods of assessm</w:t>
            </w:r>
            <w:r w:rsidRPr="005C43F2">
              <w:rPr>
                <w:rStyle w:val="SpecialBold"/>
              </w:rPr>
              <w:t>ent</w:t>
            </w:r>
          </w:p>
        </w:tc>
        <w:tc>
          <w:tcPr>
            <w:tcW w:w="4500" w:type="dxa"/>
            <w:tcBorders>
              <w:top w:val="nil"/>
              <w:left w:val="nil"/>
              <w:bottom w:val="nil"/>
              <w:right w:val="nil"/>
            </w:tcBorders>
            <w:tcMar>
              <w:top w:w="0" w:type="dxa"/>
              <w:left w:w="62" w:type="dxa"/>
              <w:bottom w:w="0" w:type="dxa"/>
              <w:right w:w="62" w:type="dxa"/>
            </w:tcMar>
          </w:tcPr>
          <w:p w:rsidR="00000000" w:rsidRPr="005C43F2" w:rsidP="005C43F2">
            <w:pPr>
              <w:pStyle w:val="BodyText"/>
            </w:pPr>
            <w:r w:rsidRPr="005C43F2">
              <w:t xml:space="preserve">A range of assessment methods should be used to assess practical skills and knowledge. The following examples are appropriate for this unit:     </w:t>
            </w:r>
          </w:p>
          <w:p w:rsidR="00000000" w:rsidRPr="005C43F2" w:rsidP="005C43F2">
            <w:pPr>
              <w:pStyle w:val="BodyText"/>
            </w:pPr>
            <w:r w:rsidRPr="005C43F2">
              <w:t xml:space="preserve">evaluation of reports and gaming data analysis completed by candidate </w:t>
            </w:r>
          </w:p>
          <w:p w:rsidR="00000000" w:rsidRPr="005C43F2" w:rsidP="005C43F2">
            <w:pPr>
              <w:pStyle w:val="BodyText"/>
            </w:pPr>
            <w:r w:rsidRPr="005C43F2">
              <w:t>oral or written questions to assess</w:t>
            </w:r>
            <w:r w:rsidRPr="005C43F2">
              <w:t xml:space="preserve"> knowledge of gaming legislation and enterprise procedures </w:t>
            </w:r>
          </w:p>
          <w:p w:rsidR="00000000" w:rsidRPr="005C43F2" w:rsidP="005C43F2">
            <w:pPr>
              <w:pStyle w:val="BodyText"/>
            </w:pPr>
            <w:r w:rsidRPr="005C43F2">
              <w:t>review of portfolios of evidence and third-party workplace reports of on-the-job performance by the candidate.</w:t>
            </w:r>
          </w:p>
          <w:p w:rsidR="00000000" w:rsidRPr="005C43F2" w:rsidP="005C43F2">
            <w:pPr>
              <w:pStyle w:val="BodyText"/>
            </w:pPr>
            <w:r w:rsidRPr="005C43F2">
              <w:t>Holistic assessment with other units relevant to the industry sector, workplace and j</w:t>
            </w:r>
            <w:r w:rsidRPr="005C43F2">
              <w:t xml:space="preserve">ob role is recommended, for example:    </w:t>
            </w:r>
          </w:p>
          <w:p w:rsidR="00000000" w:rsidRPr="005C43F2" w:rsidP="005C43F2">
            <w:pPr>
              <w:pStyle w:val="BodyText"/>
            </w:pPr>
            <w:r w:rsidRPr="005C43F2">
              <w:t xml:space="preserve">SITHGAM005A Develop and manage gaming activities  </w:t>
            </w:r>
          </w:p>
          <w:p w:rsidR="00000000" w:rsidP="005C43F2">
            <w:pPr>
              <w:pStyle w:val="BodyText"/>
              <w:rPr>
                <w:lang w:val="en-NZ"/>
              </w:rPr>
            </w:pPr>
            <w:r w:rsidRPr="005C43F2">
              <w:t>SITHGAM006A Provide responsible gambling services.</w:t>
            </w:r>
          </w:p>
        </w:tc>
      </w:tr>
      <w:tr w:rsidTr="00F812E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C43F2">
            <w:pPr>
              <w:pStyle w:val="BodyText"/>
              <w:rPr>
                <w:lang w:val="en-NZ"/>
              </w:rPr>
            </w:pPr>
          </w:p>
        </w:tc>
      </w:tr>
      <w:tr w:rsidTr="00F812E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C43F2">
            <w:pPr>
              <w:pStyle w:val="BodyText"/>
              <w:rPr>
                <w:lang w:val="en-NZ"/>
              </w:rPr>
            </w:pPr>
            <w:r w:rsidRPr="005C43F2">
              <w:rPr>
                <w:rStyle w:val="SpecialBold"/>
              </w:rPr>
              <w:t>Assessing employability skills</w:t>
            </w:r>
          </w:p>
        </w:tc>
        <w:tc>
          <w:tcPr>
            <w:tcW w:w="4500" w:type="dxa"/>
            <w:tcBorders>
              <w:top w:val="nil"/>
              <w:left w:val="nil"/>
              <w:bottom w:val="nil"/>
              <w:right w:val="nil"/>
            </w:tcBorders>
            <w:tcMar>
              <w:top w:w="0" w:type="dxa"/>
              <w:left w:w="62" w:type="dxa"/>
              <w:bottom w:w="0" w:type="dxa"/>
              <w:right w:w="62" w:type="dxa"/>
            </w:tcMar>
          </w:tcPr>
          <w:p w:rsidR="00000000" w:rsidRPr="005C43F2" w:rsidP="005C43F2">
            <w:pPr>
              <w:pStyle w:val="BodyText"/>
            </w:pPr>
            <w:r w:rsidRPr="005C43F2">
              <w:t>Employability skills are integral to effective performance in the workplace and are broadly consistent across industry sectors. How these skills are applied varies between occupations and qualifications due to the different work functions and contexts.</w:t>
            </w:r>
            <w:r w:rsidRPr="005C43F2">
              <w:br/>
              <w:t>Emp</w:t>
            </w:r>
            <w:r w:rsidRPr="005C43F2">
              <w:t>loyability skills embedded in this unit should be assessed holistically with other relevant units that make up the skill set or qualification and in the context of the job role.</w:t>
            </w:r>
          </w:p>
        </w:tc>
      </w:tr>
    </w:tbl>
    <w:p w:rsidR="00000000" w:rsidRPr="005C43F2" w:rsidP="005C43F2">
      <w:pPr>
        <w:pStyle w:val="BodyText"/>
      </w:pPr>
    </w:p>
    <w:p w:rsidR="00000000" w:rsidRPr="005C43F2" w:rsidP="005C43F2">
      <w:pPr>
        <w:pStyle w:val="AllowPageBreak"/>
      </w:pPr>
    </w:p>
    <w:p w:rsidR="00000000" w:rsidRPr="005C43F2" w:rsidP="005C43F2">
      <w:pPr>
        <w:pStyle w:val="Heading1"/>
      </w:pPr>
      <w:bookmarkStart w:id="11" w:name="O_319805"/>
      <w:bookmarkEnd w:id="11"/>
      <w:r w:rsidRPr="005C43F2">
        <w:t>Range Statement</w:t>
      </w:r>
    </w:p>
    <w:tbl>
      <w:tblPr>
        <w:tblW w:w="0" w:type="auto"/>
        <w:tblLayout w:type="fixed"/>
        <w:tblCellMar>
          <w:left w:w="62" w:type="dxa"/>
          <w:right w:w="62" w:type="dxa"/>
        </w:tblCellMar>
        <w:tblLook w:val="0000"/>
      </w:tblPr>
      <w:tblGrid>
        <w:gridCol w:w="4500"/>
        <w:gridCol w:w="4500"/>
      </w:tblGrid>
      <w:tr w:rsidTr="00F812E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C43F2">
            <w:pPr>
              <w:pStyle w:val="BodyText"/>
              <w:rPr>
                <w:lang w:val="en-NZ"/>
              </w:rPr>
            </w:pPr>
            <w:r w:rsidRPr="005C43F2">
              <w:rPr>
                <w:rStyle w:val="SpecialBold"/>
              </w:rPr>
              <w:t>RANGE STATEMENT</w:t>
            </w:r>
          </w:p>
        </w:tc>
      </w:tr>
      <w:tr w:rsidTr="00F812E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C43F2">
            <w:pPr>
              <w:pStyle w:val="BodyText"/>
              <w:rPr>
                <w:lang w:val="en-NZ"/>
              </w:rPr>
            </w:pPr>
            <w:r w:rsidRPr="005C43F2">
              <w:t>The range statement relat</w:t>
            </w:r>
            <w:r w:rsidRPr="005C43F2">
              <w:t>es to the unit of competency as a whole. It allows for different work environments and situations that may affect performance. Bold italicised wording in the performance criteria is detailed below.</w:t>
            </w:r>
          </w:p>
        </w:tc>
      </w:tr>
      <w:tr w:rsidTr="00F812E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C43F2">
            <w:pPr>
              <w:pStyle w:val="BodyText"/>
              <w:rPr>
                <w:lang w:val="en-NZ"/>
              </w:rPr>
            </w:pPr>
          </w:p>
        </w:tc>
      </w:tr>
      <w:tr w:rsidTr="00F812E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C43F2">
            <w:pPr>
              <w:pStyle w:val="BodyText"/>
              <w:rPr>
                <w:lang w:val="en-NZ"/>
              </w:rPr>
            </w:pPr>
            <w:r w:rsidRPr="005C43F2">
              <w:rPr>
                <w:rStyle w:val="SpecialBold"/>
              </w:rPr>
              <w:t>Gaming machines and systems</w:t>
            </w:r>
            <w:r w:rsidRPr="005C43F2">
              <w:t xml:space="preserve"> include:</w:t>
            </w:r>
          </w:p>
        </w:tc>
        <w:tc>
          <w:tcPr>
            <w:tcW w:w="4500" w:type="dxa"/>
            <w:tcBorders>
              <w:top w:val="nil"/>
              <w:left w:val="nil"/>
              <w:bottom w:val="nil"/>
              <w:right w:val="nil"/>
            </w:tcBorders>
            <w:tcMar>
              <w:top w:w="0" w:type="dxa"/>
              <w:left w:w="62" w:type="dxa"/>
              <w:bottom w:w="0" w:type="dxa"/>
              <w:right w:w="62" w:type="dxa"/>
            </w:tcMar>
          </w:tcPr>
          <w:p w:rsidR="00000000" w:rsidRPr="005C43F2" w:rsidP="005C43F2">
            <w:pPr>
              <w:pStyle w:val="BodyText"/>
            </w:pPr>
            <w:r w:rsidRPr="005C43F2">
              <w:t xml:space="preserve">stand-alone gaming machines </w:t>
            </w:r>
          </w:p>
          <w:p w:rsidR="00000000" w:rsidRPr="005C43F2" w:rsidP="005C43F2">
            <w:pPr>
              <w:pStyle w:val="BodyText"/>
            </w:pPr>
            <w:r w:rsidRPr="005C43F2">
              <w:t xml:space="preserve">stand-alone progressive jackpot machines </w:t>
            </w:r>
          </w:p>
          <w:p w:rsidR="00000000" w:rsidRPr="005C43F2" w:rsidP="005C43F2">
            <w:pPr>
              <w:pStyle w:val="BodyText"/>
            </w:pPr>
            <w:r w:rsidRPr="005C43F2">
              <w:t xml:space="preserve">multi-terminal machines </w:t>
            </w:r>
          </w:p>
          <w:p w:rsidR="00000000" w:rsidRPr="005C43F2" w:rsidP="005C43F2">
            <w:pPr>
              <w:pStyle w:val="BodyText"/>
            </w:pPr>
            <w:r w:rsidRPr="005C43F2">
              <w:t xml:space="preserve">linked progressive systems, including:   </w:t>
            </w:r>
          </w:p>
          <w:p w:rsidR="00000000" w:rsidRPr="005C43F2" w:rsidP="005C43F2">
            <w:pPr>
              <w:pStyle w:val="BodyText"/>
            </w:pPr>
            <w:r w:rsidRPr="005C43F2">
              <w:t xml:space="preserve">bonus (random) link systems   </w:t>
            </w:r>
          </w:p>
          <w:p w:rsidR="00000000" w:rsidRPr="005C43F2" w:rsidP="005C43F2">
            <w:pPr>
              <w:pStyle w:val="BodyText"/>
            </w:pPr>
            <w:r w:rsidRPr="005C43F2">
              <w:t xml:space="preserve">combination dependent systems   </w:t>
            </w:r>
          </w:p>
          <w:p w:rsidR="00000000" w:rsidRPr="005C43F2" w:rsidP="005C43F2">
            <w:pPr>
              <w:pStyle w:val="BodyText"/>
            </w:pPr>
            <w:r w:rsidRPr="005C43F2">
              <w:t>progressive and stand-alone jackpot systems where appr</w:t>
            </w:r>
            <w:r w:rsidRPr="005C43F2">
              <w:t xml:space="preserve">opriate   </w:t>
            </w:r>
          </w:p>
          <w:p w:rsidR="00000000" w:rsidRPr="005C43F2" w:rsidP="005C43F2">
            <w:pPr>
              <w:pStyle w:val="BodyText"/>
            </w:pPr>
            <w:r w:rsidRPr="005C43F2">
              <w:t xml:space="preserve">inter-venue progressive jackpot link systems   </w:t>
            </w:r>
          </w:p>
          <w:p w:rsidR="00000000" w:rsidRPr="005C43F2" w:rsidP="005C43F2">
            <w:pPr>
              <w:pStyle w:val="BodyText"/>
            </w:pPr>
            <w:r w:rsidRPr="005C43F2">
              <w:t>hyperlink</w:t>
            </w:r>
          </w:p>
          <w:p w:rsidR="00000000" w:rsidRPr="005C43F2" w:rsidP="005C43F2">
            <w:pPr>
              <w:pStyle w:val="BodyText"/>
            </w:pPr>
          </w:p>
          <w:p w:rsidR="00000000" w:rsidRPr="005C43F2" w:rsidP="005C43F2">
            <w:pPr>
              <w:pStyle w:val="BodyText"/>
            </w:pPr>
            <w:r w:rsidRPr="005C43F2">
              <w:t xml:space="preserve">player loyalty systems   </w:t>
            </w:r>
          </w:p>
          <w:p w:rsidR="00000000" w:rsidP="005C43F2">
            <w:pPr>
              <w:pStyle w:val="BodyText"/>
              <w:rPr>
                <w:lang w:val="en-NZ"/>
              </w:rPr>
            </w:pPr>
            <w:r w:rsidRPr="005C43F2">
              <w:t>data retrieval systems.</w:t>
            </w:r>
          </w:p>
        </w:tc>
      </w:tr>
      <w:tr w:rsidTr="00F812E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C43F2">
            <w:pPr>
              <w:pStyle w:val="BodyText"/>
              <w:rPr>
                <w:lang w:val="en-NZ"/>
              </w:rPr>
            </w:pPr>
          </w:p>
        </w:tc>
      </w:tr>
      <w:tr w:rsidTr="00F812E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C43F2">
            <w:pPr>
              <w:pStyle w:val="BodyText"/>
              <w:rPr>
                <w:lang w:val="en-NZ"/>
              </w:rPr>
            </w:pPr>
            <w:r w:rsidRPr="005C43F2">
              <w:rPr>
                <w:rStyle w:val="SpecialBold"/>
              </w:rPr>
              <w:t>Retrieval systems</w:t>
            </w:r>
            <w:r w:rsidRPr="005C43F2">
              <w:t xml:space="preserve"> may be: </w:t>
            </w:r>
          </w:p>
        </w:tc>
        <w:tc>
          <w:tcPr>
            <w:tcW w:w="4500" w:type="dxa"/>
            <w:tcBorders>
              <w:top w:val="nil"/>
              <w:left w:val="nil"/>
              <w:bottom w:val="nil"/>
              <w:right w:val="nil"/>
            </w:tcBorders>
            <w:tcMar>
              <w:top w:w="0" w:type="dxa"/>
              <w:left w:w="62" w:type="dxa"/>
              <w:bottom w:w="0" w:type="dxa"/>
              <w:right w:w="62" w:type="dxa"/>
            </w:tcMar>
          </w:tcPr>
          <w:p w:rsidR="00000000" w:rsidRPr="005C43F2" w:rsidP="005C43F2">
            <w:pPr>
              <w:pStyle w:val="BodyText"/>
            </w:pPr>
            <w:r w:rsidRPr="005C43F2">
              <w:t xml:space="preserve">manual </w:t>
            </w:r>
          </w:p>
          <w:p w:rsidR="00000000" w:rsidRPr="005C43F2" w:rsidP="005C43F2">
            <w:pPr>
              <w:pStyle w:val="BodyText"/>
            </w:pPr>
            <w:r w:rsidRPr="005C43F2">
              <w:t xml:space="preserve">electronic </w:t>
            </w:r>
          </w:p>
          <w:p w:rsidR="00000000" w:rsidRPr="005C43F2" w:rsidP="005C43F2">
            <w:pPr>
              <w:pStyle w:val="BodyText"/>
            </w:pPr>
            <w:r w:rsidRPr="005C43F2">
              <w:t xml:space="preserve">accounting, including header and venue-specific </w:t>
            </w:r>
          </w:p>
          <w:p w:rsidR="00000000" w:rsidP="005C43F2">
            <w:pPr>
              <w:pStyle w:val="BodyText"/>
              <w:rPr>
                <w:lang w:val="en-NZ"/>
              </w:rPr>
            </w:pPr>
            <w:r w:rsidRPr="005C43F2">
              <w:t>promotional.</w:t>
            </w:r>
          </w:p>
        </w:tc>
      </w:tr>
      <w:tr w:rsidTr="00F812E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C43F2">
            <w:pPr>
              <w:pStyle w:val="BodyText"/>
              <w:rPr>
                <w:lang w:val="en-NZ"/>
              </w:rPr>
            </w:pPr>
          </w:p>
        </w:tc>
      </w:tr>
      <w:tr w:rsidTr="00F812E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C43F2">
            <w:pPr>
              <w:pStyle w:val="BodyText"/>
              <w:rPr>
                <w:lang w:val="en-NZ"/>
              </w:rPr>
            </w:pPr>
            <w:r w:rsidRPr="005C43F2">
              <w:rPr>
                <w:rStyle w:val="SpecialBold"/>
              </w:rPr>
              <w:t>Data</w:t>
            </w:r>
            <w:r w:rsidRPr="005C43F2">
              <w:t xml:space="preserve"> includes:</w:t>
            </w:r>
          </w:p>
        </w:tc>
        <w:tc>
          <w:tcPr>
            <w:tcW w:w="4500" w:type="dxa"/>
            <w:tcBorders>
              <w:top w:val="nil"/>
              <w:left w:val="nil"/>
              <w:bottom w:val="nil"/>
              <w:right w:val="nil"/>
            </w:tcBorders>
            <w:tcMar>
              <w:top w:w="0" w:type="dxa"/>
              <w:left w:w="62" w:type="dxa"/>
              <w:bottom w:w="0" w:type="dxa"/>
              <w:right w:w="62" w:type="dxa"/>
            </w:tcMar>
          </w:tcPr>
          <w:p w:rsidR="00000000" w:rsidRPr="005C43F2" w:rsidP="005C43F2">
            <w:pPr>
              <w:pStyle w:val="BodyText"/>
            </w:pPr>
            <w:r w:rsidRPr="005C43F2">
              <w:t xml:space="preserve">gross results of a gaming machine's operation, including meter readings and their increments </w:t>
            </w:r>
          </w:p>
          <w:p w:rsidR="00000000" w:rsidRPr="005C43F2" w:rsidP="005C43F2">
            <w:pPr>
              <w:pStyle w:val="BodyText"/>
            </w:pPr>
            <w:r w:rsidRPr="005C43F2">
              <w:t xml:space="preserve">operational data of a gaming machine, including clearances, payouts and hopper weigh amounts </w:t>
            </w:r>
          </w:p>
          <w:p w:rsidR="00000000" w:rsidP="005C43F2">
            <w:pPr>
              <w:pStyle w:val="BodyText"/>
              <w:rPr>
                <w:lang w:val="en-NZ"/>
              </w:rPr>
            </w:pPr>
            <w:r w:rsidRPr="005C43F2">
              <w:t>cash flow, including machine specifications and linked progressive j</w:t>
            </w:r>
            <w:r w:rsidRPr="005C43F2">
              <w:t>ackpot configurations.</w:t>
            </w:r>
          </w:p>
        </w:tc>
      </w:tr>
      <w:tr w:rsidTr="00F812E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C43F2">
            <w:pPr>
              <w:pStyle w:val="BodyText"/>
              <w:rPr>
                <w:lang w:val="en-NZ"/>
              </w:rPr>
            </w:pPr>
          </w:p>
        </w:tc>
      </w:tr>
      <w:tr w:rsidTr="00F812E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C43F2">
            <w:pPr>
              <w:pStyle w:val="BodyText"/>
              <w:rPr>
                <w:lang w:val="en-NZ"/>
              </w:rPr>
            </w:pPr>
            <w:r w:rsidRPr="005C43F2">
              <w:rPr>
                <w:rStyle w:val="SpecialBold"/>
              </w:rPr>
              <w:t>Reports</w:t>
            </w:r>
            <w:r w:rsidRPr="005C43F2">
              <w:t xml:space="preserve"> include:</w:t>
            </w:r>
          </w:p>
        </w:tc>
        <w:tc>
          <w:tcPr>
            <w:tcW w:w="4500" w:type="dxa"/>
            <w:tcBorders>
              <w:top w:val="nil"/>
              <w:left w:val="nil"/>
              <w:bottom w:val="nil"/>
              <w:right w:val="nil"/>
            </w:tcBorders>
            <w:tcMar>
              <w:top w:w="0" w:type="dxa"/>
              <w:left w:w="62" w:type="dxa"/>
              <w:bottom w:w="0" w:type="dxa"/>
              <w:right w:w="62" w:type="dxa"/>
            </w:tcMar>
          </w:tcPr>
          <w:p w:rsidR="00000000" w:rsidRPr="005C43F2" w:rsidP="005C43F2">
            <w:pPr>
              <w:pStyle w:val="BodyText"/>
            </w:pPr>
            <w:r w:rsidRPr="005C43F2">
              <w:t xml:space="preserve">cash flow analysis </w:t>
            </w:r>
          </w:p>
          <w:p w:rsidR="00000000" w:rsidRPr="005C43F2" w:rsidP="005C43F2">
            <w:pPr>
              <w:pStyle w:val="BodyText"/>
            </w:pPr>
            <w:r w:rsidRPr="005C43F2">
              <w:t xml:space="preserve">net revenue analysis and profit variance </w:t>
            </w:r>
          </w:p>
          <w:p w:rsidR="00000000" w:rsidRPr="005C43F2" w:rsidP="005C43F2">
            <w:pPr>
              <w:pStyle w:val="BodyText"/>
            </w:pPr>
            <w:r w:rsidRPr="005C43F2">
              <w:t xml:space="preserve">meter comparison report </w:t>
            </w:r>
          </w:p>
          <w:p w:rsidR="00000000" w:rsidRPr="005C43F2" w:rsidP="005C43F2">
            <w:pPr>
              <w:pStyle w:val="BodyText"/>
            </w:pPr>
            <w:r w:rsidRPr="005C43F2">
              <w:t xml:space="preserve">history reports, including net revenue analysis and profit variance </w:t>
            </w:r>
          </w:p>
          <w:p w:rsidR="00000000" w:rsidRPr="005C43F2" w:rsidP="005C43F2">
            <w:pPr>
              <w:pStyle w:val="BodyText"/>
            </w:pPr>
            <w:r w:rsidRPr="005C43F2">
              <w:t xml:space="preserve">stand-alone progressive and link-progressive jackpot system reconciliations </w:t>
            </w:r>
          </w:p>
          <w:p w:rsidR="00000000" w:rsidRPr="005C43F2" w:rsidP="005C43F2">
            <w:pPr>
              <w:pStyle w:val="BodyText"/>
            </w:pPr>
            <w:r w:rsidRPr="005C43F2">
              <w:t xml:space="preserve">reports to enterprise management </w:t>
            </w:r>
          </w:p>
          <w:p w:rsidR="00000000" w:rsidRPr="005C43F2" w:rsidP="005C43F2">
            <w:pPr>
              <w:pStyle w:val="BodyText"/>
            </w:pPr>
            <w:r w:rsidRPr="005C43F2">
              <w:t xml:space="preserve">profit reports and declarations </w:t>
            </w:r>
          </w:p>
          <w:p w:rsidR="00000000" w:rsidRPr="005C43F2" w:rsidP="005C43F2">
            <w:pPr>
              <w:pStyle w:val="BodyText"/>
            </w:pPr>
            <w:r w:rsidRPr="005C43F2">
              <w:t>duty calculations and returns.</w:t>
            </w:r>
          </w:p>
        </w:tc>
      </w:tr>
    </w:tbl>
    <w:p w:rsidR="00000000" w:rsidRPr="005C43F2" w:rsidP="005C43F2">
      <w:pPr>
        <w:pStyle w:val="BodyText"/>
      </w:pPr>
    </w:p>
    <w:p w:rsidR="00000000" w:rsidRPr="005C43F2" w:rsidP="005C43F2">
      <w:pPr>
        <w:pStyle w:val="AllowPageBreak"/>
      </w:pPr>
    </w:p>
    <w:p w:rsidR="00000000" w:rsidRPr="005C43F2" w:rsidP="005C43F2">
      <w:pPr>
        <w:pStyle w:val="Heading1"/>
      </w:pPr>
      <w:bookmarkStart w:id="12" w:name="O_319804"/>
      <w:bookmarkEnd w:id="12"/>
      <w:r w:rsidRPr="005C43F2">
        <w:t>Unit Sector(s)</w:t>
      </w:r>
    </w:p>
    <w:p w:rsidR="00000000" w:rsidRPr="005C43F2" w:rsidP="005C43F2">
      <w:pPr>
        <w:pStyle w:val="BodyText"/>
      </w:pPr>
      <w:r w:rsidRPr="005C43F2">
        <w:t>Hospitality</w:t>
      </w:r>
    </w:p>
    <w:p w:rsidR="00000000" w:rsidRPr="005C43F2" w:rsidP="005C43F2">
      <w:pPr>
        <w:pStyle w:val="AllowPageBreak"/>
      </w:pPr>
    </w:p>
    <w:p w:rsidR="00000000" w:rsidRPr="005C43F2" w:rsidP="005C43F2">
      <w:pPr>
        <w:pStyle w:val="Heading1"/>
      </w:pPr>
      <w:bookmarkStart w:id="13" w:name="O_319803"/>
      <w:bookmarkEnd w:id="13"/>
      <w:r w:rsidRPr="005C43F2">
        <w:t>Competency field</w:t>
      </w:r>
    </w:p>
    <w:p w:rsidR="00000000" w:rsidRPr="005C43F2" w:rsidP="005C43F2">
      <w:pPr>
        <w:pStyle w:val="BodyText"/>
      </w:pPr>
      <w:r w:rsidRPr="005C43F2">
        <w:t>G</w:t>
      </w:r>
      <w:r w:rsidRPr="005C43F2">
        <w:t>aming</w:t>
      </w:r>
    </w:p>
    <w:p w:rsidR="00000000" w:rsidRPr="005C43F2" w:rsidP="005C43F2"/>
    <w:sectPr w:rsidSect="005C43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3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12E3" w:rsidP="00F812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3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2E3" w:rsidP="005C43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812E3" w:rsidP="005C43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812E3" w:rsidP="005C43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3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12E3" w:rsidP="00F812E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3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2E3" w:rsidP="005C43F2">
    <w:pPr>
      <w:pStyle w:val="Header"/>
      <w:framePr w:wrap="around"/>
    </w:pPr>
    <w:r>
      <w:fldChar w:fldCharType="begin"/>
    </w:r>
    <w:r>
      <w:instrText xml:space="preserve"> TITLE   \* MERGEFORMAT </w:instrText>
    </w:r>
    <w:r>
      <w:fldChar w:fldCharType="separate"/>
    </w:r>
    <w:r>
      <w:t>SITHGAM004A Analyse and report on gaming machine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812E3" w:rsidP="005C43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3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C43F2"/>
    <w:pPr>
      <w:spacing w:before="360" w:after="60"/>
      <w:outlineLvl w:val="0"/>
    </w:pPr>
    <w:rPr>
      <w:sz w:val="32"/>
    </w:rPr>
  </w:style>
  <w:style w:type="paragraph" w:styleId="Heading2">
    <w:name w:val="heading 2"/>
    <w:basedOn w:val="HeadingBase"/>
    <w:next w:val="BodyText"/>
    <w:link w:val="Heading2Char"/>
    <w:qFormat/>
    <w:rsid w:val="005C43F2"/>
    <w:pPr>
      <w:keepLines/>
      <w:spacing w:before="240" w:after="120"/>
      <w:outlineLvl w:val="1"/>
    </w:pPr>
    <w:rPr>
      <w:sz w:val="28"/>
      <w:szCs w:val="40"/>
    </w:rPr>
  </w:style>
  <w:style w:type="paragraph" w:styleId="Heading3">
    <w:name w:val="heading 3"/>
    <w:basedOn w:val="HeadingBase"/>
    <w:next w:val="BodyText"/>
    <w:link w:val="Heading3Char"/>
    <w:qFormat/>
    <w:rsid w:val="005C43F2"/>
    <w:pPr>
      <w:spacing w:before="180" w:after="120"/>
      <w:outlineLvl w:val="2"/>
    </w:pPr>
    <w:rPr>
      <w:spacing w:val="-10"/>
      <w:kern w:val="32"/>
    </w:rPr>
  </w:style>
  <w:style w:type="paragraph" w:styleId="Heading4">
    <w:name w:val="heading 4"/>
    <w:basedOn w:val="HeadingBase"/>
    <w:next w:val="BodyText"/>
    <w:link w:val="Heading4Char"/>
    <w:qFormat/>
    <w:rsid w:val="005C43F2"/>
    <w:pPr>
      <w:spacing w:before="160" w:after="120"/>
      <w:outlineLvl w:val="3"/>
    </w:pPr>
    <w:rPr>
      <w:sz w:val="22"/>
    </w:rPr>
  </w:style>
  <w:style w:type="paragraph" w:styleId="Heading5">
    <w:name w:val="heading 5"/>
    <w:basedOn w:val="HeadingBase"/>
    <w:next w:val="Normal"/>
    <w:link w:val="Heading5Char"/>
    <w:qFormat/>
    <w:rsid w:val="005C43F2"/>
    <w:pPr>
      <w:spacing w:before="80"/>
      <w:outlineLvl w:val="4"/>
    </w:pPr>
    <w:rPr>
      <w:color w:val="918585"/>
      <w:sz w:val="20"/>
    </w:rPr>
  </w:style>
  <w:style w:type="paragraph" w:styleId="Heading6">
    <w:name w:val="heading 6"/>
    <w:basedOn w:val="HeadingBase"/>
    <w:next w:val="Normal"/>
    <w:link w:val="Heading6Char"/>
    <w:qFormat/>
    <w:rsid w:val="005C43F2"/>
    <w:pPr>
      <w:spacing w:before="60"/>
      <w:outlineLvl w:val="5"/>
    </w:pPr>
    <w:rPr>
      <w:color w:val="918585"/>
      <w:sz w:val="20"/>
    </w:rPr>
  </w:style>
  <w:style w:type="paragraph" w:styleId="Heading7">
    <w:name w:val="heading 7"/>
    <w:basedOn w:val="Normal"/>
    <w:next w:val="Normal"/>
    <w:link w:val="Heading7Char"/>
    <w:qFormat/>
    <w:rsid w:val="005C43F2"/>
    <w:pPr>
      <w:ind w:left="720"/>
      <w:outlineLvl w:val="6"/>
    </w:pPr>
    <w:rPr>
      <w:i/>
    </w:rPr>
  </w:style>
  <w:style w:type="paragraph" w:styleId="Heading8">
    <w:name w:val="heading 8"/>
    <w:basedOn w:val="Normal"/>
    <w:next w:val="Normal"/>
    <w:link w:val="Heading8Char"/>
    <w:qFormat/>
    <w:rsid w:val="005C43F2"/>
    <w:pPr>
      <w:ind w:left="720"/>
      <w:outlineLvl w:val="7"/>
    </w:pPr>
    <w:rPr>
      <w:i/>
    </w:rPr>
  </w:style>
  <w:style w:type="paragraph" w:styleId="Heading9">
    <w:name w:val="heading 9"/>
    <w:basedOn w:val="Normal"/>
    <w:next w:val="Normal"/>
    <w:link w:val="Heading9Char"/>
    <w:qFormat/>
    <w:rsid w:val="005C43F2"/>
    <w:pPr>
      <w:ind w:left="720"/>
      <w:outlineLvl w:val="8"/>
    </w:pPr>
    <w:rPr>
      <w:i/>
    </w:rPr>
  </w:style>
  <w:style w:type="character" w:default="1" w:styleId="DefaultParagraphFont">
    <w:name w:val="Default Paragraph Font"/>
    <w:uiPriority w:val="1"/>
    <w:unhideWhenUsed/>
    <w:rsid w:val="005C43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43F2"/>
  </w:style>
  <w:style w:type="character" w:customStyle="1" w:styleId="Heading1Char">
    <w:name w:val="Heading 1 Char"/>
    <w:basedOn w:val="DefaultParagraphFont"/>
    <w:link w:val="Heading1"/>
    <w:rsid w:val="005C43F2"/>
    <w:rPr>
      <w:rFonts w:ascii="Times New Roman" w:eastAsia="Times New Roman" w:hAnsi="Times New Roman" w:cs="Times New Roman"/>
      <w:b/>
      <w:sz w:val="32"/>
      <w:szCs w:val="20"/>
      <w:lang w:eastAsia="en-US"/>
    </w:rPr>
  </w:style>
  <w:style w:type="paragraph" w:styleId="BodyText">
    <w:name w:val="Body Text"/>
    <w:basedOn w:val="Normal"/>
    <w:link w:val="BodyTextChar"/>
    <w:rsid w:val="005C43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43F2"/>
    <w:rPr>
      <w:rFonts w:ascii="Times New Roman" w:eastAsia="Times New Roman" w:hAnsi="Times New Roman" w:cs="Times New Roman"/>
      <w:sz w:val="24"/>
      <w:lang w:val="en-US" w:eastAsia="en-US"/>
    </w:rPr>
  </w:style>
  <w:style w:type="paragraph" w:styleId="Footer">
    <w:name w:val="footer"/>
    <w:basedOn w:val="Normal"/>
    <w:link w:val="FooterChar"/>
    <w:rsid w:val="005C43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43F2"/>
    <w:rPr>
      <w:rFonts w:ascii="Times New Roman" w:eastAsia="Times New Roman" w:hAnsi="Times New Roman" w:cs="Times New Roman"/>
      <w:sz w:val="16"/>
      <w:lang w:val="en-US" w:eastAsia="en-US"/>
    </w:rPr>
  </w:style>
  <w:style w:type="character" w:customStyle="1" w:styleId="SpecialBold">
    <w:name w:val="Special Bold"/>
    <w:basedOn w:val="DefaultParagraphFont"/>
    <w:rsid w:val="005C43F2"/>
    <w:rPr>
      <w:b/>
      <w:spacing w:val="0"/>
    </w:rPr>
  </w:style>
  <w:style w:type="paragraph" w:styleId="Header">
    <w:name w:val="header"/>
    <w:basedOn w:val="Normal"/>
    <w:link w:val="HeaderChar"/>
    <w:rsid w:val="005C43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43F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C43F2"/>
    <w:pPr>
      <w:spacing w:before="240" w:after="120"/>
      <w:outlineLvl w:val="0"/>
    </w:pPr>
    <w:rPr>
      <w:rFonts w:ascii="Times New Roman" w:hAnsi="Times New Roman"/>
      <w:b/>
      <w:sz w:val="28"/>
    </w:rPr>
  </w:style>
  <w:style w:type="paragraph" w:customStyle="1" w:styleId="AllowPageBreak">
    <w:name w:val="AllowPageBreak"/>
    <w:rsid w:val="005C43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43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43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43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43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43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43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C43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C43F2"/>
    <w:rPr>
      <w:rFonts w:ascii="Courier New" w:eastAsia="Times New Roman" w:hAnsi="Courier New" w:cs="Times New Roman"/>
      <w:i/>
      <w:szCs w:val="20"/>
      <w:lang w:val="en-US" w:eastAsia="en-US"/>
    </w:rPr>
  </w:style>
  <w:style w:type="paragraph" w:customStyle="1" w:styleId="HeadingBase">
    <w:name w:val="Heading Base"/>
    <w:rsid w:val="005C43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43F2"/>
    <w:pPr>
      <w:tabs>
        <w:tab w:val="right" w:leader="dot" w:pos="9072"/>
      </w:tabs>
      <w:ind w:left="567"/>
    </w:pPr>
    <w:rPr>
      <w:szCs w:val="22"/>
    </w:rPr>
  </w:style>
  <w:style w:type="paragraph" w:customStyle="1" w:styleId="TOCBase">
    <w:name w:val="TOC Base"/>
    <w:rsid w:val="005C43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43F2"/>
    <w:pPr>
      <w:tabs>
        <w:tab w:val="right" w:leader="dot" w:pos="9072"/>
      </w:tabs>
      <w:spacing w:before="40" w:after="40"/>
      <w:ind w:left="284"/>
    </w:pPr>
    <w:rPr>
      <w:rFonts w:ascii="Times New Roman" w:hAnsi="Times New Roman"/>
    </w:rPr>
  </w:style>
  <w:style w:type="paragraph" w:styleId="TOC1">
    <w:name w:val="toc 1"/>
    <w:basedOn w:val="TOCBase"/>
    <w:next w:val="Normal"/>
    <w:rsid w:val="005C43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C43F2"/>
    <w:pPr>
      <w:spacing w:before="5040"/>
      <w:jc w:val="center"/>
    </w:pPr>
    <w:rPr>
      <w:sz w:val="48"/>
      <w:szCs w:val="72"/>
      <w:lang w:val="en-US"/>
    </w:rPr>
  </w:style>
  <w:style w:type="character" w:customStyle="1" w:styleId="TitleChar">
    <w:name w:val="Title Char"/>
    <w:basedOn w:val="DefaultParagraphFont"/>
    <w:link w:val="Title"/>
    <w:rsid w:val="005C43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43F2"/>
    <w:pPr>
      <w:tabs>
        <w:tab w:val="left" w:pos="3600"/>
        <w:tab w:val="left" w:pos="3958"/>
      </w:tabs>
    </w:pPr>
  </w:style>
  <w:style w:type="paragraph" w:styleId="List">
    <w:name w:val="List"/>
    <w:basedOn w:val="BodyText"/>
    <w:next w:val="BodyText"/>
    <w:rsid w:val="005C43F2"/>
    <w:pPr>
      <w:tabs>
        <w:tab w:val="left" w:pos="340"/>
      </w:tabs>
      <w:spacing w:before="60" w:after="60"/>
      <w:ind w:left="340" w:hanging="340"/>
    </w:pPr>
  </w:style>
  <w:style w:type="paragraph" w:styleId="ListBullet">
    <w:name w:val="List Bullet"/>
    <w:basedOn w:val="List"/>
    <w:rsid w:val="005C43F2"/>
    <w:pPr>
      <w:numPr>
        <w:numId w:val="11"/>
      </w:numPr>
      <w:tabs>
        <w:tab w:val="clear" w:pos="340"/>
      </w:tabs>
      <w:spacing w:before="40" w:after="40"/>
    </w:pPr>
  </w:style>
  <w:style w:type="paragraph" w:customStyle="1" w:styleId="Note">
    <w:name w:val="Note"/>
    <w:basedOn w:val="BodyText"/>
    <w:rsid w:val="005C43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43F2"/>
    <w:pPr>
      <w:framePr w:wrap="auto" w:hAnchor="text" w:y="6049"/>
    </w:pPr>
    <w:rPr>
      <w:color w:val="000000"/>
      <w:sz w:val="40"/>
    </w:rPr>
  </w:style>
  <w:style w:type="paragraph" w:customStyle="1" w:styleId="TOCTitle">
    <w:name w:val="TOCTitle"/>
    <w:basedOn w:val="Heading1"/>
    <w:rsid w:val="005C43F2"/>
    <w:pPr>
      <w:spacing w:after="240"/>
      <w:jc w:val="center"/>
      <w:outlineLvl w:val="9"/>
    </w:pPr>
    <w:rPr>
      <w:caps/>
    </w:rPr>
  </w:style>
  <w:style w:type="paragraph" w:customStyle="1" w:styleId="Version">
    <w:name w:val="Version"/>
    <w:rsid w:val="005C43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43F2"/>
    <w:pPr>
      <w:numPr>
        <w:numId w:val="12"/>
      </w:numPr>
      <w:tabs>
        <w:tab w:val="clear" w:pos="680"/>
      </w:tabs>
    </w:pPr>
  </w:style>
  <w:style w:type="paragraph" w:styleId="Index1">
    <w:name w:val="index 1"/>
    <w:basedOn w:val="Normal"/>
    <w:next w:val="Normal"/>
    <w:semiHidden/>
    <w:rsid w:val="005C43F2"/>
    <w:pPr>
      <w:keepNext w:val="0"/>
      <w:tabs>
        <w:tab w:val="right" w:pos="4176"/>
      </w:tabs>
      <w:ind w:left="198" w:hanging="198"/>
    </w:pPr>
    <w:rPr>
      <w:rFonts w:ascii="Garamond" w:hAnsi="Garamond"/>
    </w:rPr>
  </w:style>
  <w:style w:type="paragraph" w:styleId="IndexHeading">
    <w:name w:val="index heading"/>
    <w:basedOn w:val="Normal"/>
    <w:next w:val="Index1"/>
    <w:semiHidden/>
    <w:rsid w:val="005C43F2"/>
    <w:pPr>
      <w:spacing w:before="120" w:after="120"/>
    </w:pPr>
    <w:rPr>
      <w:rFonts w:ascii="Arial" w:hAnsi="Arial"/>
      <w:b/>
      <w:color w:val="918585"/>
      <w:sz w:val="24"/>
    </w:rPr>
  </w:style>
  <w:style w:type="paragraph" w:customStyle="1" w:styleId="Chapter">
    <w:name w:val="Chapter"/>
    <w:basedOn w:val="Normal"/>
    <w:rsid w:val="005C43F2"/>
    <w:pPr>
      <w:spacing w:before="240"/>
    </w:pPr>
    <w:rPr>
      <w:rFonts w:ascii="Times New Roman" w:hAnsi="Times New Roman"/>
      <w:smallCaps/>
      <w:spacing w:val="80"/>
      <w:sz w:val="28"/>
    </w:rPr>
  </w:style>
  <w:style w:type="paragraph" w:customStyle="1" w:styleId="InChapter">
    <w:name w:val="InChapter"/>
    <w:basedOn w:val="Heading3"/>
    <w:rsid w:val="005C43F2"/>
    <w:pPr>
      <w:spacing w:after="240"/>
      <w:outlineLvl w:val="9"/>
    </w:pPr>
    <w:rPr>
      <w:noProof/>
    </w:rPr>
  </w:style>
  <w:style w:type="paragraph" w:styleId="Index2">
    <w:name w:val="index 2"/>
    <w:basedOn w:val="Normal"/>
    <w:next w:val="Normal"/>
    <w:semiHidden/>
    <w:rsid w:val="005C43F2"/>
    <w:pPr>
      <w:tabs>
        <w:tab w:val="right" w:pos="4176"/>
      </w:tabs>
      <w:ind w:left="568" w:hanging="284"/>
    </w:pPr>
    <w:rPr>
      <w:rFonts w:ascii="Garamond" w:hAnsi="Garamond"/>
    </w:rPr>
  </w:style>
  <w:style w:type="paragraph" w:customStyle="1" w:styleId="Byline">
    <w:name w:val="Byline"/>
    <w:rsid w:val="005C43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43F2"/>
    <w:pPr>
      <w:tabs>
        <w:tab w:val="clear" w:pos="3600"/>
        <w:tab w:val="clear" w:pos="3958"/>
      </w:tabs>
      <w:jc w:val="right"/>
    </w:pPr>
  </w:style>
  <w:style w:type="character" w:styleId="Emphasis">
    <w:name w:val="Emphasis"/>
    <w:basedOn w:val="DefaultParagraphFont"/>
    <w:qFormat/>
    <w:rsid w:val="005C43F2"/>
    <w:rPr>
      <w:i/>
    </w:rPr>
  </w:style>
  <w:style w:type="paragraph" w:styleId="Caption">
    <w:name w:val="caption"/>
    <w:basedOn w:val="BodyText"/>
    <w:next w:val="Normal"/>
    <w:qFormat/>
    <w:rsid w:val="005C43F2"/>
    <w:pPr>
      <w:framePr w:w="2268" w:hSpace="181" w:vSpace="181" w:wrap="around" w:vAnchor="text" w:hAnchor="page" w:x="1135" w:y="285" w:anchorLock="1"/>
    </w:pPr>
    <w:rPr>
      <w:i/>
    </w:rPr>
  </w:style>
  <w:style w:type="paragraph" w:customStyle="1" w:styleId="MiniTOCTitle">
    <w:name w:val="MiniTOCTitle"/>
    <w:basedOn w:val="Heading4"/>
    <w:rsid w:val="005C43F2"/>
    <w:pPr>
      <w:spacing w:before="240"/>
      <w:outlineLvl w:val="9"/>
    </w:pPr>
    <w:rPr>
      <w:noProof/>
      <w:sz w:val="24"/>
    </w:rPr>
  </w:style>
  <w:style w:type="paragraph" w:customStyle="1" w:styleId="MiniTOCItem">
    <w:name w:val="MiniTOCItem"/>
    <w:basedOn w:val="ListBullet"/>
    <w:rsid w:val="005C43F2"/>
    <w:pPr>
      <w:numPr>
        <w:numId w:val="0"/>
      </w:numPr>
      <w:tabs>
        <w:tab w:val="right" w:leader="dot" w:pos="6521"/>
      </w:tabs>
      <w:spacing w:before="0" w:after="0"/>
    </w:pPr>
  </w:style>
  <w:style w:type="paragraph" w:customStyle="1" w:styleId="TOFTitle">
    <w:name w:val="TOFTitle"/>
    <w:basedOn w:val="TOCTitle"/>
    <w:rsid w:val="005C43F2"/>
  </w:style>
  <w:style w:type="paragraph" w:styleId="TableofFigures">
    <w:name w:val="table of figures"/>
    <w:basedOn w:val="Normal"/>
    <w:next w:val="Normal"/>
    <w:semiHidden/>
    <w:rsid w:val="005C43F2"/>
    <w:pPr>
      <w:tabs>
        <w:tab w:val="right" w:leader="dot" w:pos="9072"/>
      </w:tabs>
      <w:ind w:left="970" w:hanging="403"/>
    </w:pPr>
    <w:rPr>
      <w:rFonts w:ascii="Times New Roman" w:hAnsi="Times New Roman"/>
      <w:b/>
    </w:rPr>
  </w:style>
  <w:style w:type="paragraph" w:styleId="ListNumber">
    <w:name w:val="List Number"/>
    <w:basedOn w:val="List"/>
    <w:rsid w:val="005C43F2"/>
    <w:pPr>
      <w:numPr>
        <w:numId w:val="9"/>
      </w:numPr>
    </w:pPr>
  </w:style>
  <w:style w:type="character" w:customStyle="1" w:styleId="WingdingSymbols">
    <w:name w:val="Wingding Symbols"/>
    <w:rsid w:val="005C43F2"/>
    <w:rPr>
      <w:rFonts w:ascii="Wingdings" w:hAnsi="Wingdings"/>
    </w:rPr>
  </w:style>
  <w:style w:type="paragraph" w:customStyle="1" w:styleId="TableHeading">
    <w:name w:val="Table Heading"/>
    <w:basedOn w:val="HeadingBase"/>
    <w:rsid w:val="005C43F2"/>
    <w:pPr>
      <w:keepLines/>
      <w:pBdr>
        <w:bottom w:val="single" w:sz="6" w:space="1" w:color="918585"/>
      </w:pBdr>
      <w:spacing w:before="240"/>
    </w:pPr>
  </w:style>
  <w:style w:type="character" w:customStyle="1" w:styleId="HotSpot">
    <w:name w:val="HotSpot"/>
    <w:rsid w:val="005C43F2"/>
    <w:rPr>
      <w:color w:val="0033CC"/>
      <w:u w:val="none"/>
    </w:rPr>
  </w:style>
  <w:style w:type="paragraph" w:customStyle="1" w:styleId="BodyTextRight">
    <w:name w:val="Body Text Right"/>
    <w:basedOn w:val="BodyText"/>
    <w:rsid w:val="005C43F2"/>
    <w:pPr>
      <w:spacing w:before="0" w:after="0"/>
      <w:jc w:val="right"/>
    </w:pPr>
  </w:style>
  <w:style w:type="paragraph" w:styleId="Index3">
    <w:name w:val="index 3"/>
    <w:basedOn w:val="ListNumber2"/>
    <w:next w:val="Normal"/>
    <w:semiHidden/>
    <w:rsid w:val="005C43F2"/>
    <w:pPr>
      <w:numPr>
        <w:numId w:val="0"/>
      </w:numPr>
      <w:tabs>
        <w:tab w:val="right" w:leader="dot" w:pos="4176"/>
      </w:tabs>
    </w:pPr>
  </w:style>
  <w:style w:type="paragraph" w:styleId="ListNumber2">
    <w:name w:val="List Number 2"/>
    <w:basedOn w:val="List2"/>
    <w:rsid w:val="005C43F2"/>
    <w:pPr>
      <w:numPr>
        <w:numId w:val="8"/>
      </w:numPr>
      <w:tabs>
        <w:tab w:val="clear" w:pos="1060"/>
      </w:tabs>
    </w:pPr>
  </w:style>
  <w:style w:type="paragraph" w:customStyle="1" w:styleId="MarginNote">
    <w:name w:val="Margin Note"/>
    <w:basedOn w:val="BodyText"/>
    <w:rsid w:val="005C43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43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43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C43F2"/>
    <w:rPr>
      <w:sz w:val="32"/>
    </w:rPr>
  </w:style>
  <w:style w:type="paragraph" w:customStyle="1" w:styleId="HeadingProcedure">
    <w:name w:val="Heading Procedure"/>
    <w:basedOn w:val="HeadingBase"/>
    <w:next w:val="Normal"/>
    <w:rsid w:val="005C43F2"/>
    <w:pPr>
      <w:tabs>
        <w:tab w:val="left" w:pos="0"/>
      </w:tabs>
      <w:spacing w:before="120" w:after="60"/>
    </w:pPr>
    <w:rPr>
      <w:i/>
      <w:color w:val="918585"/>
      <w:sz w:val="22"/>
    </w:rPr>
  </w:style>
  <w:style w:type="paragraph" w:customStyle="1" w:styleId="TableBodyText">
    <w:name w:val="Table Body Text"/>
    <w:basedOn w:val="BodyText"/>
    <w:rsid w:val="005C43F2"/>
    <w:pPr>
      <w:spacing w:before="60" w:after="60"/>
    </w:pPr>
  </w:style>
  <w:style w:type="paragraph" w:styleId="ListContinue">
    <w:name w:val="List Continue"/>
    <w:basedOn w:val="List"/>
    <w:rsid w:val="005C43F2"/>
    <w:pPr>
      <w:ind w:firstLine="0"/>
    </w:pPr>
  </w:style>
  <w:style w:type="paragraph" w:customStyle="1" w:styleId="ListNote">
    <w:name w:val="List Note"/>
    <w:basedOn w:val="List"/>
    <w:rsid w:val="005C43F2"/>
    <w:pPr>
      <w:pBdr>
        <w:top w:val="single" w:sz="6" w:space="2" w:color="918585"/>
        <w:bottom w:val="single" w:sz="6" w:space="2" w:color="918585"/>
      </w:pBdr>
      <w:tabs>
        <w:tab w:val="left" w:pos="1021"/>
      </w:tabs>
      <w:ind w:firstLine="0"/>
    </w:pPr>
  </w:style>
  <w:style w:type="paragraph" w:customStyle="1" w:styleId="Warning">
    <w:name w:val="Warning"/>
    <w:basedOn w:val="BodyText"/>
    <w:rsid w:val="005C43F2"/>
    <w:pPr>
      <w:shd w:val="clear" w:color="auto" w:fill="D9D9D9"/>
      <w:tabs>
        <w:tab w:val="left" w:pos="992"/>
      </w:tabs>
      <w:ind w:left="119" w:right="119"/>
    </w:pPr>
    <w:rPr>
      <w:sz w:val="20"/>
    </w:rPr>
  </w:style>
  <w:style w:type="paragraph" w:customStyle="1" w:styleId="MarginIcons">
    <w:name w:val="Margin Icons"/>
    <w:basedOn w:val="BodyText"/>
    <w:rsid w:val="005C43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43F2"/>
    <w:rPr>
      <w:rFonts w:ascii="Courier New" w:hAnsi="Courier New"/>
    </w:rPr>
  </w:style>
  <w:style w:type="paragraph" w:customStyle="1" w:styleId="NoteBullet">
    <w:name w:val="Note Bullet"/>
    <w:basedOn w:val="Note"/>
    <w:rsid w:val="005C43F2"/>
    <w:pPr>
      <w:tabs>
        <w:tab w:val="clear" w:pos="680"/>
      </w:tabs>
      <w:spacing w:before="60" w:after="60"/>
    </w:pPr>
  </w:style>
  <w:style w:type="paragraph" w:customStyle="1" w:styleId="SubHeading2">
    <w:name w:val="SubHeading2"/>
    <w:basedOn w:val="HeadingBase"/>
    <w:rsid w:val="005C43F2"/>
    <w:pPr>
      <w:spacing w:before="240" w:after="60"/>
    </w:pPr>
    <w:rPr>
      <w:sz w:val="20"/>
    </w:rPr>
  </w:style>
  <w:style w:type="paragraph" w:customStyle="1" w:styleId="SubHeading1">
    <w:name w:val="SubHeading1"/>
    <w:basedOn w:val="HeadingBase"/>
    <w:rsid w:val="005C43F2"/>
    <w:pPr>
      <w:spacing w:before="240" w:after="60"/>
    </w:pPr>
    <w:rPr>
      <w:color w:val="918585"/>
      <w:sz w:val="22"/>
    </w:rPr>
  </w:style>
  <w:style w:type="paragraph" w:customStyle="1" w:styleId="SideHeading">
    <w:name w:val="Side Heading"/>
    <w:basedOn w:val="HeadingBase"/>
    <w:rsid w:val="005C43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43F2"/>
    <w:pPr>
      <w:numPr>
        <w:numId w:val="10"/>
      </w:numPr>
    </w:pPr>
  </w:style>
  <w:style w:type="paragraph" w:styleId="PlainText">
    <w:name w:val="Plain Text"/>
    <w:basedOn w:val="Normal"/>
    <w:link w:val="PlainTextChar"/>
    <w:rsid w:val="005C43F2"/>
    <w:rPr>
      <w:sz w:val="20"/>
    </w:rPr>
  </w:style>
  <w:style w:type="character" w:customStyle="1" w:styleId="PlainTextChar">
    <w:name w:val="Plain Text Char"/>
    <w:basedOn w:val="DefaultParagraphFont"/>
    <w:link w:val="PlainText"/>
    <w:rsid w:val="005C43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C43F2"/>
    <w:rPr>
      <w:b/>
      <w:smallCaps/>
    </w:rPr>
  </w:style>
  <w:style w:type="paragraph" w:customStyle="1" w:styleId="TableListNumber">
    <w:name w:val="Table List Number"/>
    <w:basedOn w:val="ListNumber"/>
    <w:rsid w:val="005C43F2"/>
    <w:pPr>
      <w:numPr>
        <w:numId w:val="0"/>
      </w:numPr>
    </w:pPr>
  </w:style>
  <w:style w:type="paragraph" w:styleId="TOC4">
    <w:name w:val="toc 4"/>
    <w:basedOn w:val="TOCBase"/>
    <w:next w:val="Normal"/>
    <w:semiHidden/>
    <w:rsid w:val="005C43F2"/>
    <w:pPr>
      <w:tabs>
        <w:tab w:val="right" w:leader="dot" w:pos="9071"/>
      </w:tabs>
      <w:ind w:left="1701"/>
    </w:pPr>
  </w:style>
  <w:style w:type="paragraph" w:customStyle="1" w:styleId="ListAlpha">
    <w:name w:val="List Alpha"/>
    <w:basedOn w:val="List"/>
    <w:rsid w:val="005C43F2"/>
    <w:pPr>
      <w:numPr>
        <w:numId w:val="7"/>
      </w:numPr>
    </w:pPr>
  </w:style>
  <w:style w:type="paragraph" w:customStyle="1" w:styleId="ListAlpha2">
    <w:name w:val="List Alpha 2"/>
    <w:basedOn w:val="List2"/>
    <w:rsid w:val="005C43F2"/>
    <w:pPr>
      <w:numPr>
        <w:numId w:val="6"/>
      </w:numPr>
    </w:pPr>
  </w:style>
  <w:style w:type="paragraph" w:styleId="List2">
    <w:name w:val="List 2"/>
    <w:basedOn w:val="BodyText"/>
    <w:rsid w:val="005C43F2"/>
    <w:pPr>
      <w:tabs>
        <w:tab w:val="left" w:pos="680"/>
      </w:tabs>
      <w:spacing w:before="60" w:after="60"/>
      <w:ind w:left="680" w:hanging="340"/>
    </w:pPr>
  </w:style>
  <w:style w:type="paragraph" w:styleId="List3">
    <w:name w:val="List 3"/>
    <w:basedOn w:val="BodyText"/>
    <w:rsid w:val="005C43F2"/>
    <w:pPr>
      <w:tabs>
        <w:tab w:val="left" w:pos="1021"/>
      </w:tabs>
      <w:spacing w:before="60" w:after="60"/>
      <w:ind w:left="1020" w:hanging="340"/>
    </w:pPr>
  </w:style>
  <w:style w:type="paragraph" w:styleId="List4">
    <w:name w:val="List 4"/>
    <w:basedOn w:val="BodyText"/>
    <w:rsid w:val="005C43F2"/>
    <w:pPr>
      <w:tabs>
        <w:tab w:val="left" w:pos="1361"/>
      </w:tabs>
      <w:spacing w:before="60" w:after="60"/>
      <w:ind w:left="1361" w:hanging="340"/>
    </w:pPr>
  </w:style>
  <w:style w:type="paragraph" w:styleId="List5">
    <w:name w:val="List 5"/>
    <w:basedOn w:val="BodyText"/>
    <w:rsid w:val="005C43F2"/>
    <w:pPr>
      <w:tabs>
        <w:tab w:val="left" w:pos="1701"/>
      </w:tabs>
      <w:spacing w:before="60" w:after="60"/>
      <w:ind w:left="1701" w:hanging="340"/>
    </w:pPr>
  </w:style>
  <w:style w:type="paragraph" w:styleId="ListBullet3">
    <w:name w:val="List Bullet 3"/>
    <w:basedOn w:val="List3"/>
    <w:rsid w:val="005C43F2"/>
    <w:pPr>
      <w:numPr>
        <w:numId w:val="13"/>
      </w:numPr>
      <w:tabs>
        <w:tab w:val="clear" w:pos="1021"/>
      </w:tabs>
      <w:ind w:left="1037" w:hanging="357"/>
    </w:pPr>
  </w:style>
  <w:style w:type="paragraph" w:styleId="ListBullet4">
    <w:name w:val="List Bullet 4"/>
    <w:basedOn w:val="List4"/>
    <w:rsid w:val="005C43F2"/>
    <w:pPr>
      <w:numPr>
        <w:numId w:val="1"/>
      </w:numPr>
    </w:pPr>
  </w:style>
  <w:style w:type="paragraph" w:styleId="ListBullet5">
    <w:name w:val="List Bullet 5"/>
    <w:basedOn w:val="List5"/>
    <w:rsid w:val="005C43F2"/>
    <w:pPr>
      <w:numPr>
        <w:numId w:val="2"/>
      </w:numPr>
    </w:pPr>
  </w:style>
  <w:style w:type="paragraph" w:styleId="ListContinue2">
    <w:name w:val="List Continue 2"/>
    <w:basedOn w:val="List2"/>
    <w:rsid w:val="005C43F2"/>
    <w:pPr>
      <w:ind w:firstLine="0"/>
    </w:pPr>
  </w:style>
  <w:style w:type="paragraph" w:styleId="ListContinue3">
    <w:name w:val="List Continue 3"/>
    <w:basedOn w:val="List3"/>
    <w:rsid w:val="005C43F2"/>
    <w:pPr>
      <w:ind w:left="1021" w:firstLine="0"/>
    </w:pPr>
  </w:style>
  <w:style w:type="paragraph" w:styleId="ListContinue4">
    <w:name w:val="List Continue 4"/>
    <w:basedOn w:val="List4"/>
    <w:rsid w:val="005C43F2"/>
    <w:pPr>
      <w:ind w:firstLine="0"/>
    </w:pPr>
  </w:style>
  <w:style w:type="paragraph" w:styleId="ListContinue5">
    <w:name w:val="List Continue 5"/>
    <w:basedOn w:val="List5"/>
    <w:rsid w:val="005C43F2"/>
    <w:pPr>
      <w:ind w:firstLine="0"/>
    </w:pPr>
  </w:style>
  <w:style w:type="paragraph" w:styleId="ListNumber3">
    <w:name w:val="List Number 3"/>
    <w:basedOn w:val="List3"/>
    <w:rsid w:val="005C43F2"/>
    <w:pPr>
      <w:numPr>
        <w:numId w:val="3"/>
      </w:numPr>
    </w:pPr>
  </w:style>
  <w:style w:type="paragraph" w:styleId="ListNumber4">
    <w:name w:val="List Number 4"/>
    <w:basedOn w:val="List4"/>
    <w:rsid w:val="005C43F2"/>
    <w:pPr>
      <w:numPr>
        <w:numId w:val="4"/>
      </w:numPr>
    </w:pPr>
  </w:style>
  <w:style w:type="paragraph" w:styleId="ListNumber5">
    <w:name w:val="List Number 5"/>
    <w:basedOn w:val="List5"/>
    <w:rsid w:val="005C43F2"/>
    <w:pPr>
      <w:numPr>
        <w:numId w:val="5"/>
      </w:numPr>
    </w:pPr>
  </w:style>
  <w:style w:type="paragraph" w:styleId="BlockText">
    <w:name w:val="Block Text"/>
    <w:basedOn w:val="Normal"/>
    <w:rsid w:val="005C43F2"/>
    <w:pPr>
      <w:spacing w:after="120"/>
      <w:ind w:left="1440" w:right="1440"/>
    </w:pPr>
  </w:style>
  <w:style w:type="character" w:customStyle="1" w:styleId="Subscript">
    <w:name w:val="Subscript"/>
    <w:basedOn w:val="DefaultParagraphFont"/>
    <w:rsid w:val="005C43F2"/>
    <w:rPr>
      <w:sz w:val="16"/>
      <w:vertAlign w:val="subscript"/>
    </w:rPr>
  </w:style>
  <w:style w:type="character" w:customStyle="1" w:styleId="Superscript">
    <w:name w:val="Superscript"/>
    <w:basedOn w:val="DefaultParagraphFont"/>
    <w:rsid w:val="005C43F2"/>
    <w:rPr>
      <w:sz w:val="16"/>
      <w:vertAlign w:val="superscript"/>
    </w:rPr>
  </w:style>
  <w:style w:type="character" w:customStyle="1" w:styleId="Symbols">
    <w:name w:val="Symbols"/>
    <w:basedOn w:val="DefaultParagraphFont"/>
    <w:rsid w:val="005C43F2"/>
    <w:rPr>
      <w:rFonts w:ascii="Symbol" w:hAnsi="Symbol"/>
    </w:rPr>
  </w:style>
  <w:style w:type="character" w:customStyle="1" w:styleId="MenuOptions">
    <w:name w:val="Menu Options"/>
    <w:basedOn w:val="DefaultParagraphFont"/>
    <w:rsid w:val="005C43F2"/>
    <w:rPr>
      <w:rFonts w:ascii="Arial Narrow" w:hAnsi="Arial Narrow"/>
      <w:smallCaps/>
    </w:rPr>
  </w:style>
  <w:style w:type="character" w:customStyle="1" w:styleId="Buttons">
    <w:name w:val="Buttons"/>
    <w:basedOn w:val="DefaultParagraphFont"/>
    <w:rsid w:val="005C43F2"/>
    <w:rPr>
      <w:b/>
    </w:rPr>
  </w:style>
  <w:style w:type="character" w:customStyle="1" w:styleId="Underlined">
    <w:name w:val="Underlined"/>
    <w:basedOn w:val="DefaultParagraphFont"/>
    <w:rsid w:val="005C43F2"/>
    <w:rPr>
      <w:u w:val="single"/>
    </w:rPr>
  </w:style>
  <w:style w:type="paragraph" w:customStyle="1" w:styleId="TableBodyTextRight">
    <w:name w:val="Table Body Text Right"/>
    <w:basedOn w:val="TableBodyText"/>
    <w:rsid w:val="005C43F2"/>
    <w:pPr>
      <w:widowControl w:val="0"/>
      <w:autoSpaceDE w:val="0"/>
      <w:autoSpaceDN w:val="0"/>
      <w:adjustRightInd w:val="0"/>
      <w:jc w:val="right"/>
    </w:pPr>
    <w:rPr>
      <w:rFonts w:cs="Arial"/>
      <w:szCs w:val="18"/>
    </w:rPr>
  </w:style>
  <w:style w:type="paragraph" w:customStyle="1" w:styleId="CopyrightText">
    <w:name w:val="Copyright Text"/>
    <w:basedOn w:val="BodyText"/>
    <w:rsid w:val="005C43F2"/>
    <w:rPr>
      <w:sz w:val="18"/>
    </w:rPr>
  </w:style>
  <w:style w:type="paragraph" w:customStyle="1" w:styleId="BodySmallRight">
    <w:name w:val="Body Small Right"/>
    <w:basedOn w:val="BodyTextRight"/>
    <w:rsid w:val="005C43F2"/>
    <w:rPr>
      <w:sz w:val="18"/>
      <w:szCs w:val="18"/>
    </w:rPr>
  </w:style>
  <w:style w:type="paragraph" w:customStyle="1" w:styleId="MarginEdition">
    <w:name w:val="Margin Edition"/>
    <w:basedOn w:val="MarginNote"/>
    <w:rsid w:val="005C43F2"/>
    <w:pPr>
      <w:spacing w:before="0" w:after="0"/>
    </w:pPr>
    <w:rPr>
      <w:rFonts w:ascii="Times New Roman" w:hAnsi="Times New Roman"/>
      <w:color w:val="999999"/>
    </w:rPr>
  </w:style>
  <w:style w:type="paragraph" w:customStyle="1" w:styleId="Spacer">
    <w:name w:val="Spacer"/>
    <w:basedOn w:val="Normal"/>
    <w:rsid w:val="005C43F2"/>
    <w:rPr>
      <w:sz w:val="2"/>
      <w:szCs w:val="2"/>
    </w:rPr>
  </w:style>
  <w:style w:type="character" w:customStyle="1" w:styleId="Small">
    <w:name w:val="Small"/>
    <w:basedOn w:val="DefaultParagraphFont"/>
    <w:rsid w:val="005C43F2"/>
    <w:rPr>
      <w:sz w:val="16"/>
    </w:rPr>
  </w:style>
  <w:style w:type="paragraph" w:customStyle="1" w:styleId="WideTable">
    <w:name w:val="Wide Table"/>
    <w:basedOn w:val="Normal"/>
    <w:rsid w:val="005C43F2"/>
    <w:pPr>
      <w:ind w:left="-1418"/>
    </w:pPr>
    <w:rPr>
      <w:sz w:val="2"/>
      <w:szCs w:val="2"/>
    </w:rPr>
  </w:style>
  <w:style w:type="character" w:styleId="PageNumber">
    <w:name w:val="page number"/>
    <w:basedOn w:val="DefaultParagraphFont"/>
    <w:rsid w:val="005C43F2"/>
  </w:style>
  <w:style w:type="paragraph" w:styleId="Quote">
    <w:name w:val="Quote"/>
    <w:basedOn w:val="Heading1"/>
    <w:link w:val="QuoteChar"/>
    <w:qFormat/>
    <w:rsid w:val="005C43F2"/>
    <w:rPr>
      <w:b w:val="0"/>
      <w:sz w:val="72"/>
      <w:szCs w:val="72"/>
      <w:lang w:val="en-NZ"/>
    </w:rPr>
  </w:style>
  <w:style w:type="character" w:customStyle="1" w:styleId="QuoteChar">
    <w:name w:val="Quote Char"/>
    <w:basedOn w:val="DefaultParagraphFont"/>
    <w:link w:val="Quote"/>
    <w:rsid w:val="005C43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43F2"/>
    <w:pPr>
      <w:pageBreakBefore/>
    </w:pPr>
  </w:style>
  <w:style w:type="paragraph" w:customStyle="1" w:styleId="Border">
    <w:name w:val="Border"/>
    <w:basedOn w:val="Normal"/>
    <w:qFormat/>
    <w:rsid w:val="005C43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43F2"/>
    <w:rPr>
      <w:b/>
      <w:bCs/>
      <w:i/>
      <w:iCs/>
      <w:color w:val="auto"/>
    </w:rPr>
  </w:style>
  <w:style w:type="paragraph" w:styleId="IntenseQuote">
    <w:name w:val="Intense Quote"/>
    <w:basedOn w:val="Normal"/>
    <w:next w:val="Normal"/>
    <w:link w:val="IntenseQuoteChar"/>
    <w:uiPriority w:val="30"/>
    <w:qFormat/>
    <w:rsid w:val="005C43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43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C43F2"/>
    <w:rPr>
      <w:smallCaps/>
      <w:color w:val="auto"/>
      <w:u w:val="single"/>
    </w:rPr>
  </w:style>
  <w:style w:type="character" w:styleId="IntenseReference">
    <w:name w:val="Intense Reference"/>
    <w:basedOn w:val="DefaultParagraphFont"/>
    <w:uiPriority w:val="32"/>
    <w:qFormat/>
    <w:rsid w:val="005C43F2"/>
    <w:rPr>
      <w:b/>
      <w:bCs/>
      <w:smallCaps/>
      <w:color w:val="auto"/>
      <w:spacing w:val="5"/>
      <w:u w:val="single"/>
    </w:rPr>
  </w:style>
  <w:style w:type="paragraph" w:customStyle="1" w:styleId="2ColumnHeading">
    <w:name w:val="2Column Heading"/>
    <w:basedOn w:val="BodyText"/>
    <w:qFormat/>
    <w:rsid w:val="005C43F2"/>
    <w:pPr>
      <w:spacing w:after="60"/>
      <w:ind w:left="-2268"/>
    </w:pPr>
    <w:rPr>
      <w:b/>
    </w:rPr>
  </w:style>
  <w:style w:type="paragraph" w:customStyle="1" w:styleId="Heading1TOC">
    <w:name w:val="Heading1 TOC"/>
    <w:basedOn w:val="Normal"/>
    <w:qFormat/>
    <w:rsid w:val="005C43F2"/>
    <w:pPr>
      <w:spacing w:before="240" w:after="120"/>
    </w:pPr>
    <w:rPr>
      <w:rFonts w:ascii="Times New Roman" w:hAnsi="Times New Roman"/>
      <w:b/>
      <w:sz w:val="32"/>
    </w:rPr>
  </w:style>
  <w:style w:type="paragraph" w:customStyle="1" w:styleId="Heading2TOC">
    <w:name w:val="Heading2 TOC"/>
    <w:basedOn w:val="Normal"/>
    <w:qFormat/>
    <w:rsid w:val="005C43F2"/>
    <w:pPr>
      <w:spacing w:before="240" w:after="60"/>
    </w:pPr>
    <w:rPr>
      <w:rFonts w:ascii="Times New Roman" w:hAnsi="Times New Roman"/>
      <w:b/>
      <w:sz w:val="28"/>
    </w:rPr>
  </w:style>
  <w:style w:type="character" w:customStyle="1" w:styleId="Underline">
    <w:name w:val="Underline"/>
    <w:basedOn w:val="DefaultParagraphFont"/>
    <w:qFormat/>
    <w:rsid w:val="005C43F2"/>
    <w:rPr>
      <w:u w:val="single"/>
    </w:rPr>
  </w:style>
  <w:style w:type="character" w:customStyle="1" w:styleId="BoldandItalics">
    <w:name w:val="Bold and Italics"/>
    <w:qFormat/>
    <w:rsid w:val="005C43F2"/>
    <w:rPr>
      <w:b/>
      <w:i/>
      <w:u w:val="none"/>
    </w:rPr>
  </w:style>
  <w:style w:type="paragraph" w:styleId="BalloonText">
    <w:name w:val="Balloon Text"/>
    <w:basedOn w:val="Normal"/>
    <w:link w:val="BalloonTextChar"/>
    <w:rsid w:val="005C43F2"/>
    <w:rPr>
      <w:rFonts w:ascii="Tahoma" w:hAnsi="Tahoma" w:cs="Tahoma"/>
      <w:sz w:val="16"/>
      <w:szCs w:val="16"/>
    </w:rPr>
  </w:style>
  <w:style w:type="character" w:customStyle="1" w:styleId="BalloonTextChar">
    <w:name w:val="Balloon Text Char"/>
    <w:basedOn w:val="DefaultParagraphFont"/>
    <w:link w:val="BalloonText"/>
    <w:rsid w:val="005C43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C43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43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1027</Words>
  <Characters>6609</Characters>
  <Application>Microsoft Office Word</Application>
  <DocSecurity>0</DocSecurity>
  <Lines>245</Lines>
  <Paragraphs>122</Paragraphs>
  <ScaleCrop>false</ScaleCrop>
  <Company>Author-it Software Corporation Ltd.</Company>
  <LinksUpToDate>false</LinksUpToDate>
  <CharactersWithSpaces>7608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SITHGAM004A Analyse and report on gaming machine data</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2012-05-26T10:23:00Z</dcterms:created>
  <dcterms:modified xsi:type="dcterms:W3CDTF">2012-05-26T10:23:00Z</dcterms:modified>
</cp:coreProperties>
</file>