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292" w:rsidP="00FC0292">
      <w:pPr>
        <w:pStyle w:val="Title"/>
      </w:pPr>
      <w:r>
        <w:fldChar w:fldCharType="begin"/>
      </w:r>
      <w:r>
        <w:instrText xml:space="preserve"> TITLE   \* MERGEFORMAT </w:instrText>
      </w:r>
      <w:r>
        <w:fldChar w:fldCharType="separate"/>
      </w:r>
      <w:r>
        <w:t>SITHGAM003A Conduct a Keno game</w:t>
      </w:r>
      <w:r>
        <w:fldChar w:fldCharType="end"/>
      </w:r>
    </w:p>
    <w:p w:rsidR="00FC0292" w:rsidP="00FC0292">
      <w:pPr>
        <w:pStyle w:val="Version"/>
        <w:sectPr w:rsidSect="000556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556C3" w:rsidP="000556C3">
      <w:pPr>
        <w:pStyle w:val="SuperHeading"/>
      </w:pPr>
      <w:r w:rsidRPr="000556C3">
        <w:t>SITHGAM003A Conduct a Keno game</w:t>
      </w:r>
    </w:p>
    <w:p w:rsidR="00000000" w:rsidRPr="000556C3" w:rsidP="000556C3">
      <w:pPr>
        <w:pStyle w:val="SuperHeading"/>
      </w:pPr>
    </w:p>
    <w:p w:rsidR="00000000" w:rsidRPr="000556C3" w:rsidP="000556C3">
      <w:pPr>
        <w:pStyle w:val="Heading1"/>
      </w:pPr>
      <w:bookmarkStart w:id="1" w:name="O_147015"/>
      <w:bookmarkEnd w:id="1"/>
      <w:r w:rsidRPr="000556C3">
        <w:t>Modification History</w:t>
      </w:r>
    </w:p>
    <w:p w:rsidR="00000000" w:rsidRPr="000556C3" w:rsidP="000556C3">
      <w:pPr>
        <w:pStyle w:val="BodyText"/>
      </w:pPr>
      <w:r w:rsidRPr="000556C3">
        <w:t>Not applicable.</w:t>
      </w:r>
    </w:p>
    <w:p w:rsidR="00000000" w:rsidRPr="000556C3" w:rsidP="000556C3">
      <w:pPr>
        <w:pStyle w:val="AllowPageBreak"/>
      </w:pPr>
    </w:p>
    <w:p w:rsidR="00000000" w:rsidRPr="000556C3" w:rsidP="000556C3">
      <w:pPr>
        <w:pStyle w:val="Heading1"/>
      </w:pPr>
      <w:bookmarkStart w:id="2" w:name="O_147016"/>
      <w:bookmarkEnd w:id="2"/>
      <w:r w:rsidRPr="000556C3">
        <w:t>Unit Descriptor</w:t>
      </w:r>
    </w:p>
    <w:tbl>
      <w:tblPr>
        <w:tblW w:w="0" w:type="auto"/>
        <w:tblLayout w:type="fixed"/>
        <w:tblCellMar>
          <w:left w:w="62" w:type="dxa"/>
          <w:right w:w="62" w:type="dxa"/>
        </w:tblCellMar>
        <w:tblLook w:val="0000"/>
      </w:tblPr>
      <w:tblGrid>
        <w:gridCol w:w="2836"/>
        <w:gridCol w:w="6344"/>
      </w:tblGrid>
      <w:tr w:rsidTr="00FC029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0556C3" w:rsidP="000556C3">
            <w:pPr>
              <w:pStyle w:val="BodyText"/>
            </w:pPr>
            <w:r w:rsidRPr="000556C3">
              <w:t>This unit describes the performance outcomes, skills and knowledge required to conduct a Keno game.</w:t>
            </w:r>
          </w:p>
          <w:p w:rsidR="00000000" w:rsidP="000556C3">
            <w:pPr>
              <w:pStyle w:val="BodyText"/>
              <w:rPr>
                <w:lang w:val="en-NZ"/>
              </w:rPr>
            </w:pPr>
            <w:r w:rsidRPr="000556C3">
              <w:t>In some States an</w:t>
            </w:r>
            <w:r w:rsidRPr="000556C3">
              <w:t>d Territories, responsible conduct of gambling or gaming is a requirement of state and territory legislation. This is addressed in SITHGAM006A Provide responsible gambling services.</w:t>
            </w:r>
          </w:p>
        </w:tc>
      </w:tr>
      <w:tr w:rsidTr="00FC029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556C3" w:rsidP="000556C3">
            <w:pPr>
              <w:pStyle w:val="BodyText"/>
            </w:pPr>
          </w:p>
        </w:tc>
      </w:tr>
    </w:tbl>
    <w:p w:rsidR="00000000" w:rsidRPr="000556C3" w:rsidP="000556C3">
      <w:pPr>
        <w:pStyle w:val="BodyText"/>
      </w:pPr>
    </w:p>
    <w:p w:rsidR="00000000" w:rsidRPr="000556C3" w:rsidP="000556C3">
      <w:pPr>
        <w:pStyle w:val="AllowPageBreak"/>
      </w:pPr>
    </w:p>
    <w:p w:rsidR="00000000" w:rsidRPr="000556C3" w:rsidP="000556C3">
      <w:pPr>
        <w:pStyle w:val="Heading1"/>
      </w:pPr>
      <w:bookmarkStart w:id="3" w:name="O_147017"/>
      <w:bookmarkEnd w:id="3"/>
      <w:r w:rsidRPr="000556C3">
        <w:t>Application of the Unit</w:t>
      </w:r>
    </w:p>
    <w:tbl>
      <w:tblPr>
        <w:tblW w:w="0" w:type="auto"/>
        <w:tblLayout w:type="fixed"/>
        <w:tblCellMar>
          <w:left w:w="62" w:type="dxa"/>
          <w:right w:w="62" w:type="dxa"/>
        </w:tblCellMar>
        <w:tblLook w:val="0000"/>
      </w:tblPr>
      <w:tblGrid>
        <w:gridCol w:w="2836"/>
        <w:gridCol w:w="6344"/>
      </w:tblGrid>
      <w:tr w:rsidTr="00FC029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t>This unit applies to all sectors of the hospitality industry where Keno activities using online terminals are carried out, including clubs and casinos.</w:t>
            </w:r>
          </w:p>
        </w:tc>
      </w:tr>
      <w:tr w:rsidTr="00FC029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556C3" w:rsidP="000556C3">
            <w:pPr>
              <w:pStyle w:val="BodyText"/>
            </w:pPr>
          </w:p>
        </w:tc>
      </w:tr>
    </w:tbl>
    <w:p w:rsidR="00000000" w:rsidRPr="000556C3" w:rsidP="000556C3">
      <w:pPr>
        <w:pStyle w:val="BodyText"/>
      </w:pPr>
    </w:p>
    <w:p w:rsidR="00000000" w:rsidRPr="000556C3" w:rsidP="000556C3">
      <w:pPr>
        <w:pStyle w:val="AllowPageBreak"/>
      </w:pPr>
    </w:p>
    <w:p w:rsidR="00000000" w:rsidRPr="000556C3" w:rsidP="000556C3">
      <w:pPr>
        <w:pStyle w:val="Heading1"/>
      </w:pPr>
      <w:bookmarkStart w:id="4" w:name="O_147018"/>
      <w:bookmarkEnd w:id="4"/>
      <w:r w:rsidRPr="000556C3">
        <w:t>Licensing/Regulatory Information</w:t>
      </w:r>
    </w:p>
    <w:p w:rsidR="00000000" w:rsidRPr="000556C3" w:rsidP="000556C3">
      <w:pPr>
        <w:pStyle w:val="BodyText"/>
      </w:pPr>
      <w:r w:rsidRPr="000556C3">
        <w:t>Not applicable.</w:t>
      </w:r>
    </w:p>
    <w:p w:rsidR="00000000" w:rsidRPr="000556C3" w:rsidP="000556C3">
      <w:pPr>
        <w:pStyle w:val="AllowPageBreak"/>
      </w:pPr>
    </w:p>
    <w:p w:rsidR="00000000" w:rsidRPr="000556C3" w:rsidP="000556C3">
      <w:pPr>
        <w:pStyle w:val="Heading1"/>
      </w:pPr>
      <w:bookmarkStart w:id="5" w:name="O_147019"/>
      <w:bookmarkEnd w:id="5"/>
      <w:r w:rsidRPr="000556C3">
        <w:t>Pre-Requisites</w:t>
      </w:r>
    </w:p>
    <w:tbl>
      <w:tblPr>
        <w:tblW w:w="0" w:type="auto"/>
        <w:tblLayout w:type="fixed"/>
        <w:tblCellMar>
          <w:left w:w="62" w:type="dxa"/>
          <w:right w:w="62" w:type="dxa"/>
        </w:tblCellMar>
        <w:tblLook w:val="0000"/>
      </w:tblPr>
      <w:tblGrid>
        <w:gridCol w:w="2836"/>
        <w:gridCol w:w="6344"/>
      </w:tblGrid>
      <w:tr w:rsidTr="00FC029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0556C3" w:rsidP="000556C3">
            <w:pPr>
              <w:pStyle w:val="BodyText"/>
            </w:pPr>
            <w:r w:rsidRPr="000556C3">
              <w:t>This unit must be assessed after the following prerequisite unit:</w:t>
            </w:r>
          </w:p>
          <w:p w:rsidR="00000000" w:rsidP="000556C3">
            <w:pPr>
              <w:pStyle w:val="BodyText"/>
              <w:rPr>
                <w:lang w:val="en-NZ"/>
              </w:rPr>
            </w:pPr>
            <w:r w:rsidRPr="000556C3">
              <w:t>SITXFIN001A Process financial transactions.</w:t>
            </w:r>
          </w:p>
        </w:tc>
      </w:tr>
      <w:tr w:rsidTr="00FC029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556C3" w:rsidP="000556C3">
            <w:pPr>
              <w:pStyle w:val="BodyText"/>
            </w:pPr>
          </w:p>
        </w:tc>
      </w:tr>
    </w:tbl>
    <w:p w:rsidR="00000000" w:rsidRPr="000556C3" w:rsidP="000556C3">
      <w:pPr>
        <w:pStyle w:val="BodyText"/>
      </w:pPr>
    </w:p>
    <w:p w:rsidR="00000000" w:rsidRPr="000556C3" w:rsidP="000556C3">
      <w:pPr>
        <w:pStyle w:val="AllowPageBreak"/>
      </w:pPr>
    </w:p>
    <w:p w:rsidR="00000000" w:rsidRPr="000556C3" w:rsidP="000556C3">
      <w:pPr>
        <w:pStyle w:val="Heading1"/>
      </w:pPr>
      <w:bookmarkStart w:id="6" w:name="O_147020"/>
      <w:bookmarkEnd w:id="6"/>
      <w:r w:rsidRPr="000556C3">
        <w:t>Employability Skills Information</w:t>
      </w:r>
    </w:p>
    <w:tbl>
      <w:tblPr>
        <w:tblW w:w="0" w:type="auto"/>
        <w:tblLayout w:type="fixed"/>
        <w:tblCellMar>
          <w:left w:w="62" w:type="dxa"/>
          <w:right w:w="62" w:type="dxa"/>
        </w:tblCellMar>
        <w:tblLook w:val="0000"/>
      </w:tblPr>
      <w:tblGrid>
        <w:gridCol w:w="2836"/>
        <w:gridCol w:w="6344"/>
      </w:tblGrid>
      <w:tr w:rsidTr="00FC029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t>The required outcomes described in this unit of com</w:t>
            </w:r>
            <w:r w:rsidRPr="000556C3">
              <w:t>petency contain applicable facets of employability skills. The Employability Skills Summary of the qualification in which this unit is packaged will assist in identifying employability skills requirements.</w:t>
            </w:r>
          </w:p>
        </w:tc>
      </w:tr>
      <w:tr w:rsidTr="00FC029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556C3" w:rsidP="000556C3">
            <w:pPr>
              <w:pStyle w:val="BodyText"/>
            </w:pPr>
          </w:p>
        </w:tc>
      </w:tr>
    </w:tbl>
    <w:p w:rsidR="00000000" w:rsidRPr="000556C3" w:rsidP="000556C3">
      <w:pPr>
        <w:pStyle w:val="BodyText"/>
      </w:pPr>
    </w:p>
    <w:p w:rsidR="00000000" w:rsidRPr="000556C3" w:rsidP="000556C3">
      <w:pPr>
        <w:pStyle w:val="AllowPageBreak"/>
      </w:pPr>
    </w:p>
    <w:p w:rsidR="00000000" w:rsidRPr="000556C3" w:rsidP="000556C3">
      <w:pPr>
        <w:pStyle w:val="Heading1"/>
      </w:pPr>
      <w:bookmarkStart w:id="7" w:name="O_147021"/>
      <w:bookmarkEnd w:id="7"/>
      <w:r w:rsidRPr="000556C3">
        <w:t>Elements and Performance Criteria Pre-Content</w:t>
      </w:r>
    </w:p>
    <w:tbl>
      <w:tblPr>
        <w:tblW w:w="0" w:type="auto"/>
        <w:tblLayout w:type="fixed"/>
        <w:tblCellMar>
          <w:left w:w="62" w:type="dxa"/>
          <w:right w:w="62" w:type="dxa"/>
        </w:tblCellMar>
        <w:tblLook w:val="0000"/>
      </w:tblPr>
      <w:tblGrid>
        <w:gridCol w:w="2836"/>
        <w:gridCol w:w="6344"/>
      </w:tblGrid>
      <w:tr w:rsidTr="00FC029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556C3" w:rsidP="000556C3">
            <w:pPr>
              <w:pStyle w:val="BodyText"/>
            </w:pPr>
            <w:r w:rsidRPr="000556C3">
              <w:t xml:space="preserve">Performance criteria describe the required performance needed to demonstrate achievement of the element. Where </w:t>
            </w:r>
            <w:r w:rsidRPr="000556C3">
              <w:rPr>
                <w:rStyle w:val="BoldandItalics"/>
              </w:rPr>
              <w:t>bold italicised</w:t>
            </w:r>
            <w:r w:rsidRPr="000556C3">
              <w:t xml:space="preserve"> text is used, fur</w:t>
            </w:r>
            <w:r w:rsidRPr="000556C3">
              <w:t>ther information is detailed in the required skills and knowledge and/or the range statement. Assessment of performance is to be consistent with the evidence guide.</w:t>
            </w:r>
          </w:p>
        </w:tc>
      </w:tr>
    </w:tbl>
    <w:p w:rsidR="00000000" w:rsidRPr="000556C3" w:rsidP="000556C3">
      <w:pPr>
        <w:pStyle w:val="BodyText"/>
      </w:pPr>
    </w:p>
    <w:p w:rsidR="00000000" w:rsidRPr="000556C3" w:rsidP="000556C3">
      <w:pPr>
        <w:pStyle w:val="AllowPageBreak"/>
      </w:pPr>
    </w:p>
    <w:p w:rsidR="00000000" w:rsidRPr="000556C3" w:rsidP="000556C3">
      <w:pPr>
        <w:pStyle w:val="Heading1"/>
      </w:pPr>
      <w:bookmarkStart w:id="8" w:name="O_147022"/>
      <w:bookmarkEnd w:id="8"/>
      <w:r w:rsidRPr="000556C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C029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556C3" w:rsidP="000556C3">
            <w:pPr>
              <w:pStyle w:val="List"/>
            </w:pPr>
            <w:r w:rsidRPr="000556C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rPr>
                <w:rStyle w:val="SpecialBold"/>
              </w:rPr>
              <w:t>PERFORMANCE CRITERIA</w:t>
            </w: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r>
      <w:tr w:rsidTr="00FC029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1</w:t>
            </w:r>
          </w:p>
        </w:tc>
        <w:tc>
          <w:tcPr>
            <w:tcW w:w="2410" w:type="dxa"/>
            <w:vMerge w:val="restart"/>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Advise customers on features of Keno.</w:t>
            </w: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1.1</w:t>
            </w:r>
          </w:p>
        </w:tc>
        <w:tc>
          <w:tcPr>
            <w:tcW w:w="577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 xml:space="preserve">Provide </w:t>
            </w:r>
            <w:r w:rsidRPr="000556C3">
              <w:rPr>
                <w:rStyle w:val="BoldandItalics"/>
              </w:rPr>
              <w:t>information</w:t>
            </w:r>
            <w:r w:rsidRPr="000556C3">
              <w:t xml:space="preserve"> to customers on the operation of </w:t>
            </w:r>
            <w:r w:rsidRPr="000556C3">
              <w:rPr>
                <w:rStyle w:val="BoldandItalics"/>
              </w:rPr>
              <w:t>Keno games</w:t>
            </w:r>
            <w:r w:rsidRPr="000556C3">
              <w:t>.</w:t>
            </w:r>
          </w:p>
        </w:tc>
      </w:tr>
      <w:tr w:rsidTr="00FC029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1.2</w:t>
            </w:r>
          </w:p>
        </w:tc>
        <w:tc>
          <w:tcPr>
            <w:tcW w:w="577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 xml:space="preserve">Advise customers on </w:t>
            </w:r>
            <w:r w:rsidRPr="000556C3">
              <w:rPr>
                <w:rStyle w:val="BoldandItalics"/>
              </w:rPr>
              <w:t>Keno promotions</w:t>
            </w:r>
            <w:r w:rsidRPr="000556C3">
              <w:t xml:space="preserve"> where appropriate.</w:t>
            </w:r>
          </w:p>
        </w:tc>
      </w:tr>
      <w:tr w:rsidTr="00FC029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1.3</w:t>
            </w:r>
          </w:p>
        </w:tc>
        <w:tc>
          <w:tcPr>
            <w:tcW w:w="577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Respond to customer complaints and queries courteous</w:t>
            </w:r>
            <w:r w:rsidRPr="000556C3">
              <w:t>ly according to enterprise procedures.</w:t>
            </w: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r>
      <w:tr w:rsidTr="00FC029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2</w:t>
            </w:r>
          </w:p>
        </w:tc>
        <w:tc>
          <w:tcPr>
            <w:tcW w:w="2410" w:type="dxa"/>
            <w:vMerge w:val="restart"/>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Process bet types.</w:t>
            </w: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2.1</w:t>
            </w:r>
          </w:p>
        </w:tc>
        <w:tc>
          <w:tcPr>
            <w:tcW w:w="577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Identify and confirm verbal and standard entry bet types correctly.</w:t>
            </w:r>
          </w:p>
        </w:tc>
      </w:tr>
      <w:tr w:rsidTr="00FC029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2.2</w:t>
            </w:r>
          </w:p>
        </w:tc>
        <w:tc>
          <w:tcPr>
            <w:tcW w:w="577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Process bet types according to designated procedures.</w:t>
            </w: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3</w:t>
            </w:r>
          </w:p>
        </w:tc>
        <w:tc>
          <w:tcPr>
            <w:tcW w:w="2410"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Pay out prizes.</w:t>
            </w: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3.1</w:t>
            </w:r>
          </w:p>
        </w:tc>
        <w:tc>
          <w:tcPr>
            <w:tcW w:w="577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Check tickets through the card reader, scanner or by serial number.</w:t>
            </w: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3.2</w:t>
            </w:r>
          </w:p>
        </w:tc>
        <w:tc>
          <w:tcPr>
            <w:tcW w:w="577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Process cash and cheque payouts according to pre-set limits.</w:t>
            </w: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3.3</w:t>
            </w:r>
          </w:p>
        </w:tc>
        <w:tc>
          <w:tcPr>
            <w:tcW w:w="577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Perform cash and cheque transactions according to agency and system limits.</w:t>
            </w: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3.4</w:t>
            </w:r>
          </w:p>
        </w:tc>
        <w:tc>
          <w:tcPr>
            <w:tcW w:w="577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Refer large payouts, bets, cash-ins and cash-outs to the appropriate person.</w:t>
            </w: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4</w:t>
            </w:r>
          </w:p>
        </w:tc>
        <w:tc>
          <w:tcPr>
            <w:tcW w:w="2410"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Cancel tickets.</w:t>
            </w: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4.1</w:t>
            </w:r>
          </w:p>
        </w:tc>
        <w:tc>
          <w:tcPr>
            <w:tcW w:w="577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 xml:space="preserve">Cancel tickets through the card reader or scanner, by serial number, or when not available, through arranging a claim for cancellation through </w:t>
            </w:r>
            <w:r w:rsidRPr="000556C3">
              <w:rPr>
                <w:rStyle w:val="BoldandItalics"/>
              </w:rPr>
              <w:t>appropriate measures</w:t>
            </w:r>
            <w:r w:rsidRPr="000556C3">
              <w:t xml:space="preserve"> according to enterprise procedures.</w:t>
            </w: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4.2</w:t>
            </w:r>
          </w:p>
        </w:tc>
        <w:tc>
          <w:tcPr>
            <w:tcW w:w="577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Re-issue tickets where required according to enterprise procedures.</w:t>
            </w: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5</w:t>
            </w:r>
          </w:p>
        </w:tc>
        <w:tc>
          <w:tcPr>
            <w:tcW w:w="2410"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Operate General Functions.</w:t>
            </w: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5.1</w:t>
            </w:r>
          </w:p>
        </w:tc>
        <w:tc>
          <w:tcPr>
            <w:tcW w:w="577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 xml:space="preserve">Consider </w:t>
            </w:r>
            <w:r w:rsidRPr="000556C3">
              <w:rPr>
                <w:rStyle w:val="BoldandItalics"/>
              </w:rPr>
              <w:t>General Functions</w:t>
            </w:r>
            <w:r w:rsidRPr="000556C3">
              <w:t xml:space="preserve"> and use when necessary according to </w:t>
            </w:r>
            <w:r w:rsidRPr="000556C3">
              <w:rPr>
                <w:rStyle w:val="Emphasis"/>
              </w:rPr>
              <w:t>authorised</w:t>
            </w:r>
            <w:r w:rsidRPr="000556C3">
              <w:t xml:space="preserve"> </w:t>
            </w:r>
            <w:r w:rsidRPr="000556C3">
              <w:rPr>
                <w:rStyle w:val="BoldandItalics"/>
              </w:rPr>
              <w:t>limitations</w:t>
            </w:r>
            <w:r w:rsidRPr="000556C3">
              <w:t xml:space="preserve"> to assist the operator in cash high or cash low, disputes, signing on or signing off, balancing, </w:t>
            </w:r>
            <w:r w:rsidRPr="000556C3">
              <w:rPr>
                <w:rStyle w:val="BoldandItalics"/>
              </w:rPr>
              <w:t>maintenance</w:t>
            </w:r>
            <w:r w:rsidRPr="000556C3">
              <w:t xml:space="preserve"> and game information.</w:t>
            </w: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5.2</w:t>
            </w:r>
          </w:p>
        </w:tc>
        <w:tc>
          <w:tcPr>
            <w:tcW w:w="577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Seek authorisation from the appropriate person where required.</w:t>
            </w: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6</w:t>
            </w:r>
          </w:p>
        </w:tc>
        <w:tc>
          <w:tcPr>
            <w:tcW w:w="2410" w:type="dxa"/>
            <w:vMerge w:val="restart"/>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Clean and maintain terminals.</w:t>
            </w: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6.1</w:t>
            </w:r>
          </w:p>
        </w:tc>
        <w:tc>
          <w:tcPr>
            <w:tcW w:w="577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Clean card readers regularly.</w:t>
            </w: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556C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6.2</w:t>
            </w:r>
          </w:p>
        </w:tc>
        <w:tc>
          <w:tcPr>
            <w:tcW w:w="577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Change new paper rolls and ribbons as appropriate.</w:t>
            </w: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6.3</w:t>
            </w:r>
          </w:p>
        </w:tc>
        <w:tc>
          <w:tcPr>
            <w:tcW w:w="577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 xml:space="preserve">Identify maintenance </w:t>
            </w:r>
            <w:r w:rsidRPr="000556C3">
              <w:rPr>
                <w:rStyle w:val="Emphasis"/>
              </w:rPr>
              <w:t>problems</w:t>
            </w:r>
            <w:r w:rsidRPr="000556C3">
              <w:t xml:space="preserve"> promptly and take appropriate measures.</w:t>
            </w: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7</w:t>
            </w:r>
          </w:p>
        </w:tc>
        <w:tc>
          <w:tcPr>
            <w:tcW w:w="2410" w:type="dxa"/>
            <w:vMerge w:val="restart"/>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Monitor security of Keno operations.</w:t>
            </w: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7.1</w:t>
            </w:r>
          </w:p>
        </w:tc>
        <w:tc>
          <w:tcPr>
            <w:tcW w:w="577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Follow Keno rules according to enterprise and legislative requirements.</w:t>
            </w: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556C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7.2</w:t>
            </w:r>
          </w:p>
        </w:tc>
        <w:tc>
          <w:tcPr>
            <w:tcW w:w="577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Use the terminal disable function when appropriate.</w:t>
            </w: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7.3</w:t>
            </w:r>
          </w:p>
        </w:tc>
        <w:tc>
          <w:tcPr>
            <w:tcW w:w="577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Handle and balance cash and float according to enterprise procedures.</w:t>
            </w: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7.4</w:t>
            </w:r>
          </w:p>
        </w:tc>
        <w:tc>
          <w:tcPr>
            <w:tcW w:w="577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Where appropriate, call the Keno Hotline for assistance.</w:t>
            </w:r>
          </w:p>
        </w:tc>
      </w:tr>
      <w:tr w:rsidTr="00FC0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556C3">
            <w:pPr>
              <w:pStyle w:val="List"/>
              <w:rPr>
                <w:lang w:val="en-NZ"/>
              </w:rPr>
            </w:pPr>
            <w:r w:rsidRPr="000556C3">
              <w:t>7.5</w:t>
            </w:r>
          </w:p>
        </w:tc>
        <w:tc>
          <w:tcPr>
            <w:tcW w:w="5777" w:type="dxa"/>
            <w:tcBorders>
              <w:top w:val="nil"/>
              <w:left w:val="nil"/>
              <w:bottom w:val="nil"/>
              <w:right w:val="nil"/>
            </w:tcBorders>
            <w:tcMar>
              <w:top w:w="0" w:type="dxa"/>
              <w:left w:w="62" w:type="dxa"/>
              <w:bottom w:w="0" w:type="dxa"/>
              <w:right w:w="62" w:type="dxa"/>
            </w:tcMar>
          </w:tcPr>
          <w:p w:rsidR="00000000" w:rsidRPr="000556C3" w:rsidP="000556C3">
            <w:pPr>
              <w:pStyle w:val="List"/>
            </w:pPr>
            <w:r w:rsidRPr="000556C3">
              <w:t>Observe players and onlookers and note and report unusual practices accurately and promptly.</w:t>
            </w:r>
          </w:p>
        </w:tc>
      </w:tr>
    </w:tbl>
    <w:p w:rsidR="00000000" w:rsidRPr="000556C3" w:rsidP="000556C3">
      <w:pPr>
        <w:pStyle w:val="BodyText"/>
      </w:pPr>
    </w:p>
    <w:p w:rsidR="00000000" w:rsidRPr="000556C3" w:rsidP="000556C3">
      <w:pPr>
        <w:pStyle w:val="AllowPageBreak"/>
      </w:pPr>
    </w:p>
    <w:p w:rsidR="00000000" w:rsidRPr="000556C3" w:rsidP="000556C3">
      <w:pPr>
        <w:pStyle w:val="Heading1"/>
      </w:pPr>
      <w:bookmarkStart w:id="9" w:name="O_147023"/>
      <w:bookmarkEnd w:id="9"/>
      <w:r w:rsidRPr="000556C3">
        <w:t>Required Skills and Knowledge</w:t>
      </w:r>
    </w:p>
    <w:tbl>
      <w:tblPr>
        <w:tblW w:w="0" w:type="auto"/>
        <w:tblLayout w:type="fixed"/>
        <w:tblCellMar>
          <w:left w:w="62" w:type="dxa"/>
          <w:right w:w="62" w:type="dxa"/>
        </w:tblCellMar>
        <w:tblLook w:val="0000"/>
      </w:tblPr>
      <w:tblGrid>
        <w:gridCol w:w="9180"/>
      </w:tblGrid>
      <w:tr w:rsidTr="00FC029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rPr>
                <w:rStyle w:val="SpecialBold"/>
              </w:rPr>
              <w:t>REQUIRED SKILLS AND KNOWLEDGE</w:t>
            </w:r>
          </w:p>
        </w:tc>
      </w:tr>
      <w:tr w:rsidTr="00FC029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t>This section describes the essential skills and knowledge and their level, required for this unit.</w:t>
            </w:r>
          </w:p>
        </w:tc>
      </w:tr>
      <w:tr w:rsidTr="00FC029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r>
      <w:tr w:rsidTr="00FC029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556C3" w:rsidP="000556C3">
            <w:pPr>
              <w:pStyle w:val="BodyText"/>
            </w:pPr>
            <w:r w:rsidRPr="000556C3">
              <w:t>The following skills must be assessed as part of this unit:</w:t>
            </w:r>
          </w:p>
          <w:p w:rsidR="00000000" w:rsidRPr="000556C3" w:rsidP="000556C3">
            <w:pPr>
              <w:pStyle w:val="ListBullet"/>
            </w:pPr>
            <w:r w:rsidRPr="000556C3">
              <w:t>Keno operations and functions</w:t>
            </w:r>
          </w:p>
          <w:p w:rsidR="00000000" w:rsidRPr="000556C3" w:rsidP="000556C3">
            <w:pPr>
              <w:pStyle w:val="ListBullet"/>
            </w:pPr>
            <w:r w:rsidRPr="000556C3">
              <w:t>problem-solving skills to deal with disputes about prize schedules, payments and display of winning numbers</w:t>
            </w:r>
          </w:p>
          <w:p w:rsidR="00000000" w:rsidRPr="000556C3" w:rsidP="000556C3">
            <w:pPr>
              <w:pStyle w:val="ListBullet"/>
            </w:pPr>
            <w:r w:rsidRPr="000556C3">
              <w:t>literacy skills to read procedures and licensing requirements for Keno</w:t>
            </w:r>
          </w:p>
          <w:p w:rsidR="00000000" w:rsidP="000556C3">
            <w:pPr>
              <w:pStyle w:val="ListBullet"/>
              <w:rPr>
                <w:lang w:val="en-NZ"/>
              </w:rPr>
            </w:pPr>
            <w:r w:rsidRPr="000556C3">
              <w:t>numeracy skills to balance float and cash.</w:t>
            </w:r>
          </w:p>
        </w:tc>
      </w:tr>
      <w:tr w:rsidTr="00FC029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r>
      <w:tr w:rsidTr="00FC029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556C3" w:rsidP="000556C3">
            <w:pPr>
              <w:pStyle w:val="BodyText"/>
            </w:pPr>
            <w:r w:rsidRPr="000556C3">
              <w:t>The following knowledge must be</w:t>
            </w:r>
            <w:r w:rsidRPr="000556C3">
              <w:t xml:space="preserve"> assessed as part of this unit:</w:t>
            </w:r>
          </w:p>
          <w:p w:rsidR="00000000" w:rsidRPr="000556C3" w:rsidP="000556C3">
            <w:pPr>
              <w:pStyle w:val="ListBullet"/>
            </w:pPr>
            <w:r w:rsidRPr="000556C3">
              <w:t>general understanding of the gaming sector of the hospitality industry</w:t>
            </w:r>
          </w:p>
          <w:p w:rsidR="00000000" w:rsidRPr="000556C3" w:rsidP="000556C3">
            <w:pPr>
              <w:pStyle w:val="ListBullet"/>
            </w:pPr>
            <w:r w:rsidRPr="000556C3">
              <w:t>overview requirements of legislation applying to Keno games, including:</w:t>
            </w:r>
          </w:p>
          <w:p w:rsidR="00000000" w:rsidRPr="000556C3" w:rsidP="000556C3">
            <w:pPr>
              <w:pStyle w:val="BodyText"/>
            </w:pPr>
            <w:r w:rsidRPr="000556C3">
              <w:t>general licence requirements</w:t>
            </w:r>
          </w:p>
          <w:p w:rsidR="00000000" w:rsidRPr="000556C3" w:rsidP="000556C3">
            <w:pPr>
              <w:pStyle w:val="ListBullet2"/>
            </w:pPr>
            <w:r w:rsidRPr="000556C3">
              <w:t>licensing of repairers, service consultants and ma</w:t>
            </w:r>
            <w:r w:rsidRPr="000556C3">
              <w:t>chine managers</w:t>
            </w:r>
          </w:p>
          <w:p w:rsidR="00000000" w:rsidRPr="000556C3" w:rsidP="000556C3">
            <w:pPr>
              <w:pStyle w:val="ListBullet2"/>
            </w:pPr>
            <w:r w:rsidRPr="000556C3">
              <w:t>general accounting requirements</w:t>
            </w:r>
          </w:p>
          <w:p w:rsidR="00000000" w:rsidRPr="000556C3" w:rsidP="000556C3">
            <w:pPr>
              <w:pStyle w:val="ListBullet2"/>
            </w:pPr>
            <w:r w:rsidRPr="000556C3">
              <w:t>penalties for non-compliance</w:t>
            </w:r>
          </w:p>
          <w:p w:rsidR="00000000" w:rsidRPr="000556C3" w:rsidP="000556C3">
            <w:pPr>
              <w:pStyle w:val="ListBullet"/>
            </w:pPr>
            <w:r w:rsidRPr="000556C3">
              <w:t>requirements for responsible provision of gambling services, including procedures for self-exclusion of problem gamblers</w:t>
            </w:r>
          </w:p>
          <w:p w:rsidR="00000000" w:rsidRPr="000556C3" w:rsidP="000556C3">
            <w:pPr>
              <w:pStyle w:val="ListBullet"/>
            </w:pPr>
            <w:r w:rsidRPr="000556C3">
              <w:t>player rules of Keno and lotteries.</w:t>
            </w:r>
          </w:p>
        </w:tc>
      </w:tr>
    </w:tbl>
    <w:p w:rsidR="00FC0292" w:rsidP="000556C3">
      <w:pPr>
        <w:pStyle w:val="BodyText"/>
      </w:pPr>
    </w:p>
    <w:p w:rsidR="00FC0292" w:rsidP="000556C3">
      <w:pPr>
        <w:pStyle w:val="BodyText"/>
      </w:pPr>
    </w:p>
    <w:p w:rsidR="00000000" w:rsidRPr="000556C3" w:rsidP="000556C3">
      <w:pPr>
        <w:pStyle w:val="Heading1"/>
      </w:pPr>
      <w:bookmarkStart w:id="10" w:name="O_147024"/>
      <w:bookmarkEnd w:id="10"/>
      <w:r w:rsidRPr="000556C3">
        <w:t>Evidence Guide</w:t>
      </w:r>
    </w:p>
    <w:tbl>
      <w:tblPr>
        <w:tblW w:w="0" w:type="auto"/>
        <w:tblLayout w:type="fixed"/>
        <w:tblCellMar>
          <w:left w:w="62" w:type="dxa"/>
          <w:right w:w="62" w:type="dxa"/>
        </w:tblCellMar>
        <w:tblLook w:val="0000"/>
      </w:tblPr>
      <w:tblGrid>
        <w:gridCol w:w="3345"/>
        <w:gridCol w:w="5835"/>
      </w:tblGrid>
      <w:tr w:rsidTr="00FC029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rPr>
                <w:rStyle w:val="SpecialBold"/>
              </w:rPr>
              <w:t>EVIDENCE GUIDE</w:t>
            </w:r>
          </w:p>
        </w:tc>
      </w:tr>
      <w:tr w:rsidTr="00FC029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t>The evidence guide provides advice on assessment and must be read in conjunction with the performance criteria, required skills and knowledge, the range statement and the Assessment Guidelines for this Training Package.</w:t>
            </w:r>
          </w:p>
        </w:tc>
      </w:tr>
      <w:tr w:rsidTr="00FC0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0556C3" w:rsidP="000556C3">
            <w:pPr>
              <w:pStyle w:val="BodyText"/>
            </w:pPr>
            <w:r w:rsidRPr="000556C3">
              <w:t>Evidence of the following is essential:</w:t>
            </w:r>
          </w:p>
          <w:p w:rsidR="00000000" w:rsidRPr="000556C3" w:rsidP="000556C3">
            <w:pPr>
              <w:pStyle w:val="ListBullet"/>
            </w:pPr>
            <w:r w:rsidRPr="000556C3">
              <w:t>ability to operate Keno equipment within enterprise acceptable timeframe and according to procedures</w:t>
            </w:r>
          </w:p>
          <w:p w:rsidR="00000000" w:rsidRPr="000556C3" w:rsidP="000556C3">
            <w:pPr>
              <w:pStyle w:val="ListBullet"/>
            </w:pPr>
            <w:r w:rsidRPr="000556C3">
              <w:t>compliance with responsible gambling legislation or requirements</w:t>
            </w:r>
          </w:p>
          <w:p w:rsidR="00000000" w:rsidRPr="000556C3" w:rsidP="000556C3">
            <w:pPr>
              <w:pStyle w:val="ListBullet"/>
            </w:pPr>
            <w:r w:rsidRPr="000556C3">
              <w:t>awareness of security issues and compliance with security procedures</w:t>
            </w:r>
          </w:p>
          <w:p w:rsidR="00000000" w:rsidP="000556C3">
            <w:pPr>
              <w:pStyle w:val="ListBullet"/>
              <w:rPr>
                <w:lang w:val="en-NZ"/>
              </w:rPr>
            </w:pPr>
            <w:r w:rsidRPr="000556C3">
              <w:t>processing a variety of bet types, payouts and cancellations within realistic timeframes.</w:t>
            </w:r>
          </w:p>
        </w:tc>
      </w:tr>
      <w:tr w:rsidTr="00FC0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r>
      <w:tr w:rsidTr="00FC0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rPr>
                <w:rStyle w:val="SpecialBold"/>
              </w:rPr>
              <w:t>Context of and specific reso</w:t>
            </w:r>
            <w:r w:rsidRPr="000556C3">
              <w:rPr>
                <w:rStyle w:val="SpecialBold"/>
              </w:rPr>
              <w:t>urces for assessment</w:t>
            </w:r>
            <w:r w:rsidRPr="000556C3">
              <w:t xml:space="preserve"> </w:t>
            </w:r>
          </w:p>
        </w:tc>
        <w:tc>
          <w:tcPr>
            <w:tcW w:w="5835" w:type="dxa"/>
            <w:tcBorders>
              <w:top w:val="nil"/>
              <w:left w:val="nil"/>
              <w:bottom w:val="nil"/>
              <w:right w:val="nil"/>
            </w:tcBorders>
            <w:tcMar>
              <w:top w:w="0" w:type="dxa"/>
              <w:left w:w="62" w:type="dxa"/>
              <w:bottom w:w="0" w:type="dxa"/>
              <w:right w:w="62" w:type="dxa"/>
            </w:tcMar>
          </w:tcPr>
          <w:p w:rsidR="00000000" w:rsidRPr="000556C3" w:rsidP="000556C3">
            <w:pPr>
              <w:pStyle w:val="BodyText"/>
            </w:pPr>
            <w:r w:rsidRPr="000556C3">
              <w:t>Assessment must ensure:</w:t>
            </w:r>
          </w:p>
          <w:p w:rsidR="00000000" w:rsidRPr="000556C3" w:rsidP="000556C3">
            <w:pPr>
              <w:pStyle w:val="ListBullet"/>
            </w:pPr>
            <w:r w:rsidRPr="000556C3">
              <w:t>demonstration of skills using a Keno terminal, facilities and equipment, including online Keno terminal and display medium and Keno betting stationery</w:t>
            </w:r>
          </w:p>
          <w:p w:rsidR="00000000" w:rsidRPr="000556C3" w:rsidP="000556C3">
            <w:pPr>
              <w:pStyle w:val="ListBullet"/>
            </w:pPr>
            <w:r w:rsidRPr="000556C3">
              <w:t xml:space="preserve">interaction with others to allow opportunities to respond </w:t>
            </w:r>
            <w:r w:rsidRPr="000556C3">
              <w:t>to different customer service requirements and issues</w:t>
            </w:r>
          </w:p>
          <w:p w:rsidR="00000000" w:rsidP="000556C3">
            <w:pPr>
              <w:pStyle w:val="ListBullet"/>
              <w:rPr>
                <w:lang w:val="en-NZ"/>
              </w:rPr>
            </w:pPr>
            <w:r w:rsidRPr="000556C3">
              <w:t>integration and management of multiple transactions and activities including typical customer and equipment problems.</w:t>
            </w:r>
          </w:p>
        </w:tc>
      </w:tr>
      <w:tr w:rsidTr="00FC0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r>
      <w:tr w:rsidTr="00FC0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rPr>
                <w:rStyle w:val="SpecialBold"/>
              </w:rPr>
              <w:t>Methods of assessment</w:t>
            </w:r>
            <w:r w:rsidRPr="000556C3">
              <w:t xml:space="preserve"> </w:t>
            </w:r>
          </w:p>
        </w:tc>
        <w:tc>
          <w:tcPr>
            <w:tcW w:w="5835" w:type="dxa"/>
            <w:tcBorders>
              <w:top w:val="nil"/>
              <w:left w:val="nil"/>
              <w:bottom w:val="nil"/>
              <w:right w:val="nil"/>
            </w:tcBorders>
            <w:tcMar>
              <w:top w:w="0" w:type="dxa"/>
              <w:left w:w="62" w:type="dxa"/>
              <w:bottom w:w="0" w:type="dxa"/>
              <w:right w:w="62" w:type="dxa"/>
            </w:tcMar>
          </w:tcPr>
          <w:p w:rsidR="00000000" w:rsidRPr="000556C3" w:rsidP="000556C3">
            <w:pPr>
              <w:pStyle w:val="BodyText"/>
            </w:pPr>
            <w:r w:rsidRPr="000556C3">
              <w:t xml:space="preserve">A range of assessment methods should be used to assess practical skills and knowledge. The following examples are appropriate for this unit: </w:t>
            </w:r>
          </w:p>
          <w:p w:rsidR="00000000" w:rsidRPr="000556C3" w:rsidP="000556C3">
            <w:pPr>
              <w:pStyle w:val="ListBullet"/>
            </w:pPr>
            <w:r w:rsidRPr="000556C3">
              <w:t>direct observation of candidate processing a variety of bets</w:t>
            </w:r>
          </w:p>
          <w:p w:rsidR="00000000" w:rsidRPr="000556C3" w:rsidP="000556C3">
            <w:pPr>
              <w:pStyle w:val="ListBullet"/>
            </w:pPr>
            <w:r w:rsidRPr="000556C3">
              <w:t>oral or written questions to assess knowledge of the</w:t>
            </w:r>
            <w:r w:rsidRPr="000556C3">
              <w:t xml:space="preserve"> Keno product, gaming legislation and enterprise procedures</w:t>
            </w:r>
          </w:p>
          <w:p w:rsidR="00000000" w:rsidRPr="000556C3" w:rsidP="000556C3">
            <w:pPr>
              <w:pStyle w:val="ListBullet"/>
            </w:pPr>
            <w:r w:rsidRPr="000556C3">
              <w:t>review of portfolios of evidence and third-party workplace reports of on-the-job performance by the candidate.</w:t>
            </w:r>
          </w:p>
          <w:p w:rsidR="00000000" w:rsidRPr="000556C3" w:rsidP="000556C3">
            <w:pPr>
              <w:pStyle w:val="BodyText"/>
            </w:pPr>
            <w:r w:rsidRPr="000556C3">
              <w:t>Holistic assessment with other units relevant to the industry sector, workplace and j</w:t>
            </w:r>
            <w:r w:rsidRPr="000556C3">
              <w:t>ob role is recommended, for example:</w:t>
            </w:r>
          </w:p>
          <w:p w:rsidR="00000000" w:rsidRPr="000556C3" w:rsidP="000556C3">
            <w:pPr>
              <w:pStyle w:val="ListBullet"/>
            </w:pPr>
            <w:r w:rsidRPr="000556C3">
              <w:t>SITHGAM001A Attend gaming machines</w:t>
            </w:r>
          </w:p>
          <w:p w:rsidR="00000000" w:rsidP="000556C3">
            <w:pPr>
              <w:pStyle w:val="ListBullet"/>
              <w:rPr>
                <w:lang w:val="en-NZ"/>
              </w:rPr>
            </w:pPr>
            <w:r w:rsidRPr="000556C3">
              <w:t>SITHGAM006A Provide responsible gambling services.</w:t>
            </w:r>
          </w:p>
        </w:tc>
      </w:tr>
      <w:tr w:rsidTr="00FC0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r>
      <w:tr w:rsidTr="00FC0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0556C3" w:rsidP="000556C3">
            <w:pPr>
              <w:pStyle w:val="BodyText"/>
            </w:pPr>
            <w:r w:rsidRPr="000556C3">
              <w:t>Employability skills are integral to effective performance in the workplace and are broadly consi</w:t>
            </w:r>
            <w:r w:rsidRPr="000556C3">
              <w:t>stent across industry sectors. How these skills are applied varies between occupations and qualifications due to the different work functions and contexts.</w:t>
            </w:r>
          </w:p>
          <w:p w:rsidR="00000000" w:rsidRPr="000556C3" w:rsidP="000556C3">
            <w:pPr>
              <w:pStyle w:val="BodyText"/>
            </w:pPr>
            <w:r w:rsidRPr="000556C3">
              <w:t>Employability skills embedded in this unit should be assessed holistically with other relevant units that make up the skill set or qualification and in the context of the job role.</w:t>
            </w:r>
          </w:p>
        </w:tc>
      </w:tr>
    </w:tbl>
    <w:p w:rsidR="00FC0292" w:rsidP="000556C3">
      <w:pPr>
        <w:pStyle w:val="BodyText"/>
      </w:pPr>
    </w:p>
    <w:p w:rsidR="00FC0292" w:rsidP="000556C3">
      <w:pPr>
        <w:pStyle w:val="BodyText"/>
      </w:pPr>
    </w:p>
    <w:p w:rsidR="00000000" w:rsidRPr="000556C3" w:rsidP="000556C3">
      <w:pPr>
        <w:pStyle w:val="Heading1"/>
      </w:pPr>
      <w:bookmarkStart w:id="11" w:name="O_147025"/>
      <w:bookmarkEnd w:id="11"/>
      <w:r w:rsidRPr="000556C3">
        <w:t>Range Statement</w:t>
      </w:r>
    </w:p>
    <w:tbl>
      <w:tblPr>
        <w:tblW w:w="0" w:type="auto"/>
        <w:tblLayout w:type="fixed"/>
        <w:tblCellMar>
          <w:left w:w="62" w:type="dxa"/>
          <w:right w:w="62" w:type="dxa"/>
        </w:tblCellMar>
        <w:tblLook w:val="0000"/>
      </w:tblPr>
      <w:tblGrid>
        <w:gridCol w:w="3345"/>
        <w:gridCol w:w="5835"/>
      </w:tblGrid>
      <w:tr w:rsidTr="00FC029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rPr>
                <w:rStyle w:val="SpecialBold"/>
              </w:rPr>
              <w:t>RANGE STATEMENT</w:t>
            </w:r>
          </w:p>
        </w:tc>
      </w:tr>
      <w:tr w:rsidTr="00FC029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t>The range statemen</w:t>
            </w:r>
            <w:r w:rsidRPr="000556C3">
              <w:t>t relates to the unit of competency as a whole. It allows for different work environments and situations that may affect performance. Bold italicised wording in the performance criteria is detailed below.</w:t>
            </w:r>
          </w:p>
        </w:tc>
      </w:tr>
      <w:tr w:rsidTr="00FC029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556C3">
            <w:pPr>
              <w:pStyle w:val="BodyText"/>
              <w:rPr>
                <w:lang w:val="en-NZ"/>
              </w:rPr>
            </w:pPr>
          </w:p>
        </w:tc>
      </w:tr>
      <w:tr w:rsidTr="00FC0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rPr>
                <w:rStyle w:val="BoldandItalics"/>
              </w:rPr>
              <w:t>Information</w:t>
            </w:r>
            <w:r w:rsidRPr="000556C3">
              <w:t xml:space="preserve"> to be provided to customers must include:</w:t>
            </w:r>
          </w:p>
        </w:tc>
        <w:tc>
          <w:tcPr>
            <w:tcW w:w="5835" w:type="dxa"/>
            <w:tcBorders>
              <w:top w:val="nil"/>
              <w:left w:val="nil"/>
              <w:bottom w:val="nil"/>
              <w:right w:val="nil"/>
            </w:tcBorders>
            <w:tcMar>
              <w:top w:w="0" w:type="dxa"/>
              <w:left w:w="62" w:type="dxa"/>
              <w:bottom w:w="0" w:type="dxa"/>
              <w:right w:w="62" w:type="dxa"/>
            </w:tcMar>
          </w:tcPr>
          <w:p w:rsidR="00000000" w:rsidRPr="000556C3" w:rsidP="000556C3">
            <w:pPr>
              <w:pStyle w:val="ListBullet"/>
            </w:pPr>
            <w:r w:rsidRPr="000556C3">
              <w:t>completion of entry forms</w:t>
            </w:r>
          </w:p>
          <w:p w:rsidR="00000000" w:rsidRPr="000556C3" w:rsidP="000556C3">
            <w:pPr>
              <w:pStyle w:val="ListBullet"/>
            </w:pPr>
            <w:r w:rsidRPr="000556C3">
              <w:t>verbal entries</w:t>
            </w:r>
          </w:p>
          <w:p w:rsidR="00000000" w:rsidRPr="000556C3" w:rsidP="000556C3">
            <w:pPr>
              <w:pStyle w:val="ListBullet"/>
            </w:pPr>
            <w:r w:rsidRPr="000556C3">
              <w:t>lodgement of forms</w:t>
            </w:r>
          </w:p>
          <w:p w:rsidR="00000000" w:rsidRPr="000556C3" w:rsidP="000556C3">
            <w:pPr>
              <w:pStyle w:val="ListBullet"/>
            </w:pPr>
            <w:r w:rsidRPr="000556C3">
              <w:t>bet types</w:t>
            </w:r>
          </w:p>
          <w:p w:rsidR="00000000" w:rsidRPr="000556C3" w:rsidP="000556C3">
            <w:pPr>
              <w:pStyle w:val="ListBullet"/>
            </w:pPr>
            <w:r w:rsidRPr="000556C3">
              <w:t>prize schedules</w:t>
            </w:r>
          </w:p>
          <w:p w:rsidR="00000000" w:rsidRPr="000556C3" w:rsidP="000556C3">
            <w:pPr>
              <w:pStyle w:val="ListBullet"/>
            </w:pPr>
            <w:r w:rsidRPr="000556C3">
              <w:t>player rules, conditions and limits</w:t>
            </w:r>
          </w:p>
          <w:p w:rsidR="00000000" w:rsidRPr="000556C3" w:rsidP="000556C3">
            <w:pPr>
              <w:pStyle w:val="ListBullet"/>
            </w:pPr>
            <w:r w:rsidRPr="000556C3">
              <w:t>display of winning numbers</w:t>
            </w:r>
          </w:p>
          <w:p w:rsidR="00000000" w:rsidRPr="000556C3" w:rsidP="000556C3">
            <w:pPr>
              <w:pStyle w:val="ListBullet"/>
            </w:pPr>
            <w:r w:rsidRPr="000556C3">
              <w:t>collection of payments</w:t>
            </w:r>
          </w:p>
          <w:p w:rsidR="00000000" w:rsidP="000556C3">
            <w:pPr>
              <w:pStyle w:val="ListBullet"/>
              <w:rPr>
                <w:lang w:val="en-NZ"/>
              </w:rPr>
            </w:pPr>
            <w:r w:rsidRPr="000556C3">
              <w:t>explanation of receipt tickets.</w:t>
            </w:r>
          </w:p>
        </w:tc>
      </w:tr>
      <w:tr w:rsidTr="00FC0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r>
      <w:tr w:rsidTr="00FC0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rPr>
                <w:rStyle w:val="BoldandItalics"/>
              </w:rPr>
              <w:t>Keno</w:t>
            </w:r>
            <w:r w:rsidRPr="000556C3">
              <w:t xml:space="preserve"> </w:t>
            </w:r>
            <w:r w:rsidRPr="000556C3">
              <w:rPr>
                <w:rStyle w:val="BoldandItalics"/>
              </w:rPr>
              <w:t>games</w:t>
            </w:r>
            <w:r w:rsidRPr="000556C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556C3" w:rsidP="000556C3">
            <w:pPr>
              <w:pStyle w:val="ListBullet"/>
            </w:pPr>
            <w:r w:rsidRPr="000556C3">
              <w:t>standard game</w:t>
            </w:r>
          </w:p>
          <w:p w:rsidR="00000000" w:rsidRPr="000556C3" w:rsidP="000556C3">
            <w:pPr>
              <w:pStyle w:val="ListBullet"/>
            </w:pPr>
            <w:r w:rsidRPr="000556C3">
              <w:t>Set Bets and Superplay</w:t>
            </w:r>
          </w:p>
          <w:p w:rsidR="00000000" w:rsidRPr="000556C3" w:rsidP="000556C3">
            <w:pPr>
              <w:pStyle w:val="ListBullet"/>
            </w:pPr>
            <w:r w:rsidRPr="000556C3">
              <w:t>Way Bets</w:t>
            </w:r>
          </w:p>
          <w:p w:rsidR="00000000" w:rsidRPr="000556C3" w:rsidP="000556C3">
            <w:pPr>
              <w:pStyle w:val="ListBullet"/>
            </w:pPr>
            <w:r w:rsidRPr="000556C3">
              <w:t>system bets</w:t>
            </w:r>
          </w:p>
          <w:p w:rsidR="00000000" w:rsidRPr="000556C3" w:rsidP="000556C3">
            <w:pPr>
              <w:pStyle w:val="ListBullet"/>
            </w:pPr>
            <w:r w:rsidRPr="000556C3">
              <w:t>Quick Pick</w:t>
            </w:r>
          </w:p>
          <w:p w:rsidR="00000000" w:rsidRPr="000556C3" w:rsidP="000556C3">
            <w:pPr>
              <w:pStyle w:val="ListBullet"/>
            </w:pPr>
            <w:r w:rsidRPr="000556C3">
              <w:t>Mystery Pick</w:t>
            </w:r>
          </w:p>
          <w:p w:rsidR="00000000" w:rsidP="000556C3">
            <w:pPr>
              <w:pStyle w:val="ListBullet"/>
              <w:rPr>
                <w:lang w:val="en-NZ"/>
              </w:rPr>
            </w:pPr>
            <w:r w:rsidRPr="000556C3">
              <w:t>Heads or Tails.</w:t>
            </w:r>
          </w:p>
        </w:tc>
      </w:tr>
      <w:tr w:rsidTr="00FC0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rPr>
                <w:rStyle w:val="BoldandItalics"/>
              </w:rPr>
              <w:t>Keno promotions</w:t>
            </w:r>
            <w:r w:rsidRPr="000556C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556C3" w:rsidP="000556C3">
            <w:pPr>
              <w:pStyle w:val="ListBullet"/>
            </w:pPr>
            <w:r w:rsidRPr="000556C3">
              <w:t>re-play numbers</w:t>
            </w:r>
          </w:p>
          <w:p w:rsidR="00000000" w:rsidRPr="000556C3" w:rsidP="000556C3">
            <w:pPr>
              <w:pStyle w:val="ListBullet"/>
            </w:pPr>
            <w:r w:rsidRPr="000556C3">
              <w:t>benefit selling</w:t>
            </w:r>
          </w:p>
          <w:p w:rsidR="00000000" w:rsidP="000556C3">
            <w:pPr>
              <w:pStyle w:val="ListBullet"/>
              <w:rPr>
                <w:lang w:val="en-NZ"/>
              </w:rPr>
            </w:pPr>
            <w:r w:rsidRPr="000556C3">
              <w:t>awareness of and compliance with responsible gaming practices.</w:t>
            </w:r>
          </w:p>
        </w:tc>
      </w:tr>
      <w:tr w:rsidTr="00FC0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r>
      <w:tr w:rsidTr="00FC0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rPr>
                <w:rStyle w:val="BoldandItalics"/>
              </w:rPr>
              <w:t>Appropriate measures</w:t>
            </w:r>
            <w:r w:rsidRPr="000556C3">
              <w:t xml:space="preserve"> to be taken in cases of cancellation of tickets and maintenance problems may include:</w:t>
            </w:r>
          </w:p>
        </w:tc>
        <w:tc>
          <w:tcPr>
            <w:tcW w:w="5835" w:type="dxa"/>
            <w:tcBorders>
              <w:top w:val="nil"/>
              <w:left w:val="nil"/>
              <w:bottom w:val="nil"/>
              <w:right w:val="nil"/>
            </w:tcBorders>
            <w:tcMar>
              <w:top w:w="0" w:type="dxa"/>
              <w:left w:w="62" w:type="dxa"/>
              <w:bottom w:w="0" w:type="dxa"/>
              <w:right w:w="62" w:type="dxa"/>
            </w:tcMar>
          </w:tcPr>
          <w:p w:rsidR="00000000" w:rsidRPr="000556C3" w:rsidP="000556C3">
            <w:pPr>
              <w:pStyle w:val="ListBullet"/>
            </w:pPr>
            <w:r w:rsidRPr="000556C3">
              <w:t>calling the Keno Hotline where applicable</w:t>
            </w:r>
          </w:p>
          <w:p w:rsidR="00000000" w:rsidP="000556C3">
            <w:pPr>
              <w:pStyle w:val="ListBullet"/>
              <w:rPr>
                <w:lang w:val="en-NZ"/>
              </w:rPr>
            </w:pPr>
            <w:r w:rsidRPr="000556C3">
              <w:t>normal enterprise procedures.</w:t>
            </w:r>
          </w:p>
        </w:tc>
      </w:tr>
      <w:tr w:rsidTr="00FC0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r>
      <w:tr w:rsidTr="00FC0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rPr>
                <w:rStyle w:val="BoldandItalics"/>
              </w:rPr>
              <w:t>General Functions</w:t>
            </w:r>
            <w:r w:rsidRPr="000556C3">
              <w:t xml:space="preserve"> include options to assist the operator in administrati</w:t>
            </w:r>
            <w:r w:rsidRPr="000556C3">
              <w:t>ve and functional procedures, and may include:</w:t>
            </w:r>
          </w:p>
        </w:tc>
        <w:tc>
          <w:tcPr>
            <w:tcW w:w="5835" w:type="dxa"/>
            <w:tcBorders>
              <w:top w:val="nil"/>
              <w:left w:val="nil"/>
              <w:bottom w:val="nil"/>
              <w:right w:val="nil"/>
            </w:tcBorders>
            <w:tcMar>
              <w:top w:w="0" w:type="dxa"/>
              <w:left w:w="62" w:type="dxa"/>
              <w:bottom w:w="0" w:type="dxa"/>
              <w:right w:w="62" w:type="dxa"/>
            </w:tcMar>
          </w:tcPr>
          <w:p w:rsidR="00000000" w:rsidRPr="000556C3" w:rsidP="000556C3">
            <w:pPr>
              <w:pStyle w:val="ListBullet"/>
            </w:pPr>
            <w:r w:rsidRPr="000556C3">
              <w:t>previous game results</w:t>
            </w:r>
          </w:p>
          <w:p w:rsidR="00000000" w:rsidRPr="000556C3" w:rsidP="000556C3">
            <w:pPr>
              <w:pStyle w:val="ListBullet"/>
            </w:pPr>
            <w:r w:rsidRPr="000556C3">
              <w:t>balancing procedures</w:t>
            </w:r>
          </w:p>
          <w:p w:rsidR="00000000" w:rsidRPr="000556C3" w:rsidP="000556C3">
            <w:pPr>
              <w:pStyle w:val="ListBullet"/>
            </w:pPr>
            <w:r w:rsidRPr="000556C3">
              <w:t>sign on or sign off</w:t>
            </w:r>
          </w:p>
          <w:p w:rsidR="00000000" w:rsidP="000556C3">
            <w:pPr>
              <w:pStyle w:val="ListBullet"/>
              <w:rPr>
                <w:lang w:val="en-NZ"/>
              </w:rPr>
            </w:pPr>
            <w:r w:rsidRPr="000556C3">
              <w:t>cash high or cash low.</w:t>
            </w:r>
          </w:p>
        </w:tc>
      </w:tr>
      <w:tr w:rsidTr="00FC0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r>
      <w:tr w:rsidTr="00FC0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rPr>
                <w:rStyle w:val="BoldandItalics"/>
              </w:rPr>
              <w:t>Limitations and responsibilities</w:t>
            </w:r>
            <w:r w:rsidRPr="000556C3">
              <w:t xml:space="preserve"> of operators may be:</w:t>
            </w:r>
          </w:p>
        </w:tc>
        <w:tc>
          <w:tcPr>
            <w:tcW w:w="5835" w:type="dxa"/>
            <w:tcBorders>
              <w:top w:val="nil"/>
              <w:left w:val="nil"/>
              <w:bottom w:val="nil"/>
              <w:right w:val="nil"/>
            </w:tcBorders>
            <w:tcMar>
              <w:top w:w="0" w:type="dxa"/>
              <w:left w:w="62" w:type="dxa"/>
              <w:bottom w:w="0" w:type="dxa"/>
              <w:right w:w="62" w:type="dxa"/>
            </w:tcMar>
          </w:tcPr>
          <w:p w:rsidR="00000000" w:rsidP="000556C3">
            <w:pPr>
              <w:pStyle w:val="ListBullet"/>
              <w:rPr>
                <w:lang w:val="en-NZ"/>
              </w:rPr>
            </w:pPr>
            <w:r w:rsidRPr="000556C3">
              <w:t>determined by individual enterprise policies.</w:t>
            </w:r>
          </w:p>
        </w:tc>
      </w:tr>
      <w:tr w:rsidTr="00FC0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p>
        </w:tc>
      </w:tr>
      <w:tr w:rsidTr="00FC0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rPr>
                <w:rStyle w:val="BoldandItalics"/>
              </w:rPr>
              <w:t>Maintenance</w:t>
            </w:r>
            <w:r w:rsidRPr="000556C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556C3" w:rsidP="000556C3">
            <w:pPr>
              <w:pStyle w:val="ListBullet"/>
            </w:pPr>
            <w:r w:rsidRPr="000556C3">
              <w:t>checking paper feed</w:t>
            </w:r>
          </w:p>
          <w:p w:rsidR="00000000" w:rsidRPr="000556C3" w:rsidP="000556C3">
            <w:pPr>
              <w:pStyle w:val="ListBullet"/>
            </w:pPr>
            <w:r w:rsidRPr="000556C3">
              <w:t>resetting card reader.</w:t>
            </w:r>
          </w:p>
        </w:tc>
      </w:tr>
    </w:tbl>
    <w:p w:rsidR="00FC0292" w:rsidP="000556C3">
      <w:pPr>
        <w:pStyle w:val="BodyText"/>
      </w:pPr>
    </w:p>
    <w:p w:rsidR="00FC0292" w:rsidP="000556C3">
      <w:pPr>
        <w:pStyle w:val="BodyText"/>
      </w:pPr>
    </w:p>
    <w:p w:rsidR="00000000" w:rsidRPr="000556C3" w:rsidP="000556C3">
      <w:pPr>
        <w:pStyle w:val="Heading1"/>
      </w:pPr>
      <w:bookmarkStart w:id="12" w:name="O_147026"/>
      <w:bookmarkEnd w:id="12"/>
      <w:r w:rsidRPr="000556C3">
        <w:t>Unit Sector(s)</w:t>
      </w:r>
    </w:p>
    <w:tbl>
      <w:tblPr>
        <w:tblW w:w="0" w:type="auto"/>
        <w:tblLayout w:type="fixed"/>
        <w:tblCellMar>
          <w:left w:w="62" w:type="dxa"/>
          <w:right w:w="62" w:type="dxa"/>
        </w:tblCellMar>
        <w:tblLook w:val="0000"/>
      </w:tblPr>
      <w:tblGrid>
        <w:gridCol w:w="2836"/>
        <w:gridCol w:w="6344"/>
      </w:tblGrid>
      <w:tr w:rsidTr="00FC029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556C3" w:rsidP="000556C3">
            <w:pPr>
              <w:pStyle w:val="BodyText"/>
            </w:pPr>
            <w:r w:rsidRPr="000556C3">
              <w:t>Hospitality</w:t>
            </w:r>
          </w:p>
        </w:tc>
      </w:tr>
    </w:tbl>
    <w:p w:rsidR="00000000" w:rsidRPr="000556C3" w:rsidP="000556C3">
      <w:pPr>
        <w:pStyle w:val="BodyText"/>
      </w:pPr>
    </w:p>
    <w:p w:rsidR="00000000" w:rsidRPr="000556C3" w:rsidP="000556C3">
      <w:pPr>
        <w:pStyle w:val="AllowPageBreak"/>
      </w:pPr>
    </w:p>
    <w:p w:rsidR="00000000" w:rsidRPr="000556C3" w:rsidP="000556C3">
      <w:pPr>
        <w:pStyle w:val="Heading1"/>
      </w:pPr>
      <w:bookmarkStart w:id="13" w:name="O_163336"/>
      <w:bookmarkEnd w:id="13"/>
      <w:r w:rsidRPr="000556C3">
        <w:t>Competency field</w:t>
      </w:r>
    </w:p>
    <w:tbl>
      <w:tblPr>
        <w:tblW w:w="0" w:type="auto"/>
        <w:tblLayout w:type="fixed"/>
        <w:tblCellMar>
          <w:left w:w="62" w:type="dxa"/>
          <w:right w:w="62" w:type="dxa"/>
        </w:tblCellMar>
        <w:tblLook w:val="0000"/>
      </w:tblPr>
      <w:tblGrid>
        <w:gridCol w:w="2836"/>
        <w:gridCol w:w="6344"/>
      </w:tblGrid>
      <w:tr w:rsidTr="00FC029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556C3">
            <w:pPr>
              <w:pStyle w:val="BodyText"/>
              <w:rPr>
                <w:lang w:val="en-NZ"/>
              </w:rPr>
            </w:pPr>
            <w:r w:rsidRPr="000556C3">
              <w:t>Gaming</w:t>
            </w:r>
          </w:p>
        </w:tc>
      </w:tr>
      <w:tr w:rsidTr="00FC029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556C3" w:rsidP="000556C3">
            <w:pPr>
              <w:pStyle w:val="BodyText"/>
            </w:pPr>
          </w:p>
        </w:tc>
      </w:tr>
    </w:tbl>
    <w:p w:rsidR="00000000" w:rsidRPr="000556C3" w:rsidP="000556C3">
      <w:pPr>
        <w:pStyle w:val="BodyText"/>
      </w:pPr>
    </w:p>
    <w:p w:rsidR="00000000" w:rsidRPr="000556C3" w:rsidP="000556C3"/>
    <w:sectPr w:rsidSect="000556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6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0292" w:rsidP="00FC02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6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292" w:rsidP="000556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C0292" w:rsidP="000556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C0292" w:rsidP="000556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6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0292" w:rsidP="00FC029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6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292" w:rsidP="000556C3">
    <w:pPr>
      <w:pStyle w:val="Header"/>
      <w:framePr w:wrap="around"/>
    </w:pPr>
    <w:r>
      <w:fldChar w:fldCharType="begin"/>
    </w:r>
    <w:r>
      <w:instrText xml:space="preserve"> TITLE   \* MERGEFORMAT </w:instrText>
    </w:r>
    <w:r>
      <w:fldChar w:fldCharType="separate"/>
    </w:r>
    <w:r>
      <w:t>SITHGAM003A Conduct a Keno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C0292" w:rsidP="000556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546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E2E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C6A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6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56C3"/>
    <w:pPr>
      <w:spacing w:before="360" w:after="60"/>
      <w:outlineLvl w:val="0"/>
    </w:pPr>
    <w:rPr>
      <w:sz w:val="32"/>
    </w:rPr>
  </w:style>
  <w:style w:type="paragraph" w:styleId="Heading2">
    <w:name w:val="heading 2"/>
    <w:basedOn w:val="HeadingBase"/>
    <w:next w:val="BodyText"/>
    <w:link w:val="Heading2Char"/>
    <w:qFormat/>
    <w:rsid w:val="000556C3"/>
    <w:pPr>
      <w:keepLines/>
      <w:spacing w:before="240" w:after="120"/>
      <w:outlineLvl w:val="1"/>
    </w:pPr>
    <w:rPr>
      <w:sz w:val="28"/>
      <w:szCs w:val="40"/>
    </w:rPr>
  </w:style>
  <w:style w:type="paragraph" w:styleId="Heading3">
    <w:name w:val="heading 3"/>
    <w:basedOn w:val="HeadingBase"/>
    <w:next w:val="BodyText"/>
    <w:link w:val="Heading3Char"/>
    <w:qFormat/>
    <w:rsid w:val="000556C3"/>
    <w:pPr>
      <w:spacing w:before="180" w:after="120"/>
      <w:outlineLvl w:val="2"/>
    </w:pPr>
    <w:rPr>
      <w:spacing w:val="-10"/>
      <w:kern w:val="32"/>
    </w:rPr>
  </w:style>
  <w:style w:type="paragraph" w:styleId="Heading4">
    <w:name w:val="heading 4"/>
    <w:basedOn w:val="HeadingBase"/>
    <w:next w:val="BodyText"/>
    <w:link w:val="Heading4Char"/>
    <w:qFormat/>
    <w:rsid w:val="000556C3"/>
    <w:pPr>
      <w:spacing w:before="160" w:after="120"/>
      <w:outlineLvl w:val="3"/>
    </w:pPr>
    <w:rPr>
      <w:sz w:val="22"/>
    </w:rPr>
  </w:style>
  <w:style w:type="paragraph" w:styleId="Heading5">
    <w:name w:val="heading 5"/>
    <w:basedOn w:val="HeadingBase"/>
    <w:next w:val="Normal"/>
    <w:link w:val="Heading5Char"/>
    <w:qFormat/>
    <w:rsid w:val="000556C3"/>
    <w:pPr>
      <w:spacing w:before="80"/>
      <w:outlineLvl w:val="4"/>
    </w:pPr>
    <w:rPr>
      <w:color w:val="918585"/>
      <w:sz w:val="20"/>
    </w:rPr>
  </w:style>
  <w:style w:type="paragraph" w:styleId="Heading6">
    <w:name w:val="heading 6"/>
    <w:basedOn w:val="HeadingBase"/>
    <w:next w:val="Normal"/>
    <w:link w:val="Heading6Char"/>
    <w:qFormat/>
    <w:rsid w:val="000556C3"/>
    <w:pPr>
      <w:spacing w:before="60"/>
      <w:outlineLvl w:val="5"/>
    </w:pPr>
    <w:rPr>
      <w:color w:val="918585"/>
      <w:sz w:val="20"/>
    </w:rPr>
  </w:style>
  <w:style w:type="paragraph" w:styleId="Heading7">
    <w:name w:val="heading 7"/>
    <w:basedOn w:val="Normal"/>
    <w:next w:val="Normal"/>
    <w:link w:val="Heading7Char"/>
    <w:qFormat/>
    <w:rsid w:val="000556C3"/>
    <w:pPr>
      <w:ind w:left="720"/>
      <w:outlineLvl w:val="6"/>
    </w:pPr>
    <w:rPr>
      <w:i/>
    </w:rPr>
  </w:style>
  <w:style w:type="paragraph" w:styleId="Heading8">
    <w:name w:val="heading 8"/>
    <w:basedOn w:val="Normal"/>
    <w:next w:val="Normal"/>
    <w:link w:val="Heading8Char"/>
    <w:qFormat/>
    <w:rsid w:val="000556C3"/>
    <w:pPr>
      <w:ind w:left="720"/>
      <w:outlineLvl w:val="7"/>
    </w:pPr>
    <w:rPr>
      <w:i/>
    </w:rPr>
  </w:style>
  <w:style w:type="paragraph" w:styleId="Heading9">
    <w:name w:val="heading 9"/>
    <w:basedOn w:val="Normal"/>
    <w:next w:val="Normal"/>
    <w:link w:val="Heading9Char"/>
    <w:qFormat/>
    <w:rsid w:val="000556C3"/>
    <w:pPr>
      <w:ind w:left="720"/>
      <w:outlineLvl w:val="8"/>
    </w:pPr>
    <w:rPr>
      <w:i/>
    </w:rPr>
  </w:style>
  <w:style w:type="character" w:default="1" w:styleId="DefaultParagraphFont">
    <w:name w:val="Default Paragraph Font"/>
    <w:uiPriority w:val="1"/>
    <w:unhideWhenUsed/>
    <w:rsid w:val="000556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6C3"/>
  </w:style>
  <w:style w:type="character" w:customStyle="1" w:styleId="Heading1Char">
    <w:name w:val="Heading 1 Char"/>
    <w:link w:val="Heading1"/>
    <w:rsid w:val="000556C3"/>
    <w:rPr>
      <w:rFonts w:ascii="Times New Roman" w:eastAsia="Times New Roman" w:hAnsi="Times New Roman" w:cs="Times New Roman"/>
      <w:b/>
      <w:sz w:val="32"/>
      <w:szCs w:val="20"/>
      <w:lang w:eastAsia="en-US"/>
    </w:rPr>
  </w:style>
  <w:style w:type="paragraph" w:styleId="BodyText">
    <w:name w:val="Body Text"/>
    <w:basedOn w:val="Normal"/>
    <w:link w:val="BodyTextChar"/>
    <w:rsid w:val="000556C3"/>
    <w:pPr>
      <w:spacing w:before="120" w:after="120"/>
      <w:contextualSpacing/>
    </w:pPr>
    <w:rPr>
      <w:rFonts w:ascii="Times New Roman" w:hAnsi="Times New Roman"/>
      <w:sz w:val="24"/>
      <w:szCs w:val="22"/>
    </w:rPr>
  </w:style>
  <w:style w:type="character" w:customStyle="1" w:styleId="BodyTextChar">
    <w:name w:val="Body Text Char"/>
    <w:link w:val="BodyText"/>
    <w:rsid w:val="000556C3"/>
    <w:rPr>
      <w:rFonts w:ascii="Times New Roman" w:eastAsia="Times New Roman" w:hAnsi="Times New Roman" w:cs="Times New Roman"/>
      <w:sz w:val="24"/>
      <w:lang w:val="en-US" w:eastAsia="en-US"/>
    </w:rPr>
  </w:style>
  <w:style w:type="paragraph" w:styleId="Footer">
    <w:name w:val="footer"/>
    <w:basedOn w:val="Normal"/>
    <w:link w:val="FooterChar"/>
    <w:rsid w:val="000556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556C3"/>
    <w:rPr>
      <w:rFonts w:ascii="Times New Roman" w:eastAsia="Times New Roman" w:hAnsi="Times New Roman" w:cs="Times New Roman"/>
      <w:sz w:val="16"/>
      <w:lang w:val="en-US" w:eastAsia="en-US"/>
    </w:rPr>
  </w:style>
  <w:style w:type="paragraph" w:styleId="List">
    <w:name w:val="List"/>
    <w:basedOn w:val="BodyText"/>
    <w:next w:val="BodyText"/>
    <w:rsid w:val="000556C3"/>
    <w:pPr>
      <w:tabs>
        <w:tab w:val="left" w:pos="340"/>
      </w:tabs>
      <w:spacing w:before="60" w:after="60"/>
      <w:ind w:left="340" w:hanging="340"/>
    </w:pPr>
  </w:style>
  <w:style w:type="paragraph" w:styleId="ListBullet">
    <w:name w:val="List Bullet"/>
    <w:basedOn w:val="List"/>
    <w:rsid w:val="000556C3"/>
    <w:pPr>
      <w:numPr>
        <w:numId w:val="13"/>
      </w:numPr>
      <w:tabs>
        <w:tab w:val="clear" w:pos="340"/>
      </w:tabs>
      <w:spacing w:before="40" w:after="40"/>
    </w:pPr>
  </w:style>
  <w:style w:type="character" w:customStyle="1" w:styleId="SpecialBold">
    <w:name w:val="Special Bold"/>
    <w:rsid w:val="000556C3"/>
    <w:rPr>
      <w:b/>
      <w:spacing w:val="0"/>
    </w:rPr>
  </w:style>
  <w:style w:type="paragraph" w:styleId="ListBullet2">
    <w:name w:val="List Bullet 2"/>
    <w:basedOn w:val="List2"/>
    <w:rsid w:val="000556C3"/>
    <w:pPr>
      <w:numPr>
        <w:numId w:val="14"/>
      </w:numPr>
      <w:tabs>
        <w:tab w:val="clear" w:pos="680"/>
      </w:tabs>
    </w:pPr>
  </w:style>
  <w:style w:type="paragraph" w:styleId="Header">
    <w:name w:val="header"/>
    <w:basedOn w:val="Normal"/>
    <w:link w:val="HeaderChar"/>
    <w:rsid w:val="000556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556C3"/>
    <w:rPr>
      <w:rFonts w:ascii="Times New Roman" w:eastAsia="Times New Roman" w:hAnsi="Times New Roman" w:cs="Times New Roman"/>
      <w:sz w:val="16"/>
      <w:szCs w:val="20"/>
      <w:lang w:val="en-GB" w:eastAsia="en-US"/>
    </w:rPr>
  </w:style>
  <w:style w:type="character" w:styleId="Emphasis">
    <w:name w:val="Emphasis"/>
    <w:qFormat/>
    <w:rsid w:val="000556C3"/>
    <w:rPr>
      <w:i/>
    </w:rPr>
  </w:style>
  <w:style w:type="paragraph" w:customStyle="1" w:styleId="SuperHeading">
    <w:name w:val="SuperHeading"/>
    <w:basedOn w:val="Normal"/>
    <w:rsid w:val="000556C3"/>
    <w:pPr>
      <w:spacing w:before="240" w:after="120"/>
      <w:outlineLvl w:val="0"/>
    </w:pPr>
    <w:rPr>
      <w:rFonts w:ascii="Times New Roman" w:hAnsi="Times New Roman"/>
      <w:b/>
      <w:sz w:val="28"/>
    </w:rPr>
  </w:style>
  <w:style w:type="paragraph" w:customStyle="1" w:styleId="AllowPageBreak">
    <w:name w:val="AllowPageBreak"/>
    <w:rsid w:val="000556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56C3"/>
    <w:rPr>
      <w:b/>
      <w:i/>
      <w:u w:val="none"/>
    </w:rPr>
  </w:style>
  <w:style w:type="character" w:customStyle="1" w:styleId="Heading2Char">
    <w:name w:val="Heading 2 Char"/>
    <w:link w:val="Heading2"/>
    <w:rsid w:val="000556C3"/>
    <w:rPr>
      <w:rFonts w:ascii="Times New Roman" w:eastAsia="Times New Roman" w:hAnsi="Times New Roman" w:cs="Times New Roman"/>
      <w:b/>
      <w:sz w:val="28"/>
      <w:szCs w:val="40"/>
      <w:lang w:eastAsia="en-US"/>
    </w:rPr>
  </w:style>
  <w:style w:type="character" w:customStyle="1" w:styleId="Heading3Char">
    <w:name w:val="Heading 3 Char"/>
    <w:link w:val="Heading3"/>
    <w:rsid w:val="000556C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556C3"/>
    <w:rPr>
      <w:rFonts w:ascii="Times New Roman" w:eastAsia="Times New Roman" w:hAnsi="Times New Roman" w:cs="Times New Roman"/>
      <w:b/>
      <w:szCs w:val="20"/>
      <w:lang w:eastAsia="en-US"/>
    </w:rPr>
  </w:style>
  <w:style w:type="character" w:customStyle="1" w:styleId="Heading5Char">
    <w:name w:val="Heading 5 Char"/>
    <w:link w:val="Heading5"/>
    <w:rsid w:val="000556C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556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6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56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56C3"/>
    <w:rPr>
      <w:rFonts w:ascii="Courier New" w:eastAsia="Times New Roman" w:hAnsi="Courier New" w:cs="Times New Roman"/>
      <w:i/>
      <w:szCs w:val="20"/>
      <w:lang w:val="en-US" w:eastAsia="en-US"/>
    </w:rPr>
  </w:style>
  <w:style w:type="paragraph" w:customStyle="1" w:styleId="HeadingBase">
    <w:name w:val="Heading Base"/>
    <w:rsid w:val="000556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6C3"/>
    <w:pPr>
      <w:tabs>
        <w:tab w:val="right" w:leader="dot" w:pos="9072"/>
      </w:tabs>
      <w:ind w:left="567"/>
    </w:pPr>
    <w:rPr>
      <w:szCs w:val="22"/>
    </w:rPr>
  </w:style>
  <w:style w:type="paragraph" w:customStyle="1" w:styleId="TOCBase">
    <w:name w:val="TOC Base"/>
    <w:rsid w:val="000556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6C3"/>
    <w:pPr>
      <w:tabs>
        <w:tab w:val="right" w:leader="dot" w:pos="9072"/>
      </w:tabs>
      <w:spacing w:before="40" w:after="40"/>
      <w:ind w:left="284"/>
    </w:pPr>
    <w:rPr>
      <w:rFonts w:ascii="Times New Roman" w:hAnsi="Times New Roman"/>
    </w:rPr>
  </w:style>
  <w:style w:type="paragraph" w:styleId="TOC1">
    <w:name w:val="toc 1"/>
    <w:basedOn w:val="TOCBase"/>
    <w:next w:val="Normal"/>
    <w:rsid w:val="000556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56C3"/>
    <w:pPr>
      <w:spacing w:before="5040"/>
      <w:jc w:val="center"/>
    </w:pPr>
    <w:rPr>
      <w:sz w:val="48"/>
      <w:szCs w:val="72"/>
      <w:lang w:val="en-US"/>
    </w:rPr>
  </w:style>
  <w:style w:type="character" w:customStyle="1" w:styleId="TitleChar">
    <w:name w:val="Title Char"/>
    <w:link w:val="Title"/>
    <w:rsid w:val="000556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6C3"/>
    <w:pPr>
      <w:tabs>
        <w:tab w:val="left" w:pos="3600"/>
        <w:tab w:val="left" w:pos="3958"/>
      </w:tabs>
    </w:pPr>
  </w:style>
  <w:style w:type="paragraph" w:customStyle="1" w:styleId="Note">
    <w:name w:val="Note"/>
    <w:basedOn w:val="BodyText"/>
    <w:rsid w:val="000556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6C3"/>
    <w:pPr>
      <w:framePr w:wrap="auto" w:hAnchor="text" w:y="6049"/>
    </w:pPr>
    <w:rPr>
      <w:color w:val="000000"/>
      <w:sz w:val="40"/>
    </w:rPr>
  </w:style>
  <w:style w:type="paragraph" w:customStyle="1" w:styleId="TOCTitle">
    <w:name w:val="TOCTitle"/>
    <w:basedOn w:val="Heading1"/>
    <w:rsid w:val="000556C3"/>
    <w:pPr>
      <w:spacing w:after="240"/>
      <w:jc w:val="center"/>
      <w:outlineLvl w:val="9"/>
    </w:pPr>
    <w:rPr>
      <w:caps/>
    </w:rPr>
  </w:style>
  <w:style w:type="paragraph" w:customStyle="1" w:styleId="Version">
    <w:name w:val="Version"/>
    <w:rsid w:val="000556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56C3"/>
    <w:pPr>
      <w:keepNext w:val="0"/>
      <w:tabs>
        <w:tab w:val="right" w:pos="4176"/>
      </w:tabs>
      <w:ind w:left="198" w:hanging="198"/>
    </w:pPr>
    <w:rPr>
      <w:rFonts w:ascii="Garamond" w:hAnsi="Garamond"/>
    </w:rPr>
  </w:style>
  <w:style w:type="paragraph" w:styleId="IndexHeading">
    <w:name w:val="index heading"/>
    <w:basedOn w:val="Normal"/>
    <w:next w:val="Index1"/>
    <w:semiHidden/>
    <w:rsid w:val="000556C3"/>
    <w:pPr>
      <w:spacing w:before="120" w:after="120"/>
    </w:pPr>
    <w:rPr>
      <w:rFonts w:ascii="Arial" w:hAnsi="Arial"/>
      <w:b/>
      <w:color w:val="918585"/>
      <w:sz w:val="24"/>
    </w:rPr>
  </w:style>
  <w:style w:type="paragraph" w:customStyle="1" w:styleId="Chapter">
    <w:name w:val="Chapter"/>
    <w:basedOn w:val="Normal"/>
    <w:rsid w:val="000556C3"/>
    <w:pPr>
      <w:spacing w:before="240"/>
    </w:pPr>
    <w:rPr>
      <w:rFonts w:ascii="Times New Roman" w:hAnsi="Times New Roman"/>
      <w:smallCaps/>
      <w:spacing w:val="80"/>
      <w:sz w:val="28"/>
    </w:rPr>
  </w:style>
  <w:style w:type="paragraph" w:customStyle="1" w:styleId="InChapter">
    <w:name w:val="InChapter"/>
    <w:basedOn w:val="Heading3"/>
    <w:rsid w:val="000556C3"/>
    <w:pPr>
      <w:spacing w:after="240"/>
      <w:outlineLvl w:val="9"/>
    </w:pPr>
    <w:rPr>
      <w:noProof/>
    </w:rPr>
  </w:style>
  <w:style w:type="paragraph" w:styleId="Index2">
    <w:name w:val="index 2"/>
    <w:basedOn w:val="Normal"/>
    <w:next w:val="Normal"/>
    <w:semiHidden/>
    <w:rsid w:val="000556C3"/>
    <w:pPr>
      <w:tabs>
        <w:tab w:val="right" w:pos="4176"/>
      </w:tabs>
      <w:ind w:left="568" w:hanging="284"/>
    </w:pPr>
    <w:rPr>
      <w:rFonts w:ascii="Garamond" w:hAnsi="Garamond"/>
    </w:rPr>
  </w:style>
  <w:style w:type="paragraph" w:customStyle="1" w:styleId="Byline">
    <w:name w:val="Byline"/>
    <w:rsid w:val="000556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6C3"/>
    <w:pPr>
      <w:tabs>
        <w:tab w:val="clear" w:pos="3600"/>
        <w:tab w:val="clear" w:pos="3958"/>
      </w:tabs>
      <w:jc w:val="right"/>
    </w:pPr>
  </w:style>
  <w:style w:type="paragraph" w:styleId="Caption">
    <w:name w:val="caption"/>
    <w:basedOn w:val="BodyText"/>
    <w:next w:val="Normal"/>
    <w:qFormat/>
    <w:rsid w:val="000556C3"/>
    <w:pPr>
      <w:framePr w:w="2268" w:hSpace="181" w:vSpace="181" w:wrap="around" w:vAnchor="text" w:hAnchor="page" w:x="1135" w:y="285" w:anchorLock="1"/>
    </w:pPr>
    <w:rPr>
      <w:i/>
    </w:rPr>
  </w:style>
  <w:style w:type="paragraph" w:customStyle="1" w:styleId="MiniTOCTitle">
    <w:name w:val="MiniTOCTitle"/>
    <w:basedOn w:val="Heading4"/>
    <w:rsid w:val="000556C3"/>
    <w:pPr>
      <w:spacing w:before="240"/>
      <w:outlineLvl w:val="9"/>
    </w:pPr>
    <w:rPr>
      <w:noProof/>
      <w:sz w:val="24"/>
    </w:rPr>
  </w:style>
  <w:style w:type="paragraph" w:customStyle="1" w:styleId="MiniTOCItem">
    <w:name w:val="MiniTOCItem"/>
    <w:basedOn w:val="ListBullet"/>
    <w:rsid w:val="000556C3"/>
    <w:pPr>
      <w:numPr>
        <w:numId w:val="0"/>
      </w:numPr>
      <w:tabs>
        <w:tab w:val="right" w:leader="dot" w:pos="6521"/>
      </w:tabs>
      <w:spacing w:before="0" w:after="0"/>
    </w:pPr>
  </w:style>
  <w:style w:type="paragraph" w:customStyle="1" w:styleId="TOFTitle">
    <w:name w:val="TOFTitle"/>
    <w:basedOn w:val="TOCTitle"/>
    <w:rsid w:val="000556C3"/>
  </w:style>
  <w:style w:type="paragraph" w:styleId="TableofFigures">
    <w:name w:val="table of figures"/>
    <w:basedOn w:val="Normal"/>
    <w:next w:val="Normal"/>
    <w:semiHidden/>
    <w:rsid w:val="000556C3"/>
    <w:pPr>
      <w:tabs>
        <w:tab w:val="right" w:leader="dot" w:pos="9072"/>
      </w:tabs>
      <w:ind w:left="970" w:hanging="403"/>
    </w:pPr>
    <w:rPr>
      <w:rFonts w:ascii="Times New Roman" w:hAnsi="Times New Roman"/>
      <w:b/>
    </w:rPr>
  </w:style>
  <w:style w:type="paragraph" w:styleId="ListNumber">
    <w:name w:val="List Number"/>
    <w:basedOn w:val="List"/>
    <w:rsid w:val="000556C3"/>
    <w:pPr>
      <w:numPr>
        <w:numId w:val="11"/>
      </w:numPr>
    </w:pPr>
  </w:style>
  <w:style w:type="character" w:customStyle="1" w:styleId="WingdingSymbols">
    <w:name w:val="Wingding Symbols"/>
    <w:rsid w:val="000556C3"/>
    <w:rPr>
      <w:rFonts w:ascii="Wingdings" w:hAnsi="Wingdings"/>
    </w:rPr>
  </w:style>
  <w:style w:type="paragraph" w:customStyle="1" w:styleId="TableHeading">
    <w:name w:val="Table Heading"/>
    <w:basedOn w:val="HeadingBase"/>
    <w:rsid w:val="000556C3"/>
    <w:pPr>
      <w:keepLines/>
      <w:pBdr>
        <w:bottom w:val="single" w:sz="6" w:space="1" w:color="918585"/>
      </w:pBdr>
      <w:spacing w:before="240"/>
    </w:pPr>
  </w:style>
  <w:style w:type="character" w:customStyle="1" w:styleId="HotSpot">
    <w:name w:val="HotSpot"/>
    <w:rsid w:val="000556C3"/>
    <w:rPr>
      <w:color w:val="0033CC"/>
      <w:u w:val="none"/>
    </w:rPr>
  </w:style>
  <w:style w:type="paragraph" w:customStyle="1" w:styleId="BodyTextRight">
    <w:name w:val="Body Text Right"/>
    <w:basedOn w:val="BodyText"/>
    <w:rsid w:val="000556C3"/>
    <w:pPr>
      <w:spacing w:before="0" w:after="0"/>
      <w:jc w:val="right"/>
    </w:pPr>
  </w:style>
  <w:style w:type="paragraph" w:styleId="Index3">
    <w:name w:val="index 3"/>
    <w:basedOn w:val="ListNumber2"/>
    <w:next w:val="Normal"/>
    <w:semiHidden/>
    <w:rsid w:val="000556C3"/>
    <w:pPr>
      <w:numPr>
        <w:numId w:val="0"/>
      </w:numPr>
      <w:tabs>
        <w:tab w:val="right" w:leader="dot" w:pos="4176"/>
      </w:tabs>
    </w:pPr>
  </w:style>
  <w:style w:type="paragraph" w:styleId="ListNumber2">
    <w:name w:val="List Number 2"/>
    <w:basedOn w:val="List2"/>
    <w:rsid w:val="000556C3"/>
    <w:pPr>
      <w:numPr>
        <w:numId w:val="10"/>
      </w:numPr>
      <w:tabs>
        <w:tab w:val="clear" w:pos="1060"/>
      </w:tabs>
    </w:pPr>
  </w:style>
  <w:style w:type="paragraph" w:customStyle="1" w:styleId="MarginNote">
    <w:name w:val="Margin Note"/>
    <w:basedOn w:val="BodyText"/>
    <w:rsid w:val="000556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6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556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56C3"/>
    <w:rPr>
      <w:sz w:val="32"/>
    </w:rPr>
  </w:style>
  <w:style w:type="paragraph" w:customStyle="1" w:styleId="HeadingProcedure">
    <w:name w:val="Heading Procedure"/>
    <w:basedOn w:val="HeadingBase"/>
    <w:next w:val="Normal"/>
    <w:rsid w:val="000556C3"/>
    <w:pPr>
      <w:tabs>
        <w:tab w:val="left" w:pos="0"/>
      </w:tabs>
      <w:spacing w:before="120" w:after="60"/>
    </w:pPr>
    <w:rPr>
      <w:i/>
      <w:color w:val="918585"/>
      <w:sz w:val="22"/>
    </w:rPr>
  </w:style>
  <w:style w:type="paragraph" w:customStyle="1" w:styleId="TableBodyText">
    <w:name w:val="Table Body Text"/>
    <w:basedOn w:val="BodyText"/>
    <w:rsid w:val="000556C3"/>
    <w:pPr>
      <w:spacing w:before="60" w:after="60"/>
    </w:pPr>
  </w:style>
  <w:style w:type="paragraph" w:styleId="ListContinue">
    <w:name w:val="List Continue"/>
    <w:basedOn w:val="List"/>
    <w:rsid w:val="000556C3"/>
    <w:pPr>
      <w:ind w:firstLine="0"/>
    </w:pPr>
  </w:style>
  <w:style w:type="paragraph" w:customStyle="1" w:styleId="ListNote">
    <w:name w:val="List Note"/>
    <w:basedOn w:val="List"/>
    <w:rsid w:val="000556C3"/>
    <w:pPr>
      <w:pBdr>
        <w:top w:val="single" w:sz="6" w:space="2" w:color="918585"/>
        <w:bottom w:val="single" w:sz="6" w:space="2" w:color="918585"/>
      </w:pBdr>
      <w:tabs>
        <w:tab w:val="left" w:pos="1021"/>
      </w:tabs>
      <w:ind w:firstLine="0"/>
    </w:pPr>
  </w:style>
  <w:style w:type="paragraph" w:customStyle="1" w:styleId="Warning">
    <w:name w:val="Warning"/>
    <w:basedOn w:val="BodyText"/>
    <w:rsid w:val="000556C3"/>
    <w:pPr>
      <w:shd w:val="clear" w:color="auto" w:fill="D9D9D9"/>
      <w:tabs>
        <w:tab w:val="left" w:pos="992"/>
      </w:tabs>
      <w:ind w:left="119" w:right="119"/>
    </w:pPr>
    <w:rPr>
      <w:sz w:val="20"/>
    </w:rPr>
  </w:style>
  <w:style w:type="paragraph" w:customStyle="1" w:styleId="MarginIcons">
    <w:name w:val="Margin Icons"/>
    <w:basedOn w:val="BodyText"/>
    <w:rsid w:val="000556C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556C3"/>
    <w:rPr>
      <w:rFonts w:ascii="Courier New" w:hAnsi="Courier New"/>
    </w:rPr>
  </w:style>
  <w:style w:type="paragraph" w:customStyle="1" w:styleId="NoteBullet">
    <w:name w:val="Note Bullet"/>
    <w:basedOn w:val="Note"/>
    <w:rsid w:val="000556C3"/>
    <w:pPr>
      <w:tabs>
        <w:tab w:val="clear" w:pos="680"/>
      </w:tabs>
      <w:spacing w:before="60" w:after="60"/>
    </w:pPr>
  </w:style>
  <w:style w:type="paragraph" w:customStyle="1" w:styleId="SubHeading2">
    <w:name w:val="SubHeading2"/>
    <w:basedOn w:val="HeadingBase"/>
    <w:rsid w:val="000556C3"/>
    <w:pPr>
      <w:spacing w:before="240" w:after="60"/>
    </w:pPr>
    <w:rPr>
      <w:sz w:val="20"/>
    </w:rPr>
  </w:style>
  <w:style w:type="paragraph" w:customStyle="1" w:styleId="SubHeading1">
    <w:name w:val="SubHeading1"/>
    <w:basedOn w:val="HeadingBase"/>
    <w:rsid w:val="000556C3"/>
    <w:pPr>
      <w:spacing w:before="240" w:after="60"/>
    </w:pPr>
    <w:rPr>
      <w:color w:val="918585"/>
      <w:sz w:val="22"/>
    </w:rPr>
  </w:style>
  <w:style w:type="paragraph" w:customStyle="1" w:styleId="SideHeading">
    <w:name w:val="Side Heading"/>
    <w:basedOn w:val="HeadingBase"/>
    <w:rsid w:val="000556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6C3"/>
    <w:pPr>
      <w:numPr>
        <w:numId w:val="12"/>
      </w:numPr>
    </w:pPr>
  </w:style>
  <w:style w:type="paragraph" w:styleId="PlainText">
    <w:name w:val="Plain Text"/>
    <w:basedOn w:val="Normal"/>
    <w:link w:val="PlainTextChar"/>
    <w:rsid w:val="000556C3"/>
    <w:rPr>
      <w:sz w:val="20"/>
    </w:rPr>
  </w:style>
  <w:style w:type="character" w:customStyle="1" w:styleId="PlainTextChar">
    <w:name w:val="Plain Text Char"/>
    <w:basedOn w:val="DefaultParagraphFont"/>
    <w:link w:val="PlainText"/>
    <w:rsid w:val="000556C3"/>
    <w:rPr>
      <w:rFonts w:ascii="Courier New" w:eastAsia="Times New Roman" w:hAnsi="Courier New" w:cs="Times New Roman"/>
      <w:sz w:val="20"/>
      <w:szCs w:val="20"/>
      <w:lang w:val="en-US" w:eastAsia="en-US"/>
    </w:rPr>
  </w:style>
  <w:style w:type="character" w:customStyle="1" w:styleId="MenuOption">
    <w:name w:val="Menu Option"/>
    <w:rsid w:val="000556C3"/>
    <w:rPr>
      <w:b/>
      <w:smallCaps/>
    </w:rPr>
  </w:style>
  <w:style w:type="paragraph" w:customStyle="1" w:styleId="TableListNumber">
    <w:name w:val="Table List Number"/>
    <w:basedOn w:val="ListNumber"/>
    <w:rsid w:val="000556C3"/>
    <w:pPr>
      <w:numPr>
        <w:numId w:val="0"/>
      </w:numPr>
    </w:pPr>
  </w:style>
  <w:style w:type="paragraph" w:styleId="TOC4">
    <w:name w:val="toc 4"/>
    <w:basedOn w:val="TOCBase"/>
    <w:next w:val="Normal"/>
    <w:semiHidden/>
    <w:rsid w:val="000556C3"/>
    <w:pPr>
      <w:tabs>
        <w:tab w:val="right" w:leader="dot" w:pos="9071"/>
      </w:tabs>
      <w:ind w:left="1701"/>
    </w:pPr>
  </w:style>
  <w:style w:type="paragraph" w:customStyle="1" w:styleId="ListAlpha">
    <w:name w:val="List Alpha"/>
    <w:basedOn w:val="List"/>
    <w:rsid w:val="000556C3"/>
    <w:pPr>
      <w:numPr>
        <w:numId w:val="9"/>
      </w:numPr>
    </w:pPr>
  </w:style>
  <w:style w:type="paragraph" w:customStyle="1" w:styleId="ListAlpha2">
    <w:name w:val="List Alpha 2"/>
    <w:basedOn w:val="List2"/>
    <w:rsid w:val="000556C3"/>
    <w:pPr>
      <w:numPr>
        <w:numId w:val="8"/>
      </w:numPr>
    </w:pPr>
  </w:style>
  <w:style w:type="paragraph" w:styleId="List2">
    <w:name w:val="List 2"/>
    <w:basedOn w:val="BodyText"/>
    <w:rsid w:val="000556C3"/>
    <w:pPr>
      <w:tabs>
        <w:tab w:val="left" w:pos="680"/>
      </w:tabs>
      <w:spacing w:before="60" w:after="60"/>
      <w:ind w:left="680" w:hanging="340"/>
    </w:pPr>
  </w:style>
  <w:style w:type="paragraph" w:styleId="List3">
    <w:name w:val="List 3"/>
    <w:basedOn w:val="BodyText"/>
    <w:rsid w:val="000556C3"/>
    <w:pPr>
      <w:tabs>
        <w:tab w:val="left" w:pos="1021"/>
      </w:tabs>
      <w:spacing w:before="60" w:after="60"/>
      <w:ind w:left="1020" w:hanging="340"/>
    </w:pPr>
  </w:style>
  <w:style w:type="paragraph" w:styleId="List4">
    <w:name w:val="List 4"/>
    <w:basedOn w:val="BodyText"/>
    <w:rsid w:val="000556C3"/>
    <w:pPr>
      <w:tabs>
        <w:tab w:val="left" w:pos="1361"/>
      </w:tabs>
      <w:spacing w:before="60" w:after="60"/>
      <w:ind w:left="1361" w:hanging="340"/>
    </w:pPr>
  </w:style>
  <w:style w:type="paragraph" w:styleId="List5">
    <w:name w:val="List 5"/>
    <w:basedOn w:val="BodyText"/>
    <w:rsid w:val="000556C3"/>
    <w:pPr>
      <w:tabs>
        <w:tab w:val="left" w:pos="1701"/>
      </w:tabs>
      <w:spacing w:before="60" w:after="60"/>
      <w:ind w:left="1701" w:hanging="340"/>
    </w:pPr>
  </w:style>
  <w:style w:type="paragraph" w:styleId="ListBullet3">
    <w:name w:val="List Bullet 3"/>
    <w:basedOn w:val="List3"/>
    <w:rsid w:val="000556C3"/>
    <w:pPr>
      <w:numPr>
        <w:numId w:val="15"/>
      </w:numPr>
      <w:tabs>
        <w:tab w:val="clear" w:pos="1021"/>
      </w:tabs>
      <w:ind w:left="1037" w:hanging="357"/>
    </w:pPr>
  </w:style>
  <w:style w:type="paragraph" w:styleId="ListBullet4">
    <w:name w:val="List Bullet 4"/>
    <w:basedOn w:val="List4"/>
    <w:rsid w:val="000556C3"/>
    <w:pPr>
      <w:numPr>
        <w:numId w:val="3"/>
      </w:numPr>
    </w:pPr>
  </w:style>
  <w:style w:type="paragraph" w:styleId="ListBullet5">
    <w:name w:val="List Bullet 5"/>
    <w:basedOn w:val="List5"/>
    <w:rsid w:val="000556C3"/>
    <w:pPr>
      <w:numPr>
        <w:numId w:val="4"/>
      </w:numPr>
    </w:pPr>
  </w:style>
  <w:style w:type="paragraph" w:styleId="ListContinue2">
    <w:name w:val="List Continue 2"/>
    <w:basedOn w:val="List2"/>
    <w:rsid w:val="000556C3"/>
    <w:pPr>
      <w:ind w:firstLine="0"/>
    </w:pPr>
  </w:style>
  <w:style w:type="paragraph" w:styleId="ListContinue3">
    <w:name w:val="List Continue 3"/>
    <w:basedOn w:val="List3"/>
    <w:rsid w:val="000556C3"/>
    <w:pPr>
      <w:ind w:left="1021" w:firstLine="0"/>
    </w:pPr>
  </w:style>
  <w:style w:type="paragraph" w:styleId="ListContinue4">
    <w:name w:val="List Continue 4"/>
    <w:basedOn w:val="List4"/>
    <w:rsid w:val="000556C3"/>
    <w:pPr>
      <w:ind w:firstLine="0"/>
    </w:pPr>
  </w:style>
  <w:style w:type="paragraph" w:styleId="ListContinue5">
    <w:name w:val="List Continue 5"/>
    <w:basedOn w:val="List5"/>
    <w:rsid w:val="000556C3"/>
    <w:pPr>
      <w:ind w:firstLine="0"/>
    </w:pPr>
  </w:style>
  <w:style w:type="paragraph" w:styleId="ListNumber3">
    <w:name w:val="List Number 3"/>
    <w:basedOn w:val="List3"/>
    <w:rsid w:val="000556C3"/>
    <w:pPr>
      <w:numPr>
        <w:numId w:val="5"/>
      </w:numPr>
    </w:pPr>
  </w:style>
  <w:style w:type="paragraph" w:styleId="ListNumber4">
    <w:name w:val="List Number 4"/>
    <w:basedOn w:val="List4"/>
    <w:rsid w:val="000556C3"/>
    <w:pPr>
      <w:numPr>
        <w:numId w:val="6"/>
      </w:numPr>
    </w:pPr>
  </w:style>
  <w:style w:type="paragraph" w:styleId="ListNumber5">
    <w:name w:val="List Number 5"/>
    <w:basedOn w:val="List5"/>
    <w:rsid w:val="000556C3"/>
    <w:pPr>
      <w:numPr>
        <w:numId w:val="7"/>
      </w:numPr>
    </w:pPr>
  </w:style>
  <w:style w:type="paragraph" w:styleId="BlockText">
    <w:name w:val="Block Text"/>
    <w:basedOn w:val="Normal"/>
    <w:rsid w:val="000556C3"/>
    <w:pPr>
      <w:spacing w:after="120"/>
      <w:ind w:left="1440" w:right="1440"/>
    </w:pPr>
  </w:style>
  <w:style w:type="character" w:customStyle="1" w:styleId="Subscript">
    <w:name w:val="Subscript"/>
    <w:rsid w:val="000556C3"/>
    <w:rPr>
      <w:sz w:val="16"/>
      <w:vertAlign w:val="subscript"/>
    </w:rPr>
  </w:style>
  <w:style w:type="character" w:customStyle="1" w:styleId="Superscript">
    <w:name w:val="Superscript"/>
    <w:rsid w:val="000556C3"/>
    <w:rPr>
      <w:sz w:val="16"/>
      <w:vertAlign w:val="superscript"/>
    </w:rPr>
  </w:style>
  <w:style w:type="character" w:customStyle="1" w:styleId="Symbols">
    <w:name w:val="Symbols"/>
    <w:rsid w:val="000556C3"/>
    <w:rPr>
      <w:rFonts w:ascii="Symbol" w:hAnsi="Symbol"/>
    </w:rPr>
  </w:style>
  <w:style w:type="character" w:customStyle="1" w:styleId="MenuOptions">
    <w:name w:val="Menu Options"/>
    <w:rsid w:val="000556C3"/>
    <w:rPr>
      <w:rFonts w:ascii="Arial Narrow" w:hAnsi="Arial Narrow"/>
      <w:smallCaps/>
    </w:rPr>
  </w:style>
  <w:style w:type="character" w:customStyle="1" w:styleId="Buttons">
    <w:name w:val="Buttons"/>
    <w:rsid w:val="000556C3"/>
    <w:rPr>
      <w:b/>
    </w:rPr>
  </w:style>
  <w:style w:type="character" w:customStyle="1" w:styleId="Underlined">
    <w:name w:val="Underlined"/>
    <w:rsid w:val="000556C3"/>
    <w:rPr>
      <w:u w:val="single"/>
    </w:rPr>
  </w:style>
  <w:style w:type="paragraph" w:customStyle="1" w:styleId="TableBodyTextRight">
    <w:name w:val="Table Body Text Right"/>
    <w:basedOn w:val="TableBodyText"/>
    <w:rsid w:val="000556C3"/>
    <w:pPr>
      <w:widowControl w:val="0"/>
      <w:autoSpaceDE w:val="0"/>
      <w:autoSpaceDN w:val="0"/>
      <w:adjustRightInd w:val="0"/>
      <w:jc w:val="right"/>
    </w:pPr>
    <w:rPr>
      <w:rFonts w:cs="Arial"/>
      <w:szCs w:val="18"/>
    </w:rPr>
  </w:style>
  <w:style w:type="paragraph" w:customStyle="1" w:styleId="CopyrightText">
    <w:name w:val="Copyright Text"/>
    <w:basedOn w:val="BodyText"/>
    <w:rsid w:val="000556C3"/>
    <w:rPr>
      <w:sz w:val="18"/>
    </w:rPr>
  </w:style>
  <w:style w:type="paragraph" w:customStyle="1" w:styleId="BodySmallRight">
    <w:name w:val="Body Small Right"/>
    <w:basedOn w:val="BodyTextRight"/>
    <w:rsid w:val="000556C3"/>
    <w:rPr>
      <w:sz w:val="18"/>
      <w:szCs w:val="18"/>
    </w:rPr>
  </w:style>
  <w:style w:type="paragraph" w:customStyle="1" w:styleId="MarginEdition">
    <w:name w:val="Margin Edition"/>
    <w:basedOn w:val="MarginNote"/>
    <w:rsid w:val="000556C3"/>
    <w:pPr>
      <w:spacing w:before="0" w:after="0"/>
    </w:pPr>
    <w:rPr>
      <w:rFonts w:ascii="Times New Roman" w:hAnsi="Times New Roman"/>
      <w:color w:val="999999"/>
    </w:rPr>
  </w:style>
  <w:style w:type="paragraph" w:customStyle="1" w:styleId="Spacer">
    <w:name w:val="Spacer"/>
    <w:basedOn w:val="Normal"/>
    <w:rsid w:val="000556C3"/>
    <w:rPr>
      <w:sz w:val="2"/>
      <w:szCs w:val="2"/>
    </w:rPr>
  </w:style>
  <w:style w:type="character" w:customStyle="1" w:styleId="Small">
    <w:name w:val="Small"/>
    <w:rsid w:val="000556C3"/>
    <w:rPr>
      <w:sz w:val="16"/>
    </w:rPr>
  </w:style>
  <w:style w:type="paragraph" w:customStyle="1" w:styleId="WideTable">
    <w:name w:val="Wide Table"/>
    <w:basedOn w:val="Normal"/>
    <w:rsid w:val="000556C3"/>
    <w:pPr>
      <w:ind w:left="-1418"/>
    </w:pPr>
    <w:rPr>
      <w:sz w:val="2"/>
      <w:szCs w:val="2"/>
    </w:rPr>
  </w:style>
  <w:style w:type="character" w:styleId="PageNumber">
    <w:name w:val="page number"/>
    <w:rsid w:val="000556C3"/>
  </w:style>
  <w:style w:type="paragraph" w:styleId="Quote">
    <w:name w:val="Quote"/>
    <w:basedOn w:val="Heading1"/>
    <w:link w:val="QuoteChar"/>
    <w:qFormat/>
    <w:rsid w:val="000556C3"/>
    <w:rPr>
      <w:b w:val="0"/>
      <w:sz w:val="72"/>
      <w:szCs w:val="72"/>
      <w:lang w:val="en-NZ"/>
    </w:rPr>
  </w:style>
  <w:style w:type="character" w:customStyle="1" w:styleId="QuoteChar">
    <w:name w:val="Quote Char"/>
    <w:link w:val="Quote"/>
    <w:rsid w:val="000556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6C3"/>
    <w:pPr>
      <w:pageBreakBefore/>
    </w:pPr>
  </w:style>
  <w:style w:type="paragraph" w:customStyle="1" w:styleId="Border">
    <w:name w:val="Border"/>
    <w:basedOn w:val="Normal"/>
    <w:qFormat/>
    <w:rsid w:val="000556C3"/>
    <w:pPr>
      <w:pBdr>
        <w:top w:val="single" w:sz="18" w:space="1" w:color="auto"/>
      </w:pBdr>
    </w:pPr>
    <w:rPr>
      <w:rFonts w:ascii="Times New Roman" w:hAnsi="Times New Roman"/>
      <w:color w:val="FFFFFF"/>
      <w:sz w:val="2"/>
    </w:rPr>
  </w:style>
  <w:style w:type="character" w:styleId="IntenseEmphasis">
    <w:name w:val="Intense Emphasis"/>
    <w:uiPriority w:val="21"/>
    <w:qFormat/>
    <w:rsid w:val="000556C3"/>
    <w:rPr>
      <w:b/>
      <w:bCs/>
      <w:i/>
      <w:iCs/>
      <w:color w:val="auto"/>
    </w:rPr>
  </w:style>
  <w:style w:type="paragraph" w:styleId="IntenseQuote">
    <w:name w:val="Intense Quote"/>
    <w:basedOn w:val="Normal"/>
    <w:next w:val="Normal"/>
    <w:link w:val="IntenseQuoteChar"/>
    <w:uiPriority w:val="30"/>
    <w:qFormat/>
    <w:rsid w:val="000556C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556C3"/>
    <w:rPr>
      <w:rFonts w:ascii="Courier New" w:eastAsia="Times New Roman" w:hAnsi="Courier New" w:cs="Times New Roman"/>
      <w:b/>
      <w:bCs/>
      <w:i/>
      <w:iCs/>
      <w:szCs w:val="20"/>
      <w:lang w:val="en-US" w:eastAsia="en-US"/>
    </w:rPr>
  </w:style>
  <w:style w:type="character" w:styleId="SubtleReference">
    <w:name w:val="Subtle Reference"/>
    <w:uiPriority w:val="31"/>
    <w:qFormat/>
    <w:rsid w:val="000556C3"/>
    <w:rPr>
      <w:smallCaps/>
      <w:color w:val="auto"/>
      <w:u w:val="single"/>
    </w:rPr>
  </w:style>
  <w:style w:type="character" w:styleId="IntenseReference">
    <w:name w:val="Intense Reference"/>
    <w:uiPriority w:val="32"/>
    <w:qFormat/>
    <w:rsid w:val="000556C3"/>
    <w:rPr>
      <w:b/>
      <w:bCs/>
      <w:smallCaps/>
      <w:color w:val="auto"/>
      <w:spacing w:val="5"/>
      <w:u w:val="single"/>
    </w:rPr>
  </w:style>
  <w:style w:type="paragraph" w:customStyle="1" w:styleId="2ColumnHeading">
    <w:name w:val="2Column Heading"/>
    <w:basedOn w:val="BodyText"/>
    <w:qFormat/>
    <w:rsid w:val="000556C3"/>
    <w:pPr>
      <w:spacing w:after="60"/>
      <w:ind w:left="-2268"/>
    </w:pPr>
    <w:rPr>
      <w:b/>
    </w:rPr>
  </w:style>
  <w:style w:type="paragraph" w:customStyle="1" w:styleId="Heading1TOC">
    <w:name w:val="Heading1 TOC"/>
    <w:basedOn w:val="Normal"/>
    <w:qFormat/>
    <w:rsid w:val="000556C3"/>
    <w:pPr>
      <w:spacing w:before="240" w:after="120"/>
    </w:pPr>
    <w:rPr>
      <w:rFonts w:ascii="Times New Roman" w:hAnsi="Times New Roman"/>
      <w:b/>
      <w:sz w:val="32"/>
    </w:rPr>
  </w:style>
  <w:style w:type="paragraph" w:customStyle="1" w:styleId="Heading2TOC">
    <w:name w:val="Heading2 TOC"/>
    <w:basedOn w:val="Normal"/>
    <w:qFormat/>
    <w:rsid w:val="000556C3"/>
    <w:pPr>
      <w:spacing w:before="240" w:after="60"/>
    </w:pPr>
    <w:rPr>
      <w:rFonts w:ascii="Times New Roman" w:hAnsi="Times New Roman"/>
      <w:b/>
      <w:sz w:val="28"/>
    </w:rPr>
  </w:style>
  <w:style w:type="character" w:customStyle="1" w:styleId="Underline">
    <w:name w:val="Underline"/>
    <w:qFormat/>
    <w:rsid w:val="000556C3"/>
    <w:rPr>
      <w:u w:val="single"/>
    </w:rPr>
  </w:style>
  <w:style w:type="paragraph" w:styleId="BalloonText">
    <w:name w:val="Balloon Text"/>
    <w:basedOn w:val="Normal"/>
    <w:link w:val="BalloonTextChar"/>
    <w:rsid w:val="000556C3"/>
    <w:rPr>
      <w:rFonts w:ascii="Tahoma" w:hAnsi="Tahoma" w:cs="Tahoma"/>
      <w:sz w:val="16"/>
      <w:szCs w:val="16"/>
    </w:rPr>
  </w:style>
  <w:style w:type="character" w:customStyle="1" w:styleId="BalloonTextChar">
    <w:name w:val="Balloon Text Char"/>
    <w:link w:val="BalloonText"/>
    <w:rsid w:val="000556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56C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556C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Words>
  <Characters>7119</Characters>
  <Application>Microsoft Office Word</Application>
  <DocSecurity>0</DocSecurity>
  <Lines>365</Lines>
  <Paragraphs>169</Paragraphs>
  <ScaleCrop>false</ScaleCrop>
  <Company>Author-it Software Corporation Ltd.</Company>
  <LinksUpToDate>false</LinksUpToDate>
  <CharactersWithSpaces>8157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SITHGAM003A Conduct a Keno game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2012-05-26T10:22:00Z</dcterms:created>
  <dcterms:modified xsi:type="dcterms:W3CDTF">2012-05-26T10:22:00Z</dcterms:modified>
</cp:coreProperties>
</file>