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C2229" w:rsidP="00EC2229">
      <w:pPr>
        <w:pStyle w:val="Title"/>
      </w:pPr>
      <w:r>
        <w:fldChar w:fldCharType="begin"/>
      </w:r>
      <w:r>
        <w:instrText xml:space="preserve"> TITLE   \* MERGEFORMAT </w:instrText>
      </w:r>
      <w:r>
        <w:fldChar w:fldCharType="separate"/>
      </w:r>
      <w:r>
        <w:t>SITHGAM001A Attend gaming machines</w:t>
      </w:r>
      <w:r>
        <w:fldChar w:fldCharType="end"/>
      </w:r>
    </w:p>
    <w:p w:rsidR="00EC2229" w:rsidP="00EC2229">
      <w:pPr>
        <w:pStyle w:val="Version"/>
        <w:sectPr w:rsidSect="00BA51D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A51DE" w:rsidP="00BA51DE">
      <w:pPr>
        <w:pStyle w:val="SuperHeading"/>
      </w:pPr>
      <w:r w:rsidRPr="00BA51DE">
        <w:t>SITHGAM001A Attend gaming machines</w:t>
      </w:r>
    </w:p>
    <w:p w:rsidR="00000000" w:rsidRPr="00BA51DE" w:rsidP="00BA51DE">
      <w:pPr>
        <w:pStyle w:val="SuperHeading"/>
      </w:pPr>
    </w:p>
    <w:p w:rsidR="00000000" w:rsidRPr="00BA51DE" w:rsidP="00BA51DE">
      <w:pPr>
        <w:pStyle w:val="Heading1"/>
      </w:pPr>
      <w:bookmarkStart w:id="1" w:name="O_146991"/>
      <w:bookmarkEnd w:id="1"/>
      <w:r w:rsidRPr="00BA51DE">
        <w:t>Modification History</w:t>
      </w:r>
    </w:p>
    <w:p w:rsidR="00000000" w:rsidRPr="00BA51DE" w:rsidP="00BA51DE">
      <w:pPr>
        <w:pStyle w:val="BodyText"/>
      </w:pPr>
      <w:r w:rsidRPr="00BA51DE">
        <w:t>Not applicable.</w:t>
      </w:r>
    </w:p>
    <w:p w:rsidR="00000000" w:rsidRPr="00BA51DE" w:rsidP="00BA51DE">
      <w:pPr>
        <w:pStyle w:val="AllowPageBreak"/>
      </w:pPr>
    </w:p>
    <w:p w:rsidR="00000000" w:rsidRPr="00BA51DE" w:rsidP="00BA51DE">
      <w:pPr>
        <w:pStyle w:val="Heading1"/>
      </w:pPr>
      <w:bookmarkStart w:id="2" w:name="O_146992"/>
      <w:bookmarkEnd w:id="2"/>
      <w:r w:rsidRPr="00BA51DE">
        <w:t>Unit Descriptor</w:t>
      </w:r>
    </w:p>
    <w:tbl>
      <w:tblPr>
        <w:tblW w:w="0" w:type="auto"/>
        <w:tblLayout w:type="fixed"/>
        <w:tblCellMar>
          <w:left w:w="62" w:type="dxa"/>
          <w:right w:w="62" w:type="dxa"/>
        </w:tblCellMar>
        <w:tblLook w:val="0000"/>
      </w:tblPr>
      <w:tblGrid>
        <w:gridCol w:w="2836"/>
        <w:gridCol w:w="6344"/>
      </w:tblGrid>
      <w:tr w:rsidTr="00EC2229">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BA51DE">
            <w:pPr>
              <w:pStyle w:val="BodyText"/>
              <w:rPr>
                <w:lang w:val="en-NZ"/>
              </w:rPr>
            </w:pPr>
            <w:r w:rsidRPr="00BA51DE">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RPr="00BA51DE" w:rsidP="00BA51DE">
            <w:pPr>
              <w:pStyle w:val="BodyText"/>
            </w:pPr>
            <w:r w:rsidRPr="00BA51DE">
              <w:t>This unit describes the performance outcomes, skills and knowledge required to conduct day-to-day gami</w:t>
            </w:r>
            <w:r w:rsidRPr="00BA51DE">
              <w:t>ng machine operations. It covers the operation and maintenance of gaming machines, payouts and security of gaming areas and the provision of advice on all games offered by the enterprise.</w:t>
            </w:r>
          </w:p>
          <w:p w:rsidR="00000000" w:rsidRPr="00BA51DE" w:rsidP="00BA51DE">
            <w:pPr>
              <w:pStyle w:val="BodyText"/>
            </w:pPr>
            <w:r w:rsidRPr="00BA51DE">
              <w:t>The operation of TAA and Keno are found in the units SITHGAM002A Ope</w:t>
            </w:r>
            <w:r w:rsidRPr="00BA51DE">
              <w:t>rate a TAB outlet and SITHGAM003A Conduct a Keno game.</w:t>
            </w:r>
          </w:p>
          <w:p w:rsidR="00000000" w:rsidP="00BA51DE">
            <w:pPr>
              <w:pStyle w:val="BodyText"/>
              <w:rPr>
                <w:lang w:val="en-NZ"/>
              </w:rPr>
            </w:pPr>
            <w:r w:rsidRPr="00BA51DE">
              <w:t>In some States and Territories, responsible conduct of gambling or gaming is a requirement of state and territory legislation. This is addressed in SITHGAM006A Provide responsible gambling services.</w:t>
            </w:r>
          </w:p>
        </w:tc>
      </w:tr>
      <w:tr w:rsidTr="00EC2229">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BA51DE" w:rsidP="00BA51DE">
            <w:pPr>
              <w:pStyle w:val="BodyText"/>
            </w:pPr>
          </w:p>
        </w:tc>
      </w:tr>
    </w:tbl>
    <w:p w:rsidR="00000000" w:rsidRPr="00BA51DE" w:rsidP="00BA51DE">
      <w:pPr>
        <w:pStyle w:val="BodyText"/>
      </w:pPr>
    </w:p>
    <w:p w:rsidR="00000000" w:rsidRPr="00BA51DE" w:rsidP="00BA51DE">
      <w:pPr>
        <w:pStyle w:val="AllowPageBreak"/>
      </w:pPr>
    </w:p>
    <w:p w:rsidR="00000000" w:rsidRPr="00BA51DE" w:rsidP="00BA51DE">
      <w:pPr>
        <w:pStyle w:val="Heading1"/>
      </w:pPr>
      <w:bookmarkStart w:id="3" w:name="O_146993"/>
      <w:bookmarkEnd w:id="3"/>
      <w:r w:rsidRPr="00BA51DE">
        <w:t>Application of the Unit</w:t>
      </w:r>
    </w:p>
    <w:tbl>
      <w:tblPr>
        <w:tblW w:w="0" w:type="auto"/>
        <w:tblLayout w:type="fixed"/>
        <w:tblCellMar>
          <w:left w:w="62" w:type="dxa"/>
          <w:right w:w="62" w:type="dxa"/>
        </w:tblCellMar>
        <w:tblLook w:val="0000"/>
      </w:tblPr>
      <w:tblGrid>
        <w:gridCol w:w="2836"/>
        <w:gridCol w:w="6344"/>
      </w:tblGrid>
      <w:tr w:rsidTr="00EC2229">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BA51DE">
            <w:pPr>
              <w:pStyle w:val="BodyText"/>
              <w:rPr>
                <w:lang w:val="en-NZ"/>
              </w:rPr>
            </w:pPr>
            <w:r w:rsidRPr="00BA51DE">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RPr="00BA51DE" w:rsidP="00BA51DE">
            <w:pPr>
              <w:pStyle w:val="BodyText"/>
            </w:pPr>
            <w:r w:rsidRPr="00BA51DE">
              <w:t>This unit applies to all sectors of the hospitality industry where gaming activities are carried out, including clubs, hotels, pubs and casinos. It applies to all header systems, including</w:t>
            </w:r>
            <w:r w:rsidRPr="00BA51DE">
              <w:t xml:space="preserve"> Tabaret, Tattersall's, electronic data transfer (EDT) and data retrieval and promotion systems, including computer games, Dacom, Turbo-Bonus, player tracking and government monitoring systems.</w:t>
            </w:r>
          </w:p>
          <w:p w:rsidR="00000000" w:rsidP="00BA51DE">
            <w:pPr>
              <w:pStyle w:val="BodyText"/>
              <w:rPr>
                <w:lang w:val="en-NZ"/>
              </w:rPr>
            </w:pPr>
            <w:r w:rsidRPr="00BA51DE">
              <w:t>Persons undertaking these functions would usually work as part</w:t>
            </w:r>
            <w:r w:rsidRPr="00BA51DE">
              <w:t xml:space="preserve"> of a team and operate with significant autonomy. </w:t>
            </w:r>
          </w:p>
        </w:tc>
      </w:tr>
      <w:tr w:rsidTr="00EC2229">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BA51DE" w:rsidP="00BA51DE">
            <w:pPr>
              <w:pStyle w:val="BodyText"/>
            </w:pPr>
          </w:p>
        </w:tc>
      </w:tr>
    </w:tbl>
    <w:p w:rsidR="00000000" w:rsidRPr="00BA51DE" w:rsidP="00BA51DE">
      <w:pPr>
        <w:pStyle w:val="BodyText"/>
      </w:pPr>
    </w:p>
    <w:p w:rsidR="00000000" w:rsidRPr="00BA51DE" w:rsidP="00BA51DE">
      <w:pPr>
        <w:pStyle w:val="AllowPageBreak"/>
      </w:pPr>
    </w:p>
    <w:p w:rsidR="00000000" w:rsidRPr="00BA51DE" w:rsidP="00BA51DE">
      <w:pPr>
        <w:pStyle w:val="Heading1"/>
      </w:pPr>
      <w:bookmarkStart w:id="4" w:name="O_146994"/>
      <w:bookmarkEnd w:id="4"/>
      <w:r w:rsidRPr="00BA51DE">
        <w:t>Licensing/Regulatory Information</w:t>
      </w:r>
    </w:p>
    <w:p w:rsidR="00000000" w:rsidRPr="00BA51DE" w:rsidP="00BA51DE">
      <w:pPr>
        <w:pStyle w:val="BodyText"/>
      </w:pPr>
      <w:r w:rsidRPr="00BA51DE">
        <w:t>Not applicable.</w:t>
      </w:r>
    </w:p>
    <w:p w:rsidR="00000000" w:rsidRPr="00BA51DE" w:rsidP="00BA51DE">
      <w:pPr>
        <w:pStyle w:val="AllowPageBreak"/>
      </w:pPr>
    </w:p>
    <w:p w:rsidR="00000000" w:rsidRPr="00BA51DE" w:rsidP="00BA51DE">
      <w:pPr>
        <w:pStyle w:val="Heading1"/>
      </w:pPr>
      <w:bookmarkStart w:id="5" w:name="O_146995"/>
      <w:bookmarkEnd w:id="5"/>
      <w:r w:rsidRPr="00BA51DE">
        <w:t>Pre-Requisites</w:t>
      </w:r>
    </w:p>
    <w:tbl>
      <w:tblPr>
        <w:tblW w:w="0" w:type="auto"/>
        <w:tblLayout w:type="fixed"/>
        <w:tblCellMar>
          <w:left w:w="62" w:type="dxa"/>
          <w:right w:w="62" w:type="dxa"/>
        </w:tblCellMar>
        <w:tblLook w:val="0000"/>
      </w:tblPr>
      <w:tblGrid>
        <w:gridCol w:w="2836"/>
        <w:gridCol w:w="6344"/>
      </w:tblGrid>
      <w:tr w:rsidTr="00EC2229">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BA51DE">
            <w:pPr>
              <w:pStyle w:val="BodyText"/>
              <w:rPr>
                <w:lang w:val="en-NZ"/>
              </w:rPr>
            </w:pPr>
            <w:r w:rsidRPr="00BA51DE">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RPr="00BA51DE" w:rsidP="00BA51DE">
            <w:pPr>
              <w:pStyle w:val="BodyText"/>
            </w:pPr>
            <w:r w:rsidRPr="00BA51DE">
              <w:t>This unit must be assessed after the following prerequisite unit:</w:t>
            </w:r>
          </w:p>
          <w:p w:rsidR="00000000" w:rsidP="00BA51DE">
            <w:pPr>
              <w:pStyle w:val="BodyText"/>
              <w:rPr>
                <w:lang w:val="en-NZ"/>
              </w:rPr>
            </w:pPr>
            <w:r w:rsidRPr="00BA51DE">
              <w:t>SITXFIN001A Process financial transactions.</w:t>
            </w:r>
          </w:p>
        </w:tc>
      </w:tr>
      <w:tr w:rsidTr="00EC2229">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BA51DE" w:rsidP="00BA51DE">
            <w:pPr>
              <w:pStyle w:val="BodyText"/>
            </w:pPr>
          </w:p>
        </w:tc>
      </w:tr>
    </w:tbl>
    <w:p w:rsidR="00000000" w:rsidRPr="00BA51DE" w:rsidP="00BA51DE">
      <w:pPr>
        <w:pStyle w:val="BodyText"/>
      </w:pPr>
    </w:p>
    <w:p w:rsidR="00000000" w:rsidRPr="00BA51DE" w:rsidP="00BA51DE">
      <w:pPr>
        <w:pStyle w:val="AllowPageBreak"/>
      </w:pPr>
    </w:p>
    <w:p w:rsidR="00000000" w:rsidRPr="00BA51DE" w:rsidP="00BA51DE">
      <w:pPr>
        <w:pStyle w:val="Heading1"/>
      </w:pPr>
      <w:bookmarkStart w:id="6" w:name="O_146996"/>
      <w:bookmarkEnd w:id="6"/>
      <w:r w:rsidRPr="00BA51DE">
        <w:t>Employability Skills Information</w:t>
      </w:r>
    </w:p>
    <w:tbl>
      <w:tblPr>
        <w:tblW w:w="0" w:type="auto"/>
        <w:tblLayout w:type="fixed"/>
        <w:tblCellMar>
          <w:left w:w="62" w:type="dxa"/>
          <w:right w:w="62" w:type="dxa"/>
        </w:tblCellMar>
        <w:tblLook w:val="0000"/>
      </w:tblPr>
      <w:tblGrid>
        <w:gridCol w:w="2836"/>
        <w:gridCol w:w="6344"/>
      </w:tblGrid>
      <w:tr w:rsidTr="00EC2229">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BA51DE">
            <w:pPr>
              <w:pStyle w:val="BodyText"/>
              <w:rPr>
                <w:lang w:val="en-NZ"/>
              </w:rPr>
            </w:pPr>
            <w:r w:rsidRPr="00BA51DE">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BA51DE">
            <w:pPr>
              <w:pStyle w:val="BodyText"/>
              <w:rPr>
                <w:lang w:val="en-NZ"/>
              </w:rPr>
            </w:pPr>
            <w:r w:rsidRPr="00BA51DE">
              <w:t>The required outcomes described in this unit of competency contain applicable facets of employability skills. The Employability Skills S</w:t>
            </w:r>
            <w:r w:rsidRPr="00BA51DE">
              <w:t>ummary of the qualification in which this unit is packaged will assist in identifying employability skills requirements.</w:t>
            </w:r>
          </w:p>
        </w:tc>
      </w:tr>
      <w:tr w:rsidTr="00EC2229">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BA51DE" w:rsidP="00BA51DE">
            <w:pPr>
              <w:pStyle w:val="BodyText"/>
            </w:pPr>
          </w:p>
        </w:tc>
      </w:tr>
    </w:tbl>
    <w:p w:rsidR="00000000" w:rsidRPr="00BA51DE" w:rsidP="00BA51DE">
      <w:pPr>
        <w:pStyle w:val="BodyText"/>
      </w:pPr>
    </w:p>
    <w:p w:rsidR="00000000" w:rsidRPr="00BA51DE" w:rsidP="00BA51DE">
      <w:pPr>
        <w:pStyle w:val="AllowPageBreak"/>
      </w:pPr>
    </w:p>
    <w:p w:rsidR="00000000" w:rsidRPr="00BA51DE" w:rsidP="00BA51DE">
      <w:pPr>
        <w:pStyle w:val="Heading1"/>
      </w:pPr>
      <w:bookmarkStart w:id="7" w:name="O_146997"/>
      <w:bookmarkEnd w:id="7"/>
      <w:r w:rsidRPr="00BA51DE">
        <w:t>Elements and Performance Criteria Pre-Content</w:t>
      </w:r>
    </w:p>
    <w:tbl>
      <w:tblPr>
        <w:tblW w:w="0" w:type="auto"/>
        <w:tblLayout w:type="fixed"/>
        <w:tblCellMar>
          <w:left w:w="62" w:type="dxa"/>
          <w:right w:w="62" w:type="dxa"/>
        </w:tblCellMar>
        <w:tblLook w:val="0000"/>
      </w:tblPr>
      <w:tblGrid>
        <w:gridCol w:w="2836"/>
        <w:gridCol w:w="6344"/>
      </w:tblGrid>
      <w:tr w:rsidTr="00EC2229">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BA51DE">
            <w:pPr>
              <w:pStyle w:val="BodyText"/>
              <w:rPr>
                <w:lang w:val="en-NZ"/>
              </w:rPr>
            </w:pPr>
            <w:r w:rsidRPr="00BA51DE">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BA51DE" w:rsidP="00BA51DE">
            <w:pPr>
              <w:pStyle w:val="BodyText"/>
            </w:pPr>
            <w:r w:rsidRPr="00BA51DE">
              <w:t xml:space="preserve">Performance criteria describe the required performance needed to demonstrate achievement of the element. Where </w:t>
            </w:r>
            <w:r w:rsidRPr="00BA51DE">
              <w:rPr>
                <w:rStyle w:val="BoldandItalics"/>
              </w:rPr>
              <w:t>bold italicised</w:t>
            </w:r>
            <w:r w:rsidRPr="00BA51DE">
              <w:t xml:space="preserve"> text is used, further information is detailed in the required skills and knowledge and/or the range statement. Assessment of perf</w:t>
            </w:r>
            <w:r w:rsidRPr="00BA51DE">
              <w:t>ormance is to be consistent with the evidence guide.</w:t>
            </w:r>
          </w:p>
        </w:tc>
      </w:tr>
    </w:tbl>
    <w:p w:rsidR="00000000" w:rsidRPr="00BA51DE" w:rsidP="00BA51DE">
      <w:pPr>
        <w:pStyle w:val="BodyText"/>
      </w:pPr>
    </w:p>
    <w:p w:rsidR="00000000" w:rsidRPr="00BA51DE" w:rsidP="00BA51DE">
      <w:pPr>
        <w:pStyle w:val="AllowPageBreak"/>
      </w:pPr>
    </w:p>
    <w:p w:rsidR="00000000" w:rsidRPr="00BA51DE" w:rsidP="00BA51DE">
      <w:pPr>
        <w:pStyle w:val="Heading1"/>
      </w:pPr>
      <w:bookmarkStart w:id="8" w:name="O_146998"/>
      <w:bookmarkEnd w:id="8"/>
      <w:r w:rsidRPr="00BA51DE">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EC2229">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BA51DE" w:rsidP="00BA51DE">
            <w:pPr>
              <w:pStyle w:val="List"/>
            </w:pPr>
            <w:r w:rsidRPr="00BA51DE">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BA51DE">
            <w:pPr>
              <w:pStyle w:val="List"/>
              <w:rPr>
                <w:lang w:val="en-NZ"/>
              </w:rPr>
            </w:pPr>
            <w:r w:rsidRPr="00BA51DE">
              <w:rPr>
                <w:rStyle w:val="SpecialBold"/>
              </w:rPr>
              <w:t>PERFORMANCE CRITERIA</w:t>
            </w:r>
          </w:p>
        </w:tc>
      </w:tr>
      <w:tr w:rsidTr="00EC222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BA51DE">
            <w:pPr>
              <w:pStyle w:val="BodyText"/>
              <w:rPr>
                <w:lang w:val="en-NZ"/>
              </w:rPr>
            </w:pPr>
          </w:p>
        </w:tc>
      </w:tr>
      <w:tr w:rsidTr="00EC2229">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BA51DE">
            <w:pPr>
              <w:pStyle w:val="List"/>
              <w:rPr>
                <w:lang w:val="en-NZ"/>
              </w:rPr>
            </w:pPr>
            <w:r w:rsidRPr="00BA51DE">
              <w:t>1</w:t>
            </w:r>
          </w:p>
        </w:tc>
        <w:tc>
          <w:tcPr>
            <w:tcW w:w="2410" w:type="dxa"/>
            <w:vMerge w:val="restart"/>
            <w:tcBorders>
              <w:top w:val="nil"/>
              <w:left w:val="nil"/>
              <w:bottom w:val="nil"/>
              <w:right w:val="nil"/>
            </w:tcBorders>
            <w:tcMar>
              <w:top w:w="0" w:type="dxa"/>
              <w:left w:w="62" w:type="dxa"/>
              <w:bottom w:w="0" w:type="dxa"/>
              <w:right w:w="62" w:type="dxa"/>
            </w:tcMar>
          </w:tcPr>
          <w:p w:rsidR="00000000" w:rsidP="00BA51DE">
            <w:pPr>
              <w:pStyle w:val="List"/>
              <w:rPr>
                <w:lang w:val="en-NZ"/>
              </w:rPr>
            </w:pPr>
            <w:r w:rsidRPr="00BA51DE">
              <w:t>Advise customers on games and gaming activities.</w:t>
            </w:r>
          </w:p>
        </w:tc>
        <w:tc>
          <w:tcPr>
            <w:tcW w:w="567" w:type="dxa"/>
            <w:tcBorders>
              <w:top w:val="nil"/>
              <w:left w:val="nil"/>
              <w:bottom w:val="nil"/>
              <w:right w:val="nil"/>
            </w:tcBorders>
            <w:tcMar>
              <w:top w:w="0" w:type="dxa"/>
              <w:left w:w="62" w:type="dxa"/>
              <w:bottom w:w="0" w:type="dxa"/>
              <w:right w:w="62" w:type="dxa"/>
            </w:tcMar>
          </w:tcPr>
          <w:p w:rsidR="00000000" w:rsidP="00BA51DE">
            <w:pPr>
              <w:pStyle w:val="List"/>
              <w:rPr>
                <w:lang w:val="en-NZ"/>
              </w:rPr>
            </w:pPr>
            <w:r w:rsidRPr="00BA51DE">
              <w:t>1.1</w:t>
            </w:r>
          </w:p>
        </w:tc>
        <w:tc>
          <w:tcPr>
            <w:tcW w:w="5777" w:type="dxa"/>
            <w:tcBorders>
              <w:top w:val="nil"/>
              <w:left w:val="nil"/>
              <w:bottom w:val="nil"/>
              <w:right w:val="nil"/>
            </w:tcBorders>
            <w:tcMar>
              <w:top w:w="0" w:type="dxa"/>
              <w:left w:w="62" w:type="dxa"/>
              <w:bottom w:w="0" w:type="dxa"/>
              <w:right w:w="62" w:type="dxa"/>
            </w:tcMar>
          </w:tcPr>
          <w:p w:rsidR="00000000" w:rsidP="00BA51DE">
            <w:pPr>
              <w:pStyle w:val="List"/>
              <w:rPr>
                <w:lang w:val="en-NZ"/>
              </w:rPr>
            </w:pPr>
            <w:r w:rsidRPr="00BA51DE">
              <w:t xml:space="preserve">According to relevant rules and regulations, advise customers on available </w:t>
            </w:r>
            <w:r w:rsidRPr="00BA51DE">
              <w:rPr>
                <w:rStyle w:val="BoldandItalics"/>
              </w:rPr>
              <w:t>games and gaming activities</w:t>
            </w:r>
            <w:r w:rsidRPr="00BA51DE">
              <w:t>; basic player rules and conditions; odds, win rates and return to player; collection of payments and winnings; and promotions.</w:t>
            </w:r>
          </w:p>
        </w:tc>
      </w:tr>
      <w:tr w:rsidTr="00EC222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BA51DE">
            <w:pPr>
              <w:pStyle w:val="List"/>
              <w:rPr>
                <w:lang w:val="en-NZ"/>
              </w:rPr>
            </w:pPr>
            <w:r w:rsidRPr="00BA51DE">
              <w:t>1.2</w:t>
            </w:r>
          </w:p>
        </w:tc>
        <w:tc>
          <w:tcPr>
            <w:tcW w:w="5777" w:type="dxa"/>
            <w:tcBorders>
              <w:top w:val="nil"/>
              <w:left w:val="nil"/>
              <w:bottom w:val="nil"/>
              <w:right w:val="nil"/>
            </w:tcBorders>
            <w:tcMar>
              <w:top w:w="0" w:type="dxa"/>
              <w:left w:w="62" w:type="dxa"/>
              <w:bottom w:w="0" w:type="dxa"/>
              <w:right w:w="62" w:type="dxa"/>
            </w:tcMar>
          </w:tcPr>
          <w:p w:rsidR="00000000" w:rsidP="00BA51DE">
            <w:pPr>
              <w:pStyle w:val="List"/>
              <w:rPr>
                <w:lang w:val="en-NZ"/>
              </w:rPr>
            </w:pPr>
            <w:r w:rsidRPr="00BA51DE">
              <w:t>Interpret and explain artwork and machine operations correctly and courteously to customers.</w:t>
            </w:r>
          </w:p>
        </w:tc>
      </w:tr>
      <w:tr w:rsidTr="00EC222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BA51DE">
            <w:pPr>
              <w:pStyle w:val="List"/>
              <w:rPr>
                <w:lang w:val="en-NZ"/>
              </w:rPr>
            </w:pPr>
            <w:r w:rsidRPr="00BA51DE">
              <w:t>1.3</w:t>
            </w:r>
          </w:p>
        </w:tc>
        <w:tc>
          <w:tcPr>
            <w:tcW w:w="5777" w:type="dxa"/>
            <w:tcBorders>
              <w:top w:val="nil"/>
              <w:left w:val="nil"/>
              <w:bottom w:val="nil"/>
              <w:right w:val="nil"/>
            </w:tcBorders>
            <w:tcMar>
              <w:top w:w="0" w:type="dxa"/>
              <w:left w:w="62" w:type="dxa"/>
              <w:bottom w:w="0" w:type="dxa"/>
              <w:right w:w="62" w:type="dxa"/>
            </w:tcMar>
          </w:tcPr>
          <w:p w:rsidR="00000000" w:rsidP="00BA51DE">
            <w:pPr>
              <w:pStyle w:val="List"/>
              <w:rPr>
                <w:lang w:val="en-NZ"/>
              </w:rPr>
            </w:pPr>
            <w:r w:rsidRPr="00BA51DE">
              <w:t xml:space="preserve">Display </w:t>
            </w:r>
            <w:r w:rsidRPr="00BA51DE">
              <w:rPr>
                <w:rStyle w:val="BoldandItalics"/>
              </w:rPr>
              <w:t>promotional materials and information</w:t>
            </w:r>
            <w:r w:rsidRPr="00BA51DE">
              <w:t xml:space="preserve"> on gaming activities in suitable locations.</w:t>
            </w:r>
          </w:p>
        </w:tc>
      </w:tr>
      <w:tr w:rsidTr="00EC222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BA51DE">
            <w:pPr>
              <w:pStyle w:val="List"/>
              <w:rPr>
                <w:lang w:val="en-NZ"/>
              </w:rPr>
            </w:pPr>
            <w:r w:rsidRPr="00BA51DE">
              <w:t>1.4</w:t>
            </w:r>
          </w:p>
        </w:tc>
        <w:tc>
          <w:tcPr>
            <w:tcW w:w="5777" w:type="dxa"/>
            <w:tcBorders>
              <w:top w:val="nil"/>
              <w:left w:val="nil"/>
              <w:bottom w:val="nil"/>
              <w:right w:val="nil"/>
            </w:tcBorders>
            <w:tcMar>
              <w:top w:w="0" w:type="dxa"/>
              <w:left w:w="62" w:type="dxa"/>
              <w:bottom w:w="0" w:type="dxa"/>
              <w:right w:w="62" w:type="dxa"/>
            </w:tcMar>
          </w:tcPr>
          <w:p w:rsidR="00000000" w:rsidP="00BA51DE">
            <w:pPr>
              <w:pStyle w:val="List"/>
              <w:rPr>
                <w:lang w:val="en-NZ"/>
              </w:rPr>
            </w:pPr>
            <w:r w:rsidRPr="00BA51DE">
              <w:t>Respond to customer queries, requests and complaints appropriately and courteously.</w:t>
            </w:r>
          </w:p>
        </w:tc>
      </w:tr>
      <w:tr w:rsidTr="00EC222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BA51DE">
            <w:pPr>
              <w:pStyle w:val="List"/>
              <w:rPr>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BA51DE">
            <w:pPr>
              <w:pStyle w:val="BodyText"/>
              <w:rPr>
                <w:lang w:val="en-NZ"/>
              </w:rPr>
            </w:pPr>
          </w:p>
        </w:tc>
      </w:tr>
      <w:tr w:rsidTr="00EC2229">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BA51DE">
            <w:pPr>
              <w:pStyle w:val="List"/>
              <w:rPr>
                <w:lang w:val="en-NZ"/>
              </w:rPr>
            </w:pPr>
            <w:r w:rsidRPr="00BA51DE">
              <w:t>2</w:t>
            </w:r>
          </w:p>
        </w:tc>
        <w:tc>
          <w:tcPr>
            <w:tcW w:w="2410" w:type="dxa"/>
            <w:vMerge w:val="restart"/>
            <w:tcBorders>
              <w:top w:val="nil"/>
              <w:left w:val="nil"/>
              <w:bottom w:val="nil"/>
              <w:right w:val="nil"/>
            </w:tcBorders>
            <w:tcMar>
              <w:top w:w="0" w:type="dxa"/>
              <w:left w:w="62" w:type="dxa"/>
              <w:bottom w:w="0" w:type="dxa"/>
              <w:right w:w="62" w:type="dxa"/>
            </w:tcMar>
          </w:tcPr>
          <w:p w:rsidR="00000000" w:rsidP="00BA51DE">
            <w:pPr>
              <w:pStyle w:val="List"/>
              <w:rPr>
                <w:lang w:val="en-NZ"/>
              </w:rPr>
            </w:pPr>
            <w:r w:rsidRPr="00BA51DE">
              <w:t>Operate and maintain gaming machines.</w:t>
            </w:r>
          </w:p>
        </w:tc>
        <w:tc>
          <w:tcPr>
            <w:tcW w:w="567" w:type="dxa"/>
            <w:tcBorders>
              <w:top w:val="nil"/>
              <w:left w:val="nil"/>
              <w:bottom w:val="nil"/>
              <w:right w:val="nil"/>
            </w:tcBorders>
            <w:tcMar>
              <w:top w:w="0" w:type="dxa"/>
              <w:left w:w="62" w:type="dxa"/>
              <w:bottom w:w="0" w:type="dxa"/>
              <w:right w:w="62" w:type="dxa"/>
            </w:tcMar>
          </w:tcPr>
          <w:p w:rsidR="00000000" w:rsidP="00BA51DE">
            <w:pPr>
              <w:pStyle w:val="List"/>
              <w:rPr>
                <w:lang w:val="en-NZ"/>
              </w:rPr>
            </w:pPr>
            <w:r w:rsidRPr="00BA51DE">
              <w:t>2.1</w:t>
            </w:r>
          </w:p>
        </w:tc>
        <w:tc>
          <w:tcPr>
            <w:tcW w:w="5777" w:type="dxa"/>
            <w:tcBorders>
              <w:top w:val="nil"/>
              <w:left w:val="nil"/>
              <w:bottom w:val="nil"/>
              <w:right w:val="nil"/>
            </w:tcBorders>
            <w:tcMar>
              <w:top w:w="0" w:type="dxa"/>
              <w:left w:w="62" w:type="dxa"/>
              <w:bottom w:w="0" w:type="dxa"/>
              <w:right w:w="62" w:type="dxa"/>
            </w:tcMar>
          </w:tcPr>
          <w:p w:rsidR="00000000" w:rsidP="00BA51DE">
            <w:pPr>
              <w:pStyle w:val="List"/>
              <w:rPr>
                <w:lang w:val="en-NZ"/>
              </w:rPr>
            </w:pPr>
            <w:r w:rsidRPr="00BA51DE">
              <w:t xml:space="preserve">Operate </w:t>
            </w:r>
            <w:r w:rsidRPr="00BA51DE">
              <w:rPr>
                <w:rStyle w:val="BoldandItalics"/>
              </w:rPr>
              <w:t>gaming machines</w:t>
            </w:r>
            <w:r w:rsidRPr="00BA51DE">
              <w:t xml:space="preserve"> correctly according to their design function and enterprise practices.</w:t>
            </w:r>
          </w:p>
        </w:tc>
      </w:tr>
      <w:tr w:rsidTr="00EC222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BA51DE">
            <w:pPr>
              <w:pStyle w:val="List"/>
              <w:rPr>
                <w:lang w:val="en-NZ"/>
              </w:rPr>
            </w:pPr>
            <w:r w:rsidRPr="00BA51DE">
              <w:t>2.2</w:t>
            </w:r>
          </w:p>
        </w:tc>
        <w:tc>
          <w:tcPr>
            <w:tcW w:w="5777" w:type="dxa"/>
            <w:tcBorders>
              <w:top w:val="nil"/>
              <w:left w:val="nil"/>
              <w:bottom w:val="nil"/>
              <w:right w:val="nil"/>
            </w:tcBorders>
            <w:tcMar>
              <w:top w:w="0" w:type="dxa"/>
              <w:left w:w="62" w:type="dxa"/>
              <w:bottom w:w="0" w:type="dxa"/>
              <w:right w:w="62" w:type="dxa"/>
            </w:tcMar>
          </w:tcPr>
          <w:p w:rsidR="00000000" w:rsidP="00BA51DE">
            <w:pPr>
              <w:pStyle w:val="List"/>
              <w:rPr>
                <w:lang w:val="en-NZ"/>
              </w:rPr>
            </w:pPr>
            <w:r w:rsidRPr="00BA51DE">
              <w:t>Clear and refill machines according to industry, enterprise and government regulations.</w:t>
            </w:r>
          </w:p>
        </w:tc>
      </w:tr>
      <w:tr w:rsidTr="00EC222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BA51DE">
            <w:pPr>
              <w:pStyle w:val="List"/>
              <w:rPr>
                <w:lang w:val="en-NZ"/>
              </w:rPr>
            </w:pPr>
            <w:r w:rsidRPr="00BA51DE">
              <w:t>2.3</w:t>
            </w:r>
          </w:p>
        </w:tc>
        <w:tc>
          <w:tcPr>
            <w:tcW w:w="5777" w:type="dxa"/>
            <w:tcBorders>
              <w:top w:val="nil"/>
              <w:left w:val="nil"/>
              <w:bottom w:val="nil"/>
              <w:right w:val="nil"/>
            </w:tcBorders>
            <w:tcMar>
              <w:top w:w="0" w:type="dxa"/>
              <w:left w:w="62" w:type="dxa"/>
              <w:bottom w:w="0" w:type="dxa"/>
              <w:right w:w="62" w:type="dxa"/>
            </w:tcMar>
          </w:tcPr>
          <w:p w:rsidR="00000000" w:rsidP="00BA51DE">
            <w:pPr>
              <w:pStyle w:val="List"/>
              <w:rPr>
                <w:lang w:val="en-NZ"/>
              </w:rPr>
            </w:pPr>
            <w:r w:rsidRPr="00BA51DE">
              <w:t>Identify machine faults promptly and correctly.</w:t>
            </w:r>
          </w:p>
        </w:tc>
      </w:tr>
      <w:tr w:rsidTr="00EC222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BA51DE">
            <w:pPr>
              <w:pStyle w:val="List"/>
              <w:rPr>
                <w:lang w:val="en-NZ"/>
              </w:rPr>
            </w:pPr>
            <w:r w:rsidRPr="00BA51DE">
              <w:t>2.4</w:t>
            </w:r>
          </w:p>
        </w:tc>
        <w:tc>
          <w:tcPr>
            <w:tcW w:w="5777" w:type="dxa"/>
            <w:tcBorders>
              <w:top w:val="nil"/>
              <w:left w:val="nil"/>
              <w:bottom w:val="nil"/>
              <w:right w:val="nil"/>
            </w:tcBorders>
            <w:tcMar>
              <w:top w:w="0" w:type="dxa"/>
              <w:left w:w="62" w:type="dxa"/>
              <w:bottom w:w="0" w:type="dxa"/>
              <w:right w:w="62" w:type="dxa"/>
            </w:tcMar>
          </w:tcPr>
          <w:p w:rsidR="00000000" w:rsidP="00BA51DE">
            <w:pPr>
              <w:pStyle w:val="List"/>
              <w:rPr>
                <w:lang w:val="en-NZ"/>
              </w:rPr>
            </w:pPr>
            <w:r w:rsidRPr="00BA51DE">
              <w:t xml:space="preserve">Make </w:t>
            </w:r>
            <w:r w:rsidRPr="00BA51DE">
              <w:rPr>
                <w:rStyle w:val="BoldandItalics"/>
              </w:rPr>
              <w:t>simple machine repairs</w:t>
            </w:r>
            <w:r w:rsidRPr="00BA51DE">
              <w:t xml:space="preserve"> with minimum disruption to </w:t>
            </w:r>
            <w:r w:rsidRPr="00BA51DE">
              <w:t>players according to manufacturer instructions and to the level authorised by legislation and enterprise practices.</w:t>
            </w:r>
          </w:p>
        </w:tc>
      </w:tr>
      <w:tr w:rsidTr="00EC222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BA51DE">
            <w:pPr>
              <w:pStyle w:val="List"/>
              <w:rPr>
                <w:lang w:val="en-NZ"/>
              </w:rPr>
            </w:pPr>
            <w:r w:rsidRPr="00BA51DE">
              <w:t>2.5</w:t>
            </w:r>
          </w:p>
        </w:tc>
        <w:tc>
          <w:tcPr>
            <w:tcW w:w="5777" w:type="dxa"/>
            <w:tcBorders>
              <w:top w:val="nil"/>
              <w:left w:val="nil"/>
              <w:bottom w:val="nil"/>
              <w:right w:val="nil"/>
            </w:tcBorders>
            <w:tcMar>
              <w:top w:w="0" w:type="dxa"/>
              <w:left w:w="62" w:type="dxa"/>
              <w:bottom w:w="0" w:type="dxa"/>
              <w:right w:w="62" w:type="dxa"/>
            </w:tcMar>
          </w:tcPr>
          <w:p w:rsidR="00000000" w:rsidP="00BA51DE">
            <w:pPr>
              <w:pStyle w:val="List"/>
              <w:rPr>
                <w:lang w:val="en-NZ"/>
              </w:rPr>
            </w:pPr>
            <w:r w:rsidRPr="00BA51DE">
              <w:t>Identify unserviceable machines 'out of order' promptly and report them according to enterprise practices and state and territory leg</w:t>
            </w:r>
            <w:r w:rsidRPr="00BA51DE">
              <w:t>islative requirements.</w:t>
            </w:r>
          </w:p>
        </w:tc>
      </w:tr>
      <w:tr w:rsidTr="00EC222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BA51DE">
            <w:pPr>
              <w:pStyle w:val="List"/>
              <w:rPr>
                <w:lang w:val="en-NZ"/>
              </w:rPr>
            </w:pPr>
            <w:r w:rsidRPr="00BA51DE">
              <w:t>2.6</w:t>
            </w:r>
          </w:p>
        </w:tc>
        <w:tc>
          <w:tcPr>
            <w:tcW w:w="5777" w:type="dxa"/>
            <w:tcBorders>
              <w:top w:val="nil"/>
              <w:left w:val="nil"/>
              <w:bottom w:val="nil"/>
              <w:right w:val="nil"/>
            </w:tcBorders>
            <w:tcMar>
              <w:top w:w="0" w:type="dxa"/>
              <w:left w:w="62" w:type="dxa"/>
              <w:bottom w:w="0" w:type="dxa"/>
              <w:right w:w="62" w:type="dxa"/>
            </w:tcMar>
          </w:tcPr>
          <w:p w:rsidR="00000000" w:rsidP="00BA51DE">
            <w:pPr>
              <w:pStyle w:val="List"/>
              <w:rPr>
                <w:lang w:val="en-NZ"/>
              </w:rPr>
            </w:pPr>
            <w:r w:rsidRPr="00BA51DE">
              <w:t>Observe OHS procedures and practices in operating and maintaining machines.</w:t>
            </w:r>
          </w:p>
        </w:tc>
      </w:tr>
      <w:tr w:rsidTr="00EC222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BA51DE">
            <w:pPr>
              <w:pStyle w:val="BodyText"/>
              <w:rPr>
                <w:lang w:val="en-NZ"/>
              </w:rPr>
            </w:pPr>
          </w:p>
        </w:tc>
      </w:tr>
      <w:tr w:rsidTr="00EC222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BA51DE">
            <w:pPr>
              <w:pStyle w:val="List"/>
              <w:rPr>
                <w:lang w:val="en-NZ"/>
              </w:rPr>
            </w:pPr>
            <w:r w:rsidRPr="00BA51DE">
              <w:t>3</w:t>
            </w:r>
          </w:p>
        </w:tc>
        <w:tc>
          <w:tcPr>
            <w:tcW w:w="2410" w:type="dxa"/>
            <w:tcBorders>
              <w:top w:val="nil"/>
              <w:left w:val="nil"/>
              <w:bottom w:val="nil"/>
              <w:right w:val="nil"/>
            </w:tcBorders>
            <w:tcMar>
              <w:top w:w="0" w:type="dxa"/>
              <w:left w:w="62" w:type="dxa"/>
              <w:bottom w:w="0" w:type="dxa"/>
              <w:right w:w="62" w:type="dxa"/>
            </w:tcMar>
          </w:tcPr>
          <w:p w:rsidR="00000000" w:rsidP="00BA51DE">
            <w:pPr>
              <w:pStyle w:val="List"/>
              <w:rPr>
                <w:lang w:val="en-NZ"/>
              </w:rPr>
            </w:pPr>
            <w:r w:rsidRPr="00BA51DE">
              <w:t>Monitor security of gaming areas.</w:t>
            </w:r>
          </w:p>
        </w:tc>
        <w:tc>
          <w:tcPr>
            <w:tcW w:w="567" w:type="dxa"/>
            <w:tcBorders>
              <w:top w:val="nil"/>
              <w:left w:val="nil"/>
              <w:bottom w:val="nil"/>
              <w:right w:val="nil"/>
            </w:tcBorders>
            <w:tcMar>
              <w:top w:w="0" w:type="dxa"/>
              <w:left w:w="62" w:type="dxa"/>
              <w:bottom w:w="0" w:type="dxa"/>
              <w:right w:w="62" w:type="dxa"/>
            </w:tcMar>
          </w:tcPr>
          <w:p w:rsidR="00000000" w:rsidP="00BA51DE">
            <w:pPr>
              <w:pStyle w:val="List"/>
              <w:rPr>
                <w:lang w:val="en-NZ"/>
              </w:rPr>
            </w:pPr>
            <w:r w:rsidRPr="00BA51DE">
              <w:t>3.1</w:t>
            </w:r>
          </w:p>
        </w:tc>
        <w:tc>
          <w:tcPr>
            <w:tcW w:w="5777" w:type="dxa"/>
            <w:tcBorders>
              <w:top w:val="nil"/>
              <w:left w:val="nil"/>
              <w:bottom w:val="nil"/>
              <w:right w:val="nil"/>
            </w:tcBorders>
            <w:tcMar>
              <w:top w:w="0" w:type="dxa"/>
              <w:left w:w="62" w:type="dxa"/>
              <w:bottom w:w="0" w:type="dxa"/>
              <w:right w:w="62" w:type="dxa"/>
            </w:tcMar>
          </w:tcPr>
          <w:p w:rsidR="00000000" w:rsidP="00BA51DE">
            <w:pPr>
              <w:pStyle w:val="List"/>
              <w:rPr>
                <w:lang w:val="en-NZ"/>
              </w:rPr>
            </w:pPr>
            <w:r w:rsidRPr="00BA51DE">
              <w:t>Observe players and onlookers, note any unusual practices and behaviours accurately, and report as appropriate.</w:t>
            </w:r>
          </w:p>
        </w:tc>
      </w:tr>
      <w:tr w:rsidTr="00EC222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BA51DE">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BA51DE">
            <w:pPr>
              <w:pStyle w:val="List"/>
              <w:rPr>
                <w:lang w:val="en-NZ"/>
              </w:rPr>
            </w:pPr>
            <w:r w:rsidRPr="00BA51DE">
              <w:t>3.2</w:t>
            </w:r>
          </w:p>
        </w:tc>
        <w:tc>
          <w:tcPr>
            <w:tcW w:w="5777" w:type="dxa"/>
            <w:tcBorders>
              <w:top w:val="nil"/>
              <w:left w:val="nil"/>
              <w:bottom w:val="nil"/>
              <w:right w:val="nil"/>
            </w:tcBorders>
            <w:tcMar>
              <w:top w:w="0" w:type="dxa"/>
              <w:left w:w="62" w:type="dxa"/>
              <w:bottom w:w="0" w:type="dxa"/>
              <w:right w:w="62" w:type="dxa"/>
            </w:tcMar>
          </w:tcPr>
          <w:p w:rsidR="00000000" w:rsidP="00BA51DE">
            <w:pPr>
              <w:pStyle w:val="List"/>
              <w:rPr>
                <w:lang w:val="en-NZ"/>
              </w:rPr>
            </w:pPr>
            <w:r w:rsidRPr="00BA51DE">
              <w:t>Carry out machine security checks according to industry and enterprise procedures.</w:t>
            </w:r>
          </w:p>
        </w:tc>
      </w:tr>
      <w:tr w:rsidTr="00EC222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BA51DE">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BA51DE">
            <w:pPr>
              <w:pStyle w:val="List"/>
              <w:rPr>
                <w:lang w:val="en-NZ"/>
              </w:rPr>
            </w:pPr>
            <w:r w:rsidRPr="00BA51DE">
              <w:t>3.3</w:t>
            </w:r>
          </w:p>
        </w:tc>
        <w:tc>
          <w:tcPr>
            <w:tcW w:w="5777" w:type="dxa"/>
            <w:tcBorders>
              <w:top w:val="nil"/>
              <w:left w:val="nil"/>
              <w:bottom w:val="nil"/>
              <w:right w:val="nil"/>
            </w:tcBorders>
            <w:tcMar>
              <w:top w:w="0" w:type="dxa"/>
              <w:left w:w="62" w:type="dxa"/>
              <w:bottom w:w="0" w:type="dxa"/>
              <w:right w:w="62" w:type="dxa"/>
            </w:tcMar>
          </w:tcPr>
          <w:p w:rsidR="00000000" w:rsidP="00BA51DE">
            <w:pPr>
              <w:pStyle w:val="List"/>
              <w:rPr>
                <w:lang w:val="en-NZ"/>
              </w:rPr>
            </w:pPr>
            <w:r w:rsidRPr="00BA51DE">
              <w:t>Identify any breakdowns in security functions o</w:t>
            </w:r>
            <w:r w:rsidRPr="00BA51DE">
              <w:t>r safety and deal with them according to scope of responsibility, enterprise procedures and OHS requirements.</w:t>
            </w:r>
          </w:p>
        </w:tc>
      </w:tr>
      <w:tr w:rsidTr="00EC222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val="restart"/>
            <w:tcBorders>
              <w:top w:val="nil"/>
              <w:left w:val="nil"/>
              <w:bottom w:val="nil"/>
              <w:right w:val="nil"/>
            </w:tcBorders>
            <w:tcMar>
              <w:top w:w="0" w:type="dxa"/>
              <w:left w:w="62" w:type="dxa"/>
              <w:bottom w:w="0" w:type="dxa"/>
              <w:right w:w="62" w:type="dxa"/>
            </w:tcMar>
          </w:tcPr>
          <w:p w:rsidR="00000000" w:rsidP="00BA51DE">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BA51DE">
            <w:pPr>
              <w:pStyle w:val="List"/>
              <w:rPr>
                <w:lang w:val="en-NZ"/>
              </w:rPr>
            </w:pPr>
            <w:r w:rsidRPr="00BA51DE">
              <w:t>3.4</w:t>
            </w:r>
          </w:p>
        </w:tc>
        <w:tc>
          <w:tcPr>
            <w:tcW w:w="5777" w:type="dxa"/>
            <w:tcBorders>
              <w:top w:val="nil"/>
              <w:left w:val="nil"/>
              <w:bottom w:val="nil"/>
              <w:right w:val="nil"/>
            </w:tcBorders>
            <w:tcMar>
              <w:top w:w="0" w:type="dxa"/>
              <w:left w:w="62" w:type="dxa"/>
              <w:bottom w:w="0" w:type="dxa"/>
              <w:right w:w="62" w:type="dxa"/>
            </w:tcMar>
          </w:tcPr>
          <w:p w:rsidR="00000000" w:rsidP="00BA51DE">
            <w:pPr>
              <w:pStyle w:val="List"/>
              <w:rPr>
                <w:lang w:val="en-NZ"/>
              </w:rPr>
            </w:pPr>
            <w:r w:rsidRPr="00BA51DE">
              <w:t>Report breakdowns in security or safety to appropriate persons according to industry and enterprise practices and legislative requirements.</w:t>
            </w:r>
          </w:p>
        </w:tc>
      </w:tr>
      <w:tr w:rsidTr="00EC2229">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BA51DE">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BA51DE">
            <w:pPr>
              <w:pStyle w:val="List"/>
              <w:rPr>
                <w:lang w:val="en-NZ"/>
              </w:rPr>
            </w:pPr>
            <w:r w:rsidRPr="00BA51DE">
              <w:t>3.5</w:t>
            </w:r>
          </w:p>
        </w:tc>
        <w:tc>
          <w:tcPr>
            <w:tcW w:w="5777" w:type="dxa"/>
            <w:tcBorders>
              <w:top w:val="nil"/>
              <w:left w:val="nil"/>
              <w:bottom w:val="nil"/>
              <w:right w:val="nil"/>
            </w:tcBorders>
            <w:tcMar>
              <w:top w:w="0" w:type="dxa"/>
              <w:left w:w="62" w:type="dxa"/>
              <w:bottom w:w="0" w:type="dxa"/>
              <w:right w:w="62" w:type="dxa"/>
            </w:tcMar>
          </w:tcPr>
          <w:p w:rsidR="00000000" w:rsidP="00BA51DE">
            <w:pPr>
              <w:pStyle w:val="List"/>
              <w:rPr>
                <w:lang w:val="en-NZ"/>
              </w:rPr>
            </w:pPr>
            <w:r w:rsidRPr="00BA51DE">
              <w:t>Keep voucher and gaming machine record books and cash box keys secure at all times.</w:t>
            </w:r>
          </w:p>
        </w:tc>
      </w:tr>
      <w:tr w:rsidTr="00EC222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BA51DE">
            <w:pPr>
              <w:pStyle w:val="List"/>
              <w:rPr>
                <w:lang w:val="en-NZ"/>
              </w:rPr>
            </w:pPr>
            <w:r w:rsidRPr="00BA51DE">
              <w:t>3.6</w:t>
            </w:r>
          </w:p>
        </w:tc>
        <w:tc>
          <w:tcPr>
            <w:tcW w:w="5777" w:type="dxa"/>
            <w:tcBorders>
              <w:top w:val="nil"/>
              <w:left w:val="nil"/>
              <w:bottom w:val="nil"/>
              <w:right w:val="nil"/>
            </w:tcBorders>
            <w:tcMar>
              <w:top w:w="0" w:type="dxa"/>
              <w:left w:w="62" w:type="dxa"/>
              <w:bottom w:w="0" w:type="dxa"/>
              <w:right w:w="62" w:type="dxa"/>
            </w:tcMar>
          </w:tcPr>
          <w:p w:rsidR="00000000" w:rsidP="00BA51DE">
            <w:pPr>
              <w:pStyle w:val="List"/>
              <w:rPr>
                <w:lang w:val="en-NZ"/>
              </w:rPr>
            </w:pPr>
            <w:r w:rsidRPr="00BA51DE">
              <w:t>Where appropriate, follow barring procedures according to enterprise policy.</w:t>
            </w:r>
          </w:p>
        </w:tc>
      </w:tr>
      <w:tr w:rsidTr="00EC222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BA51DE">
            <w:pPr>
              <w:pStyle w:val="BodyText"/>
              <w:rPr>
                <w:lang w:val="en-NZ"/>
              </w:rPr>
            </w:pPr>
          </w:p>
        </w:tc>
      </w:tr>
      <w:tr w:rsidTr="00EC2229">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BA51DE">
            <w:pPr>
              <w:pStyle w:val="List"/>
              <w:rPr>
                <w:lang w:val="en-NZ"/>
              </w:rPr>
            </w:pPr>
            <w:r w:rsidRPr="00BA51DE">
              <w:t>4</w:t>
            </w:r>
          </w:p>
        </w:tc>
        <w:tc>
          <w:tcPr>
            <w:tcW w:w="2410" w:type="dxa"/>
            <w:vMerge w:val="restart"/>
            <w:tcBorders>
              <w:top w:val="nil"/>
              <w:left w:val="nil"/>
              <w:bottom w:val="nil"/>
              <w:right w:val="nil"/>
            </w:tcBorders>
            <w:tcMar>
              <w:top w:w="0" w:type="dxa"/>
              <w:left w:w="62" w:type="dxa"/>
              <w:bottom w:w="0" w:type="dxa"/>
              <w:right w:w="62" w:type="dxa"/>
            </w:tcMar>
          </w:tcPr>
          <w:p w:rsidR="00000000" w:rsidP="00BA51DE">
            <w:pPr>
              <w:pStyle w:val="List"/>
              <w:rPr>
                <w:lang w:val="en-NZ"/>
              </w:rPr>
            </w:pPr>
            <w:r w:rsidRPr="00BA51DE">
              <w:t>Make gaming machine payouts.</w:t>
            </w:r>
          </w:p>
        </w:tc>
        <w:tc>
          <w:tcPr>
            <w:tcW w:w="567" w:type="dxa"/>
            <w:tcBorders>
              <w:top w:val="nil"/>
              <w:left w:val="nil"/>
              <w:bottom w:val="nil"/>
              <w:right w:val="nil"/>
            </w:tcBorders>
            <w:tcMar>
              <w:top w:w="0" w:type="dxa"/>
              <w:left w:w="62" w:type="dxa"/>
              <w:bottom w:w="0" w:type="dxa"/>
              <w:right w:w="62" w:type="dxa"/>
            </w:tcMar>
          </w:tcPr>
          <w:p w:rsidR="00000000" w:rsidP="00BA51DE">
            <w:pPr>
              <w:pStyle w:val="List"/>
              <w:rPr>
                <w:lang w:val="en-NZ"/>
              </w:rPr>
            </w:pPr>
            <w:r w:rsidRPr="00BA51DE">
              <w:t>4.1</w:t>
            </w:r>
          </w:p>
        </w:tc>
        <w:tc>
          <w:tcPr>
            <w:tcW w:w="5777" w:type="dxa"/>
            <w:tcBorders>
              <w:top w:val="nil"/>
              <w:left w:val="nil"/>
              <w:bottom w:val="nil"/>
              <w:right w:val="nil"/>
            </w:tcBorders>
            <w:tcMar>
              <w:top w:w="0" w:type="dxa"/>
              <w:left w:w="62" w:type="dxa"/>
              <w:bottom w:w="0" w:type="dxa"/>
              <w:right w:w="62" w:type="dxa"/>
            </w:tcMar>
          </w:tcPr>
          <w:p w:rsidR="00000000" w:rsidP="00BA51DE">
            <w:pPr>
              <w:pStyle w:val="List"/>
              <w:rPr>
                <w:lang w:val="en-NZ"/>
              </w:rPr>
            </w:pPr>
            <w:r w:rsidRPr="00BA51DE">
              <w:t xml:space="preserve">Verify </w:t>
            </w:r>
            <w:r w:rsidRPr="00BA51DE">
              <w:rPr>
                <w:rStyle w:val="BoldandItalics"/>
              </w:rPr>
              <w:t>payout</w:t>
            </w:r>
            <w:r w:rsidRPr="00BA51DE">
              <w:t xml:space="preserve"> claims according to enterprise procedures.</w:t>
            </w:r>
          </w:p>
        </w:tc>
      </w:tr>
      <w:tr w:rsidTr="00EC222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BA51DE">
            <w:pPr>
              <w:pStyle w:val="List"/>
              <w:rPr>
                <w:lang w:val="en-NZ"/>
              </w:rPr>
            </w:pPr>
            <w:r w:rsidRPr="00BA51DE">
              <w:t>4.2</w:t>
            </w:r>
          </w:p>
        </w:tc>
        <w:tc>
          <w:tcPr>
            <w:tcW w:w="5777" w:type="dxa"/>
            <w:tcBorders>
              <w:top w:val="nil"/>
              <w:left w:val="nil"/>
              <w:bottom w:val="nil"/>
              <w:right w:val="nil"/>
            </w:tcBorders>
            <w:tcMar>
              <w:top w:w="0" w:type="dxa"/>
              <w:left w:w="62" w:type="dxa"/>
              <w:bottom w:w="0" w:type="dxa"/>
              <w:right w:w="62" w:type="dxa"/>
            </w:tcMar>
          </w:tcPr>
          <w:p w:rsidR="00000000" w:rsidP="00BA51DE">
            <w:pPr>
              <w:pStyle w:val="List"/>
              <w:rPr>
                <w:lang w:val="en-NZ"/>
              </w:rPr>
            </w:pPr>
            <w:r w:rsidRPr="00BA51DE">
              <w:t>Record payout according to industry and enterprise procedure.</w:t>
            </w:r>
          </w:p>
        </w:tc>
      </w:tr>
      <w:tr w:rsidTr="00EC222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BA51DE">
            <w:pPr>
              <w:pStyle w:val="List"/>
              <w:rPr>
                <w:lang w:val="en-NZ"/>
              </w:rPr>
            </w:pPr>
            <w:r w:rsidRPr="00BA51DE">
              <w:t>4.3</w:t>
            </w:r>
          </w:p>
        </w:tc>
        <w:tc>
          <w:tcPr>
            <w:tcW w:w="5777" w:type="dxa"/>
            <w:tcBorders>
              <w:top w:val="nil"/>
              <w:left w:val="nil"/>
              <w:bottom w:val="nil"/>
              <w:right w:val="nil"/>
            </w:tcBorders>
            <w:tcMar>
              <w:top w:w="0" w:type="dxa"/>
              <w:left w:w="62" w:type="dxa"/>
              <w:bottom w:w="0" w:type="dxa"/>
              <w:right w:w="62" w:type="dxa"/>
            </w:tcMar>
          </w:tcPr>
          <w:p w:rsidR="00000000" w:rsidP="00BA51DE">
            <w:pPr>
              <w:pStyle w:val="List"/>
              <w:rPr>
                <w:lang w:val="en-NZ"/>
              </w:rPr>
            </w:pPr>
            <w:r w:rsidRPr="00BA51DE">
              <w:t xml:space="preserve">Check the identification and age of players where required, according to industry, enterprise and government regulations prior to </w:t>
            </w:r>
            <w:r w:rsidRPr="00BA51DE">
              <w:t>payouts.</w:t>
            </w:r>
          </w:p>
        </w:tc>
      </w:tr>
      <w:tr w:rsidTr="00EC222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BA51DE">
            <w:pPr>
              <w:pStyle w:val="List"/>
              <w:rPr>
                <w:lang w:val="en-NZ"/>
              </w:rPr>
            </w:pPr>
            <w:r w:rsidRPr="00BA51DE">
              <w:t>4.4</w:t>
            </w:r>
          </w:p>
        </w:tc>
        <w:tc>
          <w:tcPr>
            <w:tcW w:w="5777" w:type="dxa"/>
            <w:tcBorders>
              <w:top w:val="nil"/>
              <w:left w:val="nil"/>
              <w:bottom w:val="nil"/>
              <w:right w:val="nil"/>
            </w:tcBorders>
            <w:tcMar>
              <w:top w:w="0" w:type="dxa"/>
              <w:left w:w="62" w:type="dxa"/>
              <w:bottom w:w="0" w:type="dxa"/>
              <w:right w:w="62" w:type="dxa"/>
            </w:tcMar>
          </w:tcPr>
          <w:p w:rsidR="00000000" w:rsidP="00BA51DE">
            <w:pPr>
              <w:pStyle w:val="List"/>
              <w:rPr>
                <w:lang w:val="en-NZ"/>
              </w:rPr>
            </w:pPr>
            <w:r w:rsidRPr="00BA51DE">
              <w:t xml:space="preserve">Identify situations where </w:t>
            </w:r>
            <w:r w:rsidRPr="00BA51DE">
              <w:rPr>
                <w:rStyle w:val="BoldandItalics"/>
              </w:rPr>
              <w:t>payouts should be refused</w:t>
            </w:r>
            <w:r w:rsidRPr="00BA51DE">
              <w:t xml:space="preserve"> and refer them to the appropriate person according to enterprise and government regulations.</w:t>
            </w:r>
          </w:p>
        </w:tc>
      </w:tr>
      <w:tr w:rsidTr="00EC222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BA51DE">
            <w:pPr>
              <w:pStyle w:val="List"/>
              <w:rPr>
                <w:lang w:val="en-NZ"/>
              </w:rPr>
            </w:pPr>
            <w:r w:rsidRPr="00BA51DE">
              <w:t>4.5</w:t>
            </w:r>
          </w:p>
        </w:tc>
        <w:tc>
          <w:tcPr>
            <w:tcW w:w="5777" w:type="dxa"/>
            <w:tcBorders>
              <w:top w:val="nil"/>
              <w:left w:val="nil"/>
              <w:bottom w:val="nil"/>
              <w:right w:val="nil"/>
            </w:tcBorders>
            <w:tcMar>
              <w:top w:w="0" w:type="dxa"/>
              <w:left w:w="62" w:type="dxa"/>
              <w:bottom w:w="0" w:type="dxa"/>
              <w:right w:w="62" w:type="dxa"/>
            </w:tcMar>
          </w:tcPr>
          <w:p w:rsidR="00000000" w:rsidP="00BA51DE">
            <w:pPr>
              <w:pStyle w:val="List"/>
              <w:rPr>
                <w:lang w:val="en-NZ"/>
              </w:rPr>
            </w:pPr>
            <w:r w:rsidRPr="00BA51DE">
              <w:t>Pay winnings to the player and witness them according to enterprise and government re</w:t>
            </w:r>
            <w:r w:rsidRPr="00BA51DE">
              <w:t>gulations.</w:t>
            </w:r>
          </w:p>
        </w:tc>
      </w:tr>
      <w:tr w:rsidTr="00EC222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BA51DE">
            <w:pPr>
              <w:pStyle w:val="List"/>
              <w:rPr>
                <w:lang w:val="en-NZ"/>
              </w:rPr>
            </w:pPr>
            <w:r w:rsidRPr="00BA51DE">
              <w:t>4.6</w:t>
            </w:r>
          </w:p>
        </w:tc>
        <w:tc>
          <w:tcPr>
            <w:tcW w:w="5777" w:type="dxa"/>
            <w:tcBorders>
              <w:top w:val="nil"/>
              <w:left w:val="nil"/>
              <w:bottom w:val="nil"/>
              <w:right w:val="nil"/>
            </w:tcBorders>
            <w:tcMar>
              <w:top w:w="0" w:type="dxa"/>
              <w:left w:w="62" w:type="dxa"/>
              <w:bottom w:w="0" w:type="dxa"/>
              <w:right w:w="62" w:type="dxa"/>
            </w:tcMar>
          </w:tcPr>
          <w:p w:rsidR="00000000" w:rsidP="00BA51DE">
            <w:pPr>
              <w:pStyle w:val="List"/>
              <w:rPr>
                <w:lang w:val="en-NZ"/>
              </w:rPr>
            </w:pPr>
            <w:r w:rsidRPr="00BA51DE">
              <w:t>Validate machines and return them to service promptly where appropriate.</w:t>
            </w:r>
          </w:p>
        </w:tc>
      </w:tr>
      <w:tr w:rsidTr="00EC222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BA51DE">
            <w:pPr>
              <w:pStyle w:val="List"/>
              <w:rPr>
                <w:lang w:val="en-NZ"/>
              </w:rPr>
            </w:pPr>
            <w:r w:rsidRPr="00BA51DE">
              <w:t>4.7</w:t>
            </w:r>
          </w:p>
        </w:tc>
        <w:tc>
          <w:tcPr>
            <w:tcW w:w="5777" w:type="dxa"/>
            <w:tcBorders>
              <w:top w:val="nil"/>
              <w:left w:val="nil"/>
              <w:bottom w:val="nil"/>
              <w:right w:val="nil"/>
            </w:tcBorders>
            <w:tcMar>
              <w:top w:w="0" w:type="dxa"/>
              <w:left w:w="62" w:type="dxa"/>
              <w:bottom w:w="0" w:type="dxa"/>
              <w:right w:w="62" w:type="dxa"/>
            </w:tcMar>
          </w:tcPr>
          <w:p w:rsidR="00000000" w:rsidP="00BA51DE">
            <w:pPr>
              <w:pStyle w:val="List"/>
              <w:rPr>
                <w:lang w:val="en-NZ"/>
              </w:rPr>
            </w:pPr>
            <w:r w:rsidRPr="00BA51DE">
              <w:t>Complete payout summaries or issue payout vouchers and balance them with cash, float and machine readings, according to industry and enterprise procedures.</w:t>
            </w:r>
          </w:p>
        </w:tc>
      </w:tr>
      <w:tr w:rsidTr="00EC222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BA51DE">
            <w:pPr>
              <w:pStyle w:val="List"/>
              <w:rPr>
                <w:lang w:val="en-NZ"/>
              </w:rPr>
            </w:pPr>
            <w:r w:rsidRPr="00BA51DE">
              <w:t>4.8</w:t>
            </w:r>
          </w:p>
        </w:tc>
        <w:tc>
          <w:tcPr>
            <w:tcW w:w="5777" w:type="dxa"/>
            <w:tcBorders>
              <w:top w:val="nil"/>
              <w:left w:val="nil"/>
              <w:bottom w:val="nil"/>
              <w:right w:val="nil"/>
            </w:tcBorders>
            <w:tcMar>
              <w:top w:w="0" w:type="dxa"/>
              <w:left w:w="62" w:type="dxa"/>
              <w:bottom w:w="0" w:type="dxa"/>
              <w:right w:w="62" w:type="dxa"/>
            </w:tcMar>
          </w:tcPr>
          <w:p w:rsidR="00000000" w:rsidP="00BA51DE">
            <w:pPr>
              <w:pStyle w:val="List"/>
              <w:rPr>
                <w:lang w:val="en-NZ"/>
              </w:rPr>
            </w:pPr>
            <w:r w:rsidRPr="00BA51DE">
              <w:t>Resolve payout disputes or refer to supervisor according to enterprise policies and customer service standards.</w:t>
            </w:r>
          </w:p>
        </w:tc>
      </w:tr>
      <w:tr w:rsidTr="00EC222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BA51DE">
            <w:pPr>
              <w:pStyle w:val="BodyText"/>
              <w:rPr>
                <w:lang w:val="en-NZ"/>
              </w:rPr>
            </w:pPr>
          </w:p>
        </w:tc>
      </w:tr>
      <w:tr w:rsidTr="00EC2229">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BA51DE">
            <w:pPr>
              <w:pStyle w:val="List"/>
              <w:rPr>
                <w:lang w:val="en-NZ"/>
              </w:rPr>
            </w:pPr>
            <w:r w:rsidRPr="00BA51DE">
              <w:t>5</w:t>
            </w:r>
          </w:p>
        </w:tc>
        <w:tc>
          <w:tcPr>
            <w:tcW w:w="2410" w:type="dxa"/>
            <w:vMerge w:val="restart"/>
            <w:tcBorders>
              <w:top w:val="nil"/>
              <w:left w:val="nil"/>
              <w:bottom w:val="nil"/>
              <w:right w:val="nil"/>
            </w:tcBorders>
            <w:tcMar>
              <w:top w:w="0" w:type="dxa"/>
              <w:left w:w="62" w:type="dxa"/>
              <w:bottom w:w="0" w:type="dxa"/>
              <w:right w:w="62" w:type="dxa"/>
            </w:tcMar>
          </w:tcPr>
          <w:p w:rsidR="00000000" w:rsidP="00BA51DE">
            <w:pPr>
              <w:pStyle w:val="List"/>
              <w:rPr>
                <w:lang w:val="en-NZ"/>
              </w:rPr>
            </w:pPr>
            <w:r w:rsidRPr="00BA51DE">
              <w:t>Operate and maintain coin dispensing equipment.</w:t>
            </w:r>
          </w:p>
        </w:tc>
        <w:tc>
          <w:tcPr>
            <w:tcW w:w="567" w:type="dxa"/>
            <w:tcBorders>
              <w:top w:val="nil"/>
              <w:left w:val="nil"/>
              <w:bottom w:val="nil"/>
              <w:right w:val="nil"/>
            </w:tcBorders>
            <w:tcMar>
              <w:top w:w="0" w:type="dxa"/>
              <w:left w:w="62" w:type="dxa"/>
              <w:bottom w:w="0" w:type="dxa"/>
              <w:right w:w="62" w:type="dxa"/>
            </w:tcMar>
          </w:tcPr>
          <w:p w:rsidR="00000000" w:rsidP="00BA51DE">
            <w:pPr>
              <w:pStyle w:val="List"/>
              <w:rPr>
                <w:lang w:val="en-NZ"/>
              </w:rPr>
            </w:pPr>
            <w:r w:rsidRPr="00BA51DE">
              <w:t>5.1</w:t>
            </w:r>
          </w:p>
        </w:tc>
        <w:tc>
          <w:tcPr>
            <w:tcW w:w="5777" w:type="dxa"/>
            <w:tcBorders>
              <w:top w:val="nil"/>
              <w:left w:val="nil"/>
              <w:bottom w:val="nil"/>
              <w:right w:val="nil"/>
            </w:tcBorders>
            <w:tcMar>
              <w:top w:w="0" w:type="dxa"/>
              <w:left w:w="62" w:type="dxa"/>
              <w:bottom w:w="0" w:type="dxa"/>
              <w:right w:w="62" w:type="dxa"/>
            </w:tcMar>
          </w:tcPr>
          <w:p w:rsidR="00000000" w:rsidP="00BA51DE">
            <w:pPr>
              <w:pStyle w:val="List"/>
              <w:rPr>
                <w:lang w:val="en-NZ"/>
              </w:rPr>
            </w:pPr>
            <w:r w:rsidRPr="00BA51DE">
              <w:t>Operate coin dispensing equipment according to design function and manufacturer instructions.</w:t>
            </w:r>
          </w:p>
        </w:tc>
      </w:tr>
      <w:tr w:rsidTr="00EC222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BA51DE">
            <w:pPr>
              <w:pStyle w:val="List"/>
              <w:rPr>
                <w:lang w:val="en-NZ"/>
              </w:rPr>
            </w:pPr>
            <w:r w:rsidRPr="00BA51DE">
              <w:t>5.2</w:t>
            </w:r>
          </w:p>
        </w:tc>
        <w:tc>
          <w:tcPr>
            <w:tcW w:w="5777" w:type="dxa"/>
            <w:tcBorders>
              <w:top w:val="nil"/>
              <w:left w:val="nil"/>
              <w:bottom w:val="nil"/>
              <w:right w:val="nil"/>
            </w:tcBorders>
            <w:tcMar>
              <w:top w:w="0" w:type="dxa"/>
              <w:left w:w="62" w:type="dxa"/>
              <w:bottom w:w="0" w:type="dxa"/>
              <w:right w:w="62" w:type="dxa"/>
            </w:tcMar>
          </w:tcPr>
          <w:p w:rsidR="00000000" w:rsidP="00BA51DE">
            <w:pPr>
              <w:pStyle w:val="List"/>
              <w:rPr>
                <w:lang w:val="en-NZ"/>
              </w:rPr>
            </w:pPr>
            <w:r w:rsidRPr="00BA51DE">
              <w:t>Identify equipment faults promptly and correctly, and repair or report them according to individual scope of responsibility.</w:t>
            </w:r>
          </w:p>
        </w:tc>
      </w:tr>
      <w:tr w:rsidTr="00EC222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BA51DE">
            <w:pPr>
              <w:pStyle w:val="List"/>
              <w:rPr>
                <w:lang w:val="en-NZ"/>
              </w:rPr>
            </w:pPr>
            <w:r w:rsidRPr="00BA51DE">
              <w:t>5.3</w:t>
            </w:r>
          </w:p>
        </w:tc>
        <w:tc>
          <w:tcPr>
            <w:tcW w:w="5777" w:type="dxa"/>
            <w:tcBorders>
              <w:top w:val="nil"/>
              <w:left w:val="nil"/>
              <w:bottom w:val="nil"/>
              <w:right w:val="nil"/>
            </w:tcBorders>
            <w:tcMar>
              <w:top w:w="0" w:type="dxa"/>
              <w:left w:w="62" w:type="dxa"/>
              <w:bottom w:w="0" w:type="dxa"/>
              <w:right w:w="62" w:type="dxa"/>
            </w:tcMar>
          </w:tcPr>
          <w:p w:rsidR="00000000" w:rsidP="00BA51DE">
            <w:pPr>
              <w:pStyle w:val="List"/>
              <w:rPr>
                <w:lang w:val="en-NZ"/>
              </w:rPr>
            </w:pPr>
            <w:r w:rsidRPr="00BA51DE">
              <w:t>Dispense coins and receive and weigh them according to industry and enterprise procedures.</w:t>
            </w:r>
          </w:p>
        </w:tc>
      </w:tr>
      <w:tr w:rsidTr="00EC222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BA51DE">
            <w:pPr>
              <w:pStyle w:val="List"/>
              <w:rPr>
                <w:lang w:val="en-NZ"/>
              </w:rPr>
            </w:pPr>
            <w:r w:rsidRPr="00BA51DE">
              <w:t>5.4</w:t>
            </w:r>
          </w:p>
        </w:tc>
        <w:tc>
          <w:tcPr>
            <w:tcW w:w="5777" w:type="dxa"/>
            <w:tcBorders>
              <w:top w:val="nil"/>
              <w:left w:val="nil"/>
              <w:bottom w:val="nil"/>
              <w:right w:val="nil"/>
            </w:tcBorders>
            <w:tcMar>
              <w:top w:w="0" w:type="dxa"/>
              <w:left w:w="62" w:type="dxa"/>
              <w:bottom w:w="0" w:type="dxa"/>
              <w:right w:w="62" w:type="dxa"/>
            </w:tcMar>
          </w:tcPr>
          <w:p w:rsidR="00000000" w:rsidRPr="00BA51DE" w:rsidP="00BA51DE">
            <w:pPr>
              <w:pStyle w:val="List"/>
            </w:pPr>
            <w:r w:rsidRPr="00BA51DE">
              <w:t>Handle cash according to enterprise security procedures.</w:t>
            </w:r>
          </w:p>
        </w:tc>
      </w:tr>
    </w:tbl>
    <w:p w:rsidR="00000000" w:rsidRPr="00BA51DE" w:rsidP="00BA51DE">
      <w:pPr>
        <w:pStyle w:val="BodyText"/>
      </w:pPr>
    </w:p>
    <w:p w:rsidR="00000000" w:rsidRPr="00BA51DE" w:rsidP="00BA51DE">
      <w:pPr>
        <w:pStyle w:val="AllowPageBreak"/>
      </w:pPr>
    </w:p>
    <w:p w:rsidR="00000000" w:rsidRPr="00BA51DE" w:rsidP="00BA51DE">
      <w:pPr>
        <w:pStyle w:val="Heading1"/>
      </w:pPr>
      <w:bookmarkStart w:id="9" w:name="O_146999"/>
      <w:bookmarkEnd w:id="9"/>
      <w:r w:rsidRPr="00BA51DE">
        <w:t>Required Skills and Knowledge</w:t>
      </w:r>
    </w:p>
    <w:tbl>
      <w:tblPr>
        <w:tblW w:w="0" w:type="auto"/>
        <w:tblLayout w:type="fixed"/>
        <w:tblCellMar>
          <w:left w:w="62" w:type="dxa"/>
          <w:right w:w="62" w:type="dxa"/>
        </w:tblCellMar>
        <w:tblLook w:val="0000"/>
      </w:tblPr>
      <w:tblGrid>
        <w:gridCol w:w="9180"/>
      </w:tblGrid>
      <w:tr w:rsidTr="00EC2229">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BA51DE">
            <w:pPr>
              <w:pStyle w:val="BodyText"/>
              <w:rPr>
                <w:lang w:val="en-NZ"/>
              </w:rPr>
            </w:pPr>
            <w:r w:rsidRPr="00BA51DE">
              <w:rPr>
                <w:rStyle w:val="SpecialBold"/>
              </w:rPr>
              <w:t>REQUIRED SKILLS AND KNOWLEDGE</w:t>
            </w:r>
          </w:p>
        </w:tc>
      </w:tr>
      <w:tr w:rsidTr="00EC2229">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BA51DE">
            <w:pPr>
              <w:pStyle w:val="BodyText"/>
              <w:rPr>
                <w:lang w:val="en-NZ"/>
              </w:rPr>
            </w:pPr>
            <w:r w:rsidRPr="00BA51DE">
              <w:t>This section desc</w:t>
            </w:r>
            <w:r w:rsidRPr="00BA51DE">
              <w:t>ribes the essential skills and knowledge and their level, required for this unit.</w:t>
            </w:r>
          </w:p>
        </w:tc>
      </w:tr>
      <w:tr w:rsidTr="00EC2229">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BA51DE">
            <w:pPr>
              <w:pStyle w:val="BodyText"/>
              <w:rPr>
                <w:lang w:val="en-NZ"/>
              </w:rPr>
            </w:pPr>
          </w:p>
        </w:tc>
      </w:tr>
      <w:tr w:rsidTr="00EC2229">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BA51DE" w:rsidP="00BA51DE">
            <w:pPr>
              <w:pStyle w:val="BodyText"/>
            </w:pPr>
            <w:r w:rsidRPr="00BA51DE">
              <w:t>The following skills must be assessed as part of this unit:</w:t>
            </w:r>
          </w:p>
          <w:p w:rsidR="00000000" w:rsidRPr="00BA51DE" w:rsidP="00BA51DE">
            <w:pPr>
              <w:pStyle w:val="ListBullet"/>
            </w:pPr>
            <w:r w:rsidRPr="00BA51DE">
              <w:t xml:space="preserve">basic accounting requirements for balancing cash receipts and payments </w:t>
            </w:r>
          </w:p>
          <w:p w:rsidR="00000000" w:rsidRPr="00BA51DE" w:rsidP="00BA51DE">
            <w:pPr>
              <w:pStyle w:val="ListBullet"/>
            </w:pPr>
            <w:r w:rsidRPr="00BA51DE">
              <w:t>problem-solving skills to resolve payout disputes and suspected security breaches and solve technical problems with machines</w:t>
            </w:r>
          </w:p>
          <w:p w:rsidR="00000000" w:rsidRPr="00BA51DE" w:rsidP="00BA51DE">
            <w:pPr>
              <w:pStyle w:val="ListBullet"/>
            </w:pPr>
            <w:r w:rsidRPr="00BA51DE">
              <w:t>literacy skills to read machine manuals and enterprise policies and procedures</w:t>
            </w:r>
          </w:p>
          <w:p w:rsidR="00000000" w:rsidP="00BA51DE">
            <w:pPr>
              <w:pStyle w:val="ListBullet"/>
              <w:rPr>
                <w:lang w:val="en-NZ"/>
              </w:rPr>
            </w:pPr>
            <w:r w:rsidRPr="00BA51DE">
              <w:t>numeracy skills to provide correct change and payout</w:t>
            </w:r>
            <w:r w:rsidRPr="00BA51DE">
              <w:t>s to customers and balance gaming floats.</w:t>
            </w:r>
          </w:p>
        </w:tc>
      </w:tr>
      <w:tr w:rsidTr="00EC2229">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BA51DE">
            <w:pPr>
              <w:pStyle w:val="BodyText"/>
              <w:rPr>
                <w:lang w:val="en-NZ"/>
              </w:rPr>
            </w:pPr>
          </w:p>
        </w:tc>
      </w:tr>
      <w:tr w:rsidTr="00EC2229">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BA51DE" w:rsidP="00BA51DE">
            <w:pPr>
              <w:pStyle w:val="BodyText"/>
            </w:pPr>
            <w:r w:rsidRPr="00BA51DE">
              <w:t>The following knowledge must be assessed as part of this unit:</w:t>
            </w:r>
          </w:p>
          <w:p w:rsidR="00000000" w:rsidRPr="00BA51DE" w:rsidP="00BA51DE">
            <w:pPr>
              <w:pStyle w:val="ListBullet"/>
            </w:pPr>
            <w:r w:rsidRPr="00BA51DE">
              <w:t>range of gaming activities offered by the enterprise, including:</w:t>
            </w:r>
          </w:p>
          <w:p w:rsidR="00000000" w:rsidRPr="00BA51DE" w:rsidP="00BA51DE">
            <w:pPr>
              <w:pStyle w:val="ListBullet2"/>
            </w:pPr>
            <w:r w:rsidRPr="00BA51DE">
              <w:t>basic player rules and conditions</w:t>
            </w:r>
          </w:p>
          <w:p w:rsidR="00000000" w:rsidRPr="00BA51DE" w:rsidP="00BA51DE">
            <w:pPr>
              <w:pStyle w:val="ListBullet2"/>
            </w:pPr>
            <w:r w:rsidRPr="00BA51DE">
              <w:t>odds, win rates and return to players</w:t>
            </w:r>
          </w:p>
          <w:p w:rsidR="00000000" w:rsidRPr="00BA51DE" w:rsidP="00BA51DE">
            <w:pPr>
              <w:pStyle w:val="ListBullet2"/>
            </w:pPr>
            <w:r w:rsidRPr="00BA51DE">
              <w:t>collection of payments and winnings</w:t>
            </w:r>
          </w:p>
          <w:p w:rsidR="00000000" w:rsidRPr="00BA51DE" w:rsidP="00BA51DE">
            <w:pPr>
              <w:pStyle w:val="ListBullet2"/>
            </w:pPr>
            <w:r w:rsidRPr="00BA51DE">
              <w:t>promotions</w:t>
            </w:r>
          </w:p>
          <w:p w:rsidR="00000000" w:rsidRPr="00BA51DE" w:rsidP="00BA51DE">
            <w:pPr>
              <w:pStyle w:val="ListBullet"/>
            </w:pPr>
            <w:r w:rsidRPr="00BA51DE">
              <w:t>awareness of potential social and economic costs and benefits of gambling and their impact on gaming operations</w:t>
            </w:r>
          </w:p>
          <w:p w:rsidR="00000000" w:rsidRPr="00BA51DE" w:rsidP="00BA51DE">
            <w:pPr>
              <w:pStyle w:val="ListBullet"/>
            </w:pPr>
            <w:r w:rsidRPr="00BA51DE">
              <w:t>basic requirements of relevant state and territory legislation and relevant codes of practice, i</w:t>
            </w:r>
            <w:r w:rsidRPr="00BA51DE">
              <w:t>ncluding:</w:t>
            </w:r>
          </w:p>
          <w:p w:rsidR="00000000" w:rsidRPr="00BA51DE" w:rsidP="00BA51DE">
            <w:pPr>
              <w:pStyle w:val="ListBullet2"/>
            </w:pPr>
            <w:r w:rsidRPr="00BA51DE">
              <w:t xml:space="preserve">general requirement for responsible provision of gambling services </w:t>
            </w:r>
          </w:p>
          <w:p w:rsidR="00000000" w:rsidRPr="00BA51DE" w:rsidP="00BA51DE">
            <w:pPr>
              <w:pStyle w:val="ListBullet2"/>
            </w:pPr>
            <w:r w:rsidRPr="00BA51DE">
              <w:t>general licence requirements</w:t>
            </w:r>
          </w:p>
          <w:p w:rsidR="00000000" w:rsidRPr="00BA51DE" w:rsidP="00BA51DE">
            <w:pPr>
              <w:pStyle w:val="ListBullet2"/>
            </w:pPr>
            <w:r w:rsidRPr="00BA51DE">
              <w:t>licensing requirements for gaming personnel (e.g. managers and employees, machine technicians, service consultants and machine managers, manufacture</w:t>
            </w:r>
            <w:r w:rsidRPr="00BA51DE">
              <w:t>rs and sales personnel)</w:t>
            </w:r>
          </w:p>
          <w:p w:rsidR="00000000" w:rsidRPr="00BA51DE" w:rsidP="00BA51DE">
            <w:pPr>
              <w:pStyle w:val="ListBullet2"/>
            </w:pPr>
            <w:r w:rsidRPr="00BA51DE">
              <w:t>penalties for non-compliance</w:t>
            </w:r>
          </w:p>
          <w:p w:rsidR="00000000" w:rsidRPr="00BA51DE" w:rsidP="00BA51DE">
            <w:pPr>
              <w:pStyle w:val="ListBullet"/>
            </w:pPr>
            <w:r w:rsidRPr="00BA51DE">
              <w:t>types, parts and basic functions of gaming machines, including:</w:t>
            </w:r>
          </w:p>
          <w:p w:rsidR="00000000" w:rsidRPr="00BA51DE" w:rsidP="00BA51DE">
            <w:pPr>
              <w:pStyle w:val="ListBullet2"/>
            </w:pPr>
            <w:r w:rsidRPr="00BA51DE">
              <w:t>credit and currency systems</w:t>
            </w:r>
          </w:p>
          <w:p w:rsidR="00000000" w:rsidRPr="00BA51DE" w:rsidP="00BA51DE">
            <w:pPr>
              <w:pStyle w:val="ListBullet2"/>
            </w:pPr>
            <w:r w:rsidRPr="00BA51DE">
              <w:t>software, menus and display screens and associated functions</w:t>
            </w:r>
          </w:p>
          <w:p w:rsidR="00000000" w:rsidRPr="00BA51DE" w:rsidP="00BA51DE">
            <w:pPr>
              <w:pStyle w:val="ListBullet2"/>
            </w:pPr>
            <w:r w:rsidRPr="00BA51DE">
              <w:t>terminology used</w:t>
            </w:r>
          </w:p>
          <w:p w:rsidR="00000000" w:rsidRPr="00BA51DE" w:rsidP="00BA51DE">
            <w:pPr>
              <w:pStyle w:val="ListBullet2"/>
            </w:pPr>
            <w:r w:rsidRPr="00BA51DE">
              <w:t>data retrieval systems</w:t>
            </w:r>
          </w:p>
          <w:p w:rsidR="00000000" w:rsidRPr="00BA51DE" w:rsidP="00BA51DE">
            <w:pPr>
              <w:pStyle w:val="ListBullet"/>
            </w:pPr>
            <w:r w:rsidRPr="00BA51DE">
              <w:t>enterprise security and safety procedures for gaming machines.</w:t>
            </w:r>
          </w:p>
        </w:tc>
      </w:tr>
    </w:tbl>
    <w:p w:rsidR="00EC2229" w:rsidP="00BA51DE">
      <w:pPr>
        <w:pStyle w:val="BodyText"/>
      </w:pPr>
    </w:p>
    <w:p w:rsidR="00EC2229" w:rsidP="00BA51DE">
      <w:pPr>
        <w:pStyle w:val="BodyText"/>
      </w:pPr>
    </w:p>
    <w:p w:rsidR="00000000" w:rsidRPr="00BA51DE" w:rsidP="00BA51DE">
      <w:pPr>
        <w:pStyle w:val="Heading1"/>
      </w:pPr>
      <w:bookmarkStart w:id="10" w:name="O_147000"/>
      <w:bookmarkEnd w:id="10"/>
      <w:r w:rsidRPr="00BA51DE">
        <w:t>Evidence Guide</w:t>
      </w:r>
    </w:p>
    <w:tbl>
      <w:tblPr>
        <w:tblW w:w="0" w:type="auto"/>
        <w:tblLayout w:type="fixed"/>
        <w:tblCellMar>
          <w:left w:w="62" w:type="dxa"/>
          <w:right w:w="62" w:type="dxa"/>
        </w:tblCellMar>
        <w:tblLook w:val="0000"/>
      </w:tblPr>
      <w:tblGrid>
        <w:gridCol w:w="3345"/>
        <w:gridCol w:w="5835"/>
      </w:tblGrid>
      <w:tr w:rsidTr="00EC2229">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BA51DE">
            <w:pPr>
              <w:pStyle w:val="BodyText"/>
              <w:rPr>
                <w:lang w:val="en-NZ"/>
              </w:rPr>
            </w:pPr>
            <w:r w:rsidRPr="00BA51DE">
              <w:rPr>
                <w:rStyle w:val="SpecialBold"/>
              </w:rPr>
              <w:t>EVIDENCE GUIDE</w:t>
            </w:r>
          </w:p>
        </w:tc>
      </w:tr>
      <w:tr w:rsidTr="00EC2229">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BA51DE">
            <w:pPr>
              <w:pStyle w:val="BodyText"/>
              <w:rPr>
                <w:lang w:val="en-NZ"/>
              </w:rPr>
            </w:pPr>
            <w:r w:rsidRPr="00BA51DE">
              <w:t>The evidence guide provides advice on assessment and must be read in conjunction with the performance criteria, required skills and knowledge, the range statement and the Assessment Guidelines for this Training Package.</w:t>
            </w:r>
          </w:p>
        </w:tc>
      </w:tr>
      <w:tr w:rsidTr="00EC222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BA51DE">
            <w:pPr>
              <w:pStyle w:val="BodyText"/>
              <w:rPr>
                <w:lang w:val="en-NZ"/>
              </w:rPr>
            </w:pPr>
          </w:p>
        </w:tc>
      </w:tr>
      <w:tr w:rsidTr="00EC222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A51DE">
            <w:pPr>
              <w:pStyle w:val="BodyText"/>
              <w:rPr>
                <w:lang w:val="en-NZ"/>
              </w:rPr>
            </w:pPr>
            <w:r w:rsidRPr="00BA51DE">
              <w:rPr>
                <w:rStyle w:val="SpecialBold"/>
              </w:rPr>
              <w:t>Critical aspects for assessment and evidence required to demonstrate competency</w:t>
            </w:r>
          </w:p>
        </w:tc>
        <w:tc>
          <w:tcPr>
            <w:tcW w:w="5835" w:type="dxa"/>
            <w:tcBorders>
              <w:top w:val="nil"/>
              <w:left w:val="nil"/>
              <w:bottom w:val="nil"/>
              <w:right w:val="nil"/>
            </w:tcBorders>
            <w:tcMar>
              <w:top w:w="0" w:type="dxa"/>
              <w:left w:w="62" w:type="dxa"/>
              <w:bottom w:w="0" w:type="dxa"/>
              <w:right w:w="62" w:type="dxa"/>
            </w:tcMar>
          </w:tcPr>
          <w:p w:rsidR="00000000" w:rsidRPr="00BA51DE" w:rsidP="00BA51DE">
            <w:pPr>
              <w:pStyle w:val="BodyText"/>
            </w:pPr>
            <w:r w:rsidRPr="00BA51DE">
              <w:t>Evidence of the following is essential:</w:t>
            </w:r>
          </w:p>
          <w:p w:rsidR="00000000" w:rsidRPr="00BA51DE" w:rsidP="00BA51DE">
            <w:pPr>
              <w:pStyle w:val="ListBullet"/>
            </w:pPr>
            <w:r w:rsidRPr="00BA51DE">
              <w:t>ability to use technical skills to operate gaming machines and provide effective customer service and advice</w:t>
            </w:r>
          </w:p>
          <w:p w:rsidR="00000000" w:rsidRPr="00BA51DE" w:rsidP="00BA51DE">
            <w:pPr>
              <w:pStyle w:val="ListBullet"/>
            </w:pPr>
            <w:r w:rsidRPr="00BA51DE">
              <w:t>awareness of security issu</w:t>
            </w:r>
            <w:r w:rsidRPr="00BA51DE">
              <w:t>es and compliance with security procedures in gaming operations</w:t>
            </w:r>
          </w:p>
          <w:p w:rsidR="00000000" w:rsidRPr="00BA51DE" w:rsidP="00BA51DE">
            <w:pPr>
              <w:pStyle w:val="ListBullet"/>
            </w:pPr>
            <w:r w:rsidRPr="00BA51DE">
              <w:t>compliance with responsible gaming legislation or requirements</w:t>
            </w:r>
          </w:p>
          <w:p w:rsidR="00000000" w:rsidP="00BA51DE">
            <w:pPr>
              <w:pStyle w:val="ListBullet"/>
              <w:rPr>
                <w:lang w:val="en-NZ"/>
              </w:rPr>
            </w:pPr>
            <w:r w:rsidRPr="00BA51DE">
              <w:t>ability to apply terminology and knowledge of software and hardware correctly to gambling operations.</w:t>
            </w:r>
          </w:p>
        </w:tc>
      </w:tr>
      <w:tr w:rsidTr="00EC222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BA51DE">
            <w:pPr>
              <w:pStyle w:val="BodyText"/>
              <w:rPr>
                <w:lang w:val="en-NZ"/>
              </w:rPr>
            </w:pPr>
          </w:p>
        </w:tc>
      </w:tr>
      <w:tr w:rsidTr="00EC222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A51DE">
            <w:pPr>
              <w:pStyle w:val="BodyText"/>
              <w:rPr>
                <w:lang w:val="en-NZ"/>
              </w:rPr>
            </w:pPr>
            <w:r w:rsidRPr="00BA51DE">
              <w:rPr>
                <w:rStyle w:val="SpecialBold"/>
              </w:rPr>
              <w:t>Context of and specific</w:t>
            </w:r>
            <w:r w:rsidRPr="00BA51DE">
              <w:rPr>
                <w:rStyle w:val="SpecialBold"/>
              </w:rPr>
              <w:t xml:space="preserve"> resources for assessment</w:t>
            </w:r>
            <w:r w:rsidRPr="00BA51DE">
              <w:t xml:space="preserve"> </w:t>
            </w:r>
          </w:p>
        </w:tc>
        <w:tc>
          <w:tcPr>
            <w:tcW w:w="5835" w:type="dxa"/>
            <w:tcBorders>
              <w:top w:val="nil"/>
              <w:left w:val="nil"/>
              <w:bottom w:val="nil"/>
              <w:right w:val="nil"/>
            </w:tcBorders>
            <w:tcMar>
              <w:top w:w="0" w:type="dxa"/>
              <w:left w:w="62" w:type="dxa"/>
              <w:bottom w:w="0" w:type="dxa"/>
              <w:right w:w="62" w:type="dxa"/>
            </w:tcMar>
          </w:tcPr>
          <w:p w:rsidR="00000000" w:rsidRPr="00BA51DE" w:rsidP="00BA51DE">
            <w:pPr>
              <w:pStyle w:val="BodyText"/>
            </w:pPr>
            <w:r w:rsidRPr="00BA51DE">
              <w:t>Assessment must ensure:</w:t>
            </w:r>
          </w:p>
          <w:p w:rsidR="00000000" w:rsidRPr="00BA51DE" w:rsidP="00BA51DE">
            <w:pPr>
              <w:pStyle w:val="ListBullet"/>
            </w:pPr>
            <w:r w:rsidRPr="00BA51DE">
              <w:t>demonstration of skills within a fully equipped gaming venue, including:</w:t>
            </w:r>
          </w:p>
          <w:p w:rsidR="00000000" w:rsidRPr="00BA51DE" w:rsidP="00BA51DE">
            <w:pPr>
              <w:pStyle w:val="ListBullet2"/>
            </w:pPr>
            <w:r w:rsidRPr="00BA51DE">
              <w:t>gaming machines, which may include poker machines, approved amusement devices, slot machines, multi-terminal gaming machines, prog</w:t>
            </w:r>
            <w:r w:rsidRPr="00BA51DE">
              <w:t>ressive or stand-alone machines, stand-alone games, linked machines and linked progressive jackpot systems</w:t>
            </w:r>
          </w:p>
          <w:p w:rsidR="00000000" w:rsidRPr="00BA51DE" w:rsidP="00BA51DE">
            <w:pPr>
              <w:pStyle w:val="ListBullet2"/>
            </w:pPr>
            <w:r w:rsidRPr="00BA51DE">
              <w:t>applicable header systems</w:t>
            </w:r>
          </w:p>
          <w:p w:rsidR="00000000" w:rsidRPr="00BA51DE" w:rsidP="00BA51DE">
            <w:pPr>
              <w:pStyle w:val="ListBullet2"/>
            </w:pPr>
            <w:r w:rsidRPr="00BA51DE">
              <w:t>replacement parts, maintenance tools and cleaning materials</w:t>
            </w:r>
          </w:p>
          <w:p w:rsidR="00000000" w:rsidRPr="00BA51DE" w:rsidP="00BA51DE">
            <w:pPr>
              <w:pStyle w:val="ListBullet2"/>
            </w:pPr>
            <w:r w:rsidRPr="00BA51DE">
              <w:t>coin dispensing equipment, and cash and coin buckets</w:t>
            </w:r>
          </w:p>
          <w:p w:rsidR="00000000" w:rsidRPr="00BA51DE" w:rsidP="00BA51DE">
            <w:pPr>
              <w:pStyle w:val="ListBullet2"/>
            </w:pPr>
            <w:r w:rsidRPr="00BA51DE">
              <w:t xml:space="preserve">cash distribution facility </w:t>
            </w:r>
          </w:p>
          <w:p w:rsidR="00000000" w:rsidRPr="00BA51DE" w:rsidP="00BA51DE">
            <w:pPr>
              <w:pStyle w:val="ListBullet"/>
            </w:pPr>
            <w:r w:rsidRPr="00BA51DE">
              <w:t>interaction with others to allow opportunities to respond to different customer service requirements and issues</w:t>
            </w:r>
          </w:p>
          <w:p w:rsidR="00000000" w:rsidP="00BA51DE">
            <w:pPr>
              <w:pStyle w:val="ListBullet"/>
              <w:rPr>
                <w:lang w:val="en-NZ"/>
              </w:rPr>
            </w:pPr>
            <w:r w:rsidRPr="00BA51DE">
              <w:t>integration and management of multiple transactions and activities, including typical customer and equipment proble</w:t>
            </w:r>
            <w:r w:rsidRPr="00BA51DE">
              <w:t>ms.</w:t>
            </w:r>
          </w:p>
        </w:tc>
      </w:tr>
      <w:tr w:rsidTr="00EC222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BA51DE">
            <w:pPr>
              <w:pStyle w:val="BodyText"/>
              <w:rPr>
                <w:lang w:val="en-NZ"/>
              </w:rPr>
            </w:pPr>
          </w:p>
        </w:tc>
      </w:tr>
      <w:tr w:rsidTr="00EC222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A51DE">
            <w:pPr>
              <w:pStyle w:val="BodyText"/>
              <w:rPr>
                <w:lang w:val="en-NZ"/>
              </w:rPr>
            </w:pPr>
            <w:r w:rsidRPr="00BA51DE">
              <w:rPr>
                <w:rStyle w:val="SpecialBold"/>
              </w:rPr>
              <w:t>Methods of assessment</w:t>
            </w:r>
            <w:r w:rsidRPr="00BA51DE">
              <w:t xml:space="preserve"> </w:t>
            </w:r>
          </w:p>
        </w:tc>
        <w:tc>
          <w:tcPr>
            <w:tcW w:w="5835" w:type="dxa"/>
            <w:tcBorders>
              <w:top w:val="nil"/>
              <w:left w:val="nil"/>
              <w:bottom w:val="nil"/>
              <w:right w:val="nil"/>
            </w:tcBorders>
            <w:tcMar>
              <w:top w:w="0" w:type="dxa"/>
              <w:left w:w="62" w:type="dxa"/>
              <w:bottom w:w="0" w:type="dxa"/>
              <w:right w:w="62" w:type="dxa"/>
            </w:tcMar>
          </w:tcPr>
          <w:p w:rsidR="00000000" w:rsidRPr="00BA51DE" w:rsidP="00BA51DE">
            <w:pPr>
              <w:pStyle w:val="BodyText"/>
            </w:pPr>
            <w:r w:rsidRPr="00BA51DE">
              <w:t xml:space="preserve">A range of assessment methods should be used to assess practical skills and knowledge. The following examples are appropriate for this unit: </w:t>
            </w:r>
          </w:p>
          <w:p w:rsidR="00000000" w:rsidRPr="00BA51DE" w:rsidP="00BA51DE">
            <w:pPr>
              <w:pStyle w:val="ListBullet"/>
            </w:pPr>
            <w:r w:rsidRPr="00BA51DE">
              <w:t>direct observation of the candidate completing customer payouts, dealing with minor technical problems in gaming and coin dispensing machines and undertaking general gaming machine maintenance</w:t>
            </w:r>
          </w:p>
          <w:p w:rsidR="00000000" w:rsidRPr="00BA51DE" w:rsidP="00BA51DE">
            <w:pPr>
              <w:pStyle w:val="ListBullet"/>
            </w:pPr>
            <w:r w:rsidRPr="00BA51DE">
              <w:t>oral or written questions to assess knowledge of gaming legisla</w:t>
            </w:r>
            <w:r w:rsidRPr="00BA51DE">
              <w:t>tion, codes of practices and enterprise procedures</w:t>
            </w:r>
          </w:p>
          <w:p w:rsidR="00000000" w:rsidRPr="00BA51DE" w:rsidP="00BA51DE">
            <w:pPr>
              <w:pStyle w:val="ListBullet"/>
            </w:pPr>
            <w:r w:rsidRPr="00BA51DE">
              <w:t>case studies or role-plays to demonstrate handling of payouts, illegal credits and security issues</w:t>
            </w:r>
          </w:p>
          <w:p w:rsidR="00000000" w:rsidRPr="00BA51DE" w:rsidP="00BA51DE">
            <w:pPr>
              <w:pStyle w:val="ListBullet"/>
            </w:pPr>
            <w:r w:rsidRPr="00BA51DE">
              <w:t>review of portfolios of evidence and third-party workplace reports of on-the-job performance by the candid</w:t>
            </w:r>
            <w:r w:rsidRPr="00BA51DE">
              <w:t>ate.</w:t>
            </w:r>
          </w:p>
          <w:p w:rsidR="00000000" w:rsidRPr="00BA51DE" w:rsidP="00BA51DE">
            <w:pPr>
              <w:pStyle w:val="BodyText"/>
            </w:pPr>
            <w:r w:rsidRPr="00BA51DE">
              <w:t>Holistic assessment with other units relevant to the industry sector, workplace and job role is recommended, for example:</w:t>
            </w:r>
          </w:p>
          <w:p w:rsidR="00000000" w:rsidP="00BA51DE">
            <w:pPr>
              <w:pStyle w:val="BodyText"/>
              <w:rPr>
                <w:lang w:val="en-NZ"/>
              </w:rPr>
            </w:pPr>
            <w:r w:rsidRPr="00BA51DE">
              <w:t>SITHGAM006A Provide responsible gambling services.</w:t>
            </w:r>
          </w:p>
        </w:tc>
      </w:tr>
      <w:tr w:rsidTr="00EC222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BA51DE">
            <w:pPr>
              <w:pStyle w:val="BodyText"/>
              <w:rPr>
                <w:lang w:val="en-NZ"/>
              </w:rPr>
            </w:pPr>
          </w:p>
        </w:tc>
      </w:tr>
      <w:tr w:rsidTr="00EC222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A51DE">
            <w:pPr>
              <w:pStyle w:val="BodyText"/>
              <w:rPr>
                <w:lang w:val="en-NZ"/>
              </w:rPr>
            </w:pPr>
            <w:r w:rsidRPr="00BA51DE">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BA51DE" w:rsidP="00BA51DE">
            <w:pPr>
              <w:pStyle w:val="BodyText"/>
            </w:pPr>
            <w:r w:rsidRPr="00BA51DE">
              <w:t>Employability skills are integral to effective performance in the workplace and are broadly consistent across industry sectors. How these skills are applied varies between occupations and qualifications due to the different work functions and contexts.</w:t>
            </w:r>
          </w:p>
          <w:p w:rsidR="00000000" w:rsidRPr="00BA51DE" w:rsidP="00BA51DE">
            <w:pPr>
              <w:pStyle w:val="BodyText"/>
            </w:pPr>
            <w:r w:rsidRPr="00BA51DE">
              <w:t>Emp</w:t>
            </w:r>
            <w:r w:rsidRPr="00BA51DE">
              <w:t>loyability skills embedded in this unit should be assessed holistically with other relevant units that make up the skill set or qualification and in the context of the job role.</w:t>
            </w:r>
          </w:p>
        </w:tc>
      </w:tr>
    </w:tbl>
    <w:p w:rsidR="00EC2229" w:rsidP="00BA51DE">
      <w:pPr>
        <w:pStyle w:val="BodyText"/>
      </w:pPr>
    </w:p>
    <w:p w:rsidR="00EC2229" w:rsidP="00BA51DE">
      <w:pPr>
        <w:pStyle w:val="BodyText"/>
      </w:pPr>
    </w:p>
    <w:p w:rsidR="00000000" w:rsidRPr="00BA51DE" w:rsidP="00BA51DE">
      <w:pPr>
        <w:pStyle w:val="Heading1"/>
      </w:pPr>
      <w:bookmarkStart w:id="11" w:name="O_147001"/>
      <w:bookmarkEnd w:id="11"/>
      <w:r w:rsidRPr="00BA51DE">
        <w:t>Range Statement</w:t>
      </w:r>
    </w:p>
    <w:tbl>
      <w:tblPr>
        <w:tblW w:w="0" w:type="auto"/>
        <w:tblLayout w:type="fixed"/>
        <w:tblCellMar>
          <w:left w:w="62" w:type="dxa"/>
          <w:right w:w="62" w:type="dxa"/>
        </w:tblCellMar>
        <w:tblLook w:val="0000"/>
      </w:tblPr>
      <w:tblGrid>
        <w:gridCol w:w="3345"/>
        <w:gridCol w:w="5835"/>
      </w:tblGrid>
      <w:tr w:rsidTr="00EC2229">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BA51DE">
            <w:pPr>
              <w:pStyle w:val="BodyText"/>
              <w:rPr>
                <w:lang w:val="en-NZ"/>
              </w:rPr>
            </w:pPr>
            <w:r w:rsidRPr="00BA51DE">
              <w:rPr>
                <w:rStyle w:val="SpecialBold"/>
              </w:rPr>
              <w:t>RANGE STATEMENT</w:t>
            </w:r>
          </w:p>
        </w:tc>
      </w:tr>
      <w:tr w:rsidTr="00EC2229">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BA51DE">
            <w:pPr>
              <w:pStyle w:val="BodyText"/>
              <w:rPr>
                <w:lang w:val="en-NZ"/>
              </w:rPr>
            </w:pPr>
            <w:r w:rsidRPr="00BA51DE">
              <w:t>The range statement relates to the unit of competency as a whole. It allows for different work environments and situations that may affect performance. Bold italicised wording in the performance criteria is detailed below.</w:t>
            </w:r>
          </w:p>
        </w:tc>
      </w:tr>
      <w:tr w:rsidTr="00EC2229">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BA51DE">
            <w:pPr>
              <w:pStyle w:val="BodyText"/>
              <w:rPr>
                <w:lang w:val="en-NZ"/>
              </w:rPr>
            </w:pPr>
          </w:p>
        </w:tc>
      </w:tr>
      <w:tr w:rsidTr="00EC222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A51DE">
            <w:pPr>
              <w:pStyle w:val="BodyText"/>
              <w:rPr>
                <w:lang w:val="en-NZ"/>
              </w:rPr>
            </w:pPr>
            <w:r w:rsidRPr="00BA51DE">
              <w:rPr>
                <w:rStyle w:val="BoldandItalics"/>
              </w:rPr>
              <w:t>Games and gaming activities</w:t>
            </w:r>
            <w:r w:rsidRPr="00BA51DE">
              <w:t xml:space="preserve"> for which </w:t>
            </w:r>
            <w:r w:rsidRPr="00BA51DE">
              <w:rPr>
                <w:rStyle w:val="BoldandItalics"/>
              </w:rPr>
              <w:t>advice is given</w:t>
            </w:r>
            <w:r w:rsidRPr="00BA51DE">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BA51DE" w:rsidP="00BA51DE">
            <w:pPr>
              <w:pStyle w:val="ListBullet"/>
            </w:pPr>
            <w:r w:rsidRPr="00BA51DE">
              <w:t>gaming machines</w:t>
            </w:r>
          </w:p>
          <w:p w:rsidR="00000000" w:rsidRPr="00BA51DE" w:rsidP="00BA51DE">
            <w:pPr>
              <w:pStyle w:val="ListBullet"/>
            </w:pPr>
            <w:r w:rsidRPr="00BA51DE">
              <w:t>Totalisator Agency Board (TAB)</w:t>
            </w:r>
          </w:p>
          <w:p w:rsidR="00000000" w:rsidRPr="00BA51DE" w:rsidP="00BA51DE">
            <w:pPr>
              <w:pStyle w:val="ListBullet"/>
            </w:pPr>
            <w:r w:rsidRPr="00BA51DE">
              <w:t>Keno</w:t>
            </w:r>
          </w:p>
          <w:p w:rsidR="00000000" w:rsidRPr="00BA51DE" w:rsidP="00BA51DE">
            <w:pPr>
              <w:pStyle w:val="ListBullet"/>
            </w:pPr>
            <w:r w:rsidRPr="00BA51DE">
              <w:t>bingo</w:t>
            </w:r>
          </w:p>
          <w:p w:rsidR="00000000" w:rsidRPr="00BA51DE" w:rsidP="00BA51DE">
            <w:pPr>
              <w:pStyle w:val="ListBullet"/>
            </w:pPr>
            <w:r w:rsidRPr="00BA51DE">
              <w:t>calcuttas and sweepstakes</w:t>
            </w:r>
          </w:p>
          <w:p w:rsidR="00000000" w:rsidRPr="00BA51DE" w:rsidP="00BA51DE">
            <w:pPr>
              <w:pStyle w:val="ListBullet"/>
            </w:pPr>
            <w:r w:rsidRPr="00BA51DE">
              <w:t>lotteries</w:t>
            </w:r>
          </w:p>
          <w:p w:rsidR="00000000" w:rsidRPr="00BA51DE" w:rsidP="00BA51DE">
            <w:pPr>
              <w:pStyle w:val="ListBullet"/>
            </w:pPr>
            <w:r w:rsidRPr="00BA51DE">
              <w:t>miscellaneous games of chance, such as raffles and trade competitions</w:t>
            </w:r>
          </w:p>
          <w:p w:rsidR="00000000" w:rsidP="00BA51DE">
            <w:pPr>
              <w:pStyle w:val="ListBullet"/>
              <w:rPr>
                <w:lang w:val="en-NZ"/>
              </w:rPr>
            </w:pPr>
            <w:r w:rsidRPr="00BA51DE">
              <w:t>lucky envelopes.</w:t>
            </w:r>
          </w:p>
        </w:tc>
      </w:tr>
      <w:tr w:rsidTr="00EC222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BA51DE">
            <w:pPr>
              <w:pStyle w:val="BodyText"/>
              <w:rPr>
                <w:lang w:val="en-NZ"/>
              </w:rPr>
            </w:pPr>
          </w:p>
        </w:tc>
      </w:tr>
      <w:tr w:rsidTr="00EC222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A51DE">
            <w:pPr>
              <w:pStyle w:val="BodyText"/>
              <w:rPr>
                <w:lang w:val="en-NZ"/>
              </w:rPr>
            </w:pPr>
            <w:r w:rsidRPr="00BA51DE">
              <w:rPr>
                <w:rStyle w:val="BoldandItalics"/>
              </w:rPr>
              <w:t>Promotional materials and information</w:t>
            </w:r>
            <w:r w:rsidRPr="00BA51DE">
              <w:t xml:space="preserve"> include brochures, flyers, signs and stickers, and advertisements in the media and may refer to:</w:t>
            </w:r>
          </w:p>
        </w:tc>
        <w:tc>
          <w:tcPr>
            <w:tcW w:w="5835" w:type="dxa"/>
            <w:tcBorders>
              <w:top w:val="nil"/>
              <w:left w:val="nil"/>
              <w:bottom w:val="nil"/>
              <w:right w:val="nil"/>
            </w:tcBorders>
            <w:tcMar>
              <w:top w:w="0" w:type="dxa"/>
              <w:left w:w="62" w:type="dxa"/>
              <w:bottom w:w="0" w:type="dxa"/>
              <w:right w:w="62" w:type="dxa"/>
            </w:tcMar>
          </w:tcPr>
          <w:p w:rsidR="00000000" w:rsidRPr="00BA51DE" w:rsidP="00BA51DE">
            <w:pPr>
              <w:pStyle w:val="ListBullet"/>
            </w:pPr>
            <w:r w:rsidRPr="00BA51DE">
              <w:t>conduct and rules of games</w:t>
            </w:r>
          </w:p>
          <w:p w:rsidR="00000000" w:rsidRPr="00BA51DE" w:rsidP="00BA51DE">
            <w:pPr>
              <w:pStyle w:val="ListBullet"/>
            </w:pPr>
            <w:r w:rsidRPr="00BA51DE">
              <w:t xml:space="preserve">responsible conduct of gaming </w:t>
            </w:r>
          </w:p>
          <w:p w:rsidR="00000000" w:rsidRPr="00BA51DE" w:rsidP="00BA51DE">
            <w:pPr>
              <w:pStyle w:val="ListBullet"/>
            </w:pPr>
            <w:r w:rsidRPr="00BA51DE">
              <w:t>sources of assistance</w:t>
            </w:r>
          </w:p>
          <w:p w:rsidR="00000000" w:rsidRPr="00BA51DE" w:rsidP="00BA51DE">
            <w:pPr>
              <w:pStyle w:val="ListBullet"/>
            </w:pPr>
            <w:r w:rsidRPr="00BA51DE">
              <w:t>enterprise rules and policies</w:t>
            </w:r>
          </w:p>
          <w:p w:rsidR="00000000" w:rsidP="00BA51DE">
            <w:pPr>
              <w:pStyle w:val="ListBullet"/>
              <w:rPr>
                <w:lang w:val="en-NZ"/>
              </w:rPr>
            </w:pPr>
            <w:r w:rsidRPr="00BA51DE">
              <w:t>promotiona</w:t>
            </w:r>
            <w:r w:rsidRPr="00BA51DE">
              <w:t>l activities.</w:t>
            </w:r>
          </w:p>
        </w:tc>
      </w:tr>
      <w:tr w:rsidTr="00EC222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BA51DE">
            <w:pPr>
              <w:pStyle w:val="BodyText"/>
              <w:rPr>
                <w:lang w:val="en-NZ"/>
              </w:rPr>
            </w:pPr>
          </w:p>
        </w:tc>
      </w:tr>
      <w:tr w:rsidTr="00EC222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A51DE">
            <w:pPr>
              <w:pStyle w:val="BodyText"/>
              <w:rPr>
                <w:lang w:val="en-NZ"/>
              </w:rPr>
            </w:pPr>
            <w:r w:rsidRPr="00BA51DE">
              <w:rPr>
                <w:rStyle w:val="BoldandItalics"/>
              </w:rPr>
              <w:t>Gaming machines</w:t>
            </w:r>
            <w:r w:rsidRPr="00BA51DE">
              <w:t xml:space="preserve"> include:</w:t>
            </w:r>
          </w:p>
        </w:tc>
        <w:tc>
          <w:tcPr>
            <w:tcW w:w="5835" w:type="dxa"/>
            <w:tcBorders>
              <w:top w:val="nil"/>
              <w:left w:val="nil"/>
              <w:bottom w:val="nil"/>
              <w:right w:val="nil"/>
            </w:tcBorders>
            <w:tcMar>
              <w:top w:w="0" w:type="dxa"/>
              <w:left w:w="62" w:type="dxa"/>
              <w:bottom w:w="0" w:type="dxa"/>
              <w:right w:w="62" w:type="dxa"/>
            </w:tcMar>
          </w:tcPr>
          <w:p w:rsidR="00000000" w:rsidRPr="00BA51DE" w:rsidP="00BA51DE">
            <w:pPr>
              <w:pStyle w:val="ListBullet"/>
            </w:pPr>
            <w:r w:rsidRPr="00BA51DE">
              <w:t>poker machines</w:t>
            </w:r>
          </w:p>
          <w:p w:rsidR="00000000" w:rsidRPr="00BA51DE" w:rsidP="00BA51DE">
            <w:pPr>
              <w:pStyle w:val="ListBullet"/>
            </w:pPr>
            <w:r w:rsidRPr="00BA51DE">
              <w:t>approved amusement devices</w:t>
            </w:r>
          </w:p>
          <w:p w:rsidR="00000000" w:rsidRPr="00BA51DE" w:rsidP="00BA51DE">
            <w:pPr>
              <w:pStyle w:val="ListBullet"/>
            </w:pPr>
            <w:r w:rsidRPr="00BA51DE">
              <w:t>slot machines</w:t>
            </w:r>
          </w:p>
          <w:p w:rsidR="00000000" w:rsidRPr="00BA51DE" w:rsidP="00BA51DE">
            <w:pPr>
              <w:pStyle w:val="ListBullet"/>
            </w:pPr>
            <w:r w:rsidRPr="00BA51DE">
              <w:t>multi-terminal gaming machines</w:t>
            </w:r>
          </w:p>
          <w:p w:rsidR="00000000" w:rsidRPr="00BA51DE" w:rsidP="00BA51DE">
            <w:pPr>
              <w:pStyle w:val="ListBullet"/>
            </w:pPr>
            <w:r w:rsidRPr="00BA51DE">
              <w:t>progressive and stand-alone gaming machines</w:t>
            </w:r>
          </w:p>
          <w:p w:rsidR="00000000" w:rsidRPr="00BA51DE" w:rsidP="00BA51DE">
            <w:pPr>
              <w:pStyle w:val="ListBullet"/>
            </w:pPr>
            <w:r w:rsidRPr="00BA51DE">
              <w:t>stand-alone games</w:t>
            </w:r>
          </w:p>
          <w:p w:rsidR="00000000" w:rsidRPr="00BA51DE" w:rsidP="00BA51DE">
            <w:pPr>
              <w:pStyle w:val="ListBullet"/>
            </w:pPr>
            <w:r w:rsidRPr="00BA51DE">
              <w:t>linked machines</w:t>
            </w:r>
          </w:p>
          <w:p w:rsidR="00000000" w:rsidP="00BA51DE">
            <w:pPr>
              <w:pStyle w:val="ListBullet"/>
              <w:rPr>
                <w:lang w:val="en-NZ"/>
              </w:rPr>
            </w:pPr>
            <w:r w:rsidRPr="00BA51DE">
              <w:t>linked progressive jackpot systems.</w:t>
            </w:r>
          </w:p>
        </w:tc>
      </w:tr>
      <w:tr w:rsidTr="00EC222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BA51DE">
            <w:pPr>
              <w:pStyle w:val="BodyText"/>
              <w:rPr>
                <w:lang w:val="en-NZ"/>
              </w:rPr>
            </w:pPr>
          </w:p>
        </w:tc>
      </w:tr>
      <w:tr w:rsidTr="00EC222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A51DE">
            <w:pPr>
              <w:pStyle w:val="BodyText"/>
              <w:rPr>
                <w:lang w:val="en-NZ"/>
              </w:rPr>
            </w:pPr>
            <w:r w:rsidRPr="00BA51DE">
              <w:rPr>
                <w:rStyle w:val="BoldandItalics"/>
              </w:rPr>
              <w:t>Simple machine repairs and maintenance</w:t>
            </w:r>
            <w:r w:rsidRPr="00BA51DE">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BA51DE" w:rsidP="00BA51DE">
            <w:pPr>
              <w:pStyle w:val="ListBullet"/>
            </w:pPr>
            <w:r w:rsidRPr="00BA51DE">
              <w:t>replacing globes</w:t>
            </w:r>
          </w:p>
          <w:p w:rsidR="00000000" w:rsidRPr="00BA51DE" w:rsidP="00BA51DE">
            <w:pPr>
              <w:pStyle w:val="ListBullet"/>
            </w:pPr>
            <w:r w:rsidRPr="00BA51DE">
              <w:t>fixing coin diverter apparatus faults</w:t>
            </w:r>
          </w:p>
          <w:p w:rsidR="00000000" w:rsidRPr="00BA51DE" w:rsidP="00BA51DE">
            <w:pPr>
              <w:pStyle w:val="ListBullet"/>
            </w:pPr>
            <w:r w:rsidRPr="00BA51DE">
              <w:t>unblocking coin jams</w:t>
            </w:r>
          </w:p>
          <w:p w:rsidR="00000000" w:rsidRPr="00BA51DE" w:rsidP="00BA51DE">
            <w:pPr>
              <w:pStyle w:val="ListBullet"/>
            </w:pPr>
            <w:r w:rsidRPr="00BA51DE">
              <w:t>resolving frozen screens</w:t>
            </w:r>
          </w:p>
          <w:p w:rsidR="00000000" w:rsidRPr="00BA51DE" w:rsidP="00BA51DE">
            <w:pPr>
              <w:pStyle w:val="ListBullet"/>
            </w:pPr>
            <w:r w:rsidRPr="00BA51DE">
              <w:t>resolving incorrect payouts</w:t>
            </w:r>
          </w:p>
          <w:p w:rsidR="00000000" w:rsidRPr="00BA51DE" w:rsidP="00BA51DE">
            <w:pPr>
              <w:pStyle w:val="ListBullet"/>
            </w:pPr>
            <w:r w:rsidRPr="00BA51DE">
              <w:t>filling hoppers and clearing jams</w:t>
            </w:r>
          </w:p>
          <w:p w:rsidR="00000000" w:rsidP="00BA51DE">
            <w:pPr>
              <w:pStyle w:val="ListBullet"/>
              <w:rPr>
                <w:lang w:val="en-NZ"/>
              </w:rPr>
            </w:pPr>
            <w:r w:rsidRPr="00BA51DE">
              <w:t>replacing printer rolls and ribbons.</w:t>
            </w:r>
          </w:p>
        </w:tc>
      </w:tr>
      <w:tr w:rsidTr="00EC222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BA51DE">
            <w:pPr>
              <w:pStyle w:val="BodyText"/>
              <w:rPr>
                <w:lang w:val="en-NZ"/>
              </w:rPr>
            </w:pPr>
          </w:p>
        </w:tc>
      </w:tr>
      <w:tr w:rsidTr="00EC222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A51DE">
            <w:pPr>
              <w:pStyle w:val="BodyText"/>
              <w:rPr>
                <w:lang w:val="en-NZ"/>
              </w:rPr>
            </w:pPr>
            <w:r w:rsidRPr="00BA51DE">
              <w:rPr>
                <w:rStyle w:val="BoldandItalics"/>
              </w:rPr>
              <w:t>Payouts</w:t>
            </w:r>
            <w:r w:rsidRPr="00BA51DE">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BA51DE" w:rsidP="00BA51DE">
            <w:pPr>
              <w:pStyle w:val="ListBullet"/>
            </w:pPr>
            <w:r w:rsidRPr="00BA51DE">
              <w:t>cash</w:t>
            </w:r>
          </w:p>
          <w:p w:rsidR="00000000" w:rsidRPr="00BA51DE" w:rsidP="00BA51DE">
            <w:pPr>
              <w:pStyle w:val="ListBullet"/>
            </w:pPr>
            <w:r w:rsidRPr="00BA51DE">
              <w:t>cheque</w:t>
            </w:r>
          </w:p>
          <w:p w:rsidR="00000000" w:rsidP="00BA51DE">
            <w:pPr>
              <w:pStyle w:val="ListBullet"/>
              <w:rPr>
                <w:lang w:val="en-NZ"/>
              </w:rPr>
            </w:pPr>
            <w:r w:rsidRPr="00BA51DE">
              <w:t>voucher.</w:t>
            </w:r>
          </w:p>
        </w:tc>
      </w:tr>
      <w:tr w:rsidTr="00EC222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BA51DE">
            <w:pPr>
              <w:pStyle w:val="BodyText"/>
              <w:rPr>
                <w:lang w:val="en-NZ"/>
              </w:rPr>
            </w:pPr>
          </w:p>
        </w:tc>
      </w:tr>
      <w:tr w:rsidTr="00EC222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A51DE">
            <w:pPr>
              <w:pStyle w:val="BodyText"/>
              <w:rPr>
                <w:lang w:val="en-NZ"/>
              </w:rPr>
            </w:pPr>
            <w:r w:rsidRPr="00BA51DE">
              <w:t xml:space="preserve">Situations where </w:t>
            </w:r>
            <w:r w:rsidRPr="00BA51DE">
              <w:rPr>
                <w:rStyle w:val="BoldandItalics"/>
              </w:rPr>
              <w:t>payouts should be refused</w:t>
            </w:r>
            <w:r w:rsidRPr="00BA51DE">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BA51DE" w:rsidP="00BA51DE">
            <w:pPr>
              <w:pStyle w:val="ListBullet"/>
            </w:pPr>
            <w:r w:rsidRPr="00BA51DE">
              <w:t>machine malfunctions</w:t>
            </w:r>
          </w:p>
          <w:p w:rsidR="00000000" w:rsidRPr="00BA51DE" w:rsidP="00BA51DE">
            <w:pPr>
              <w:pStyle w:val="ListBullet"/>
            </w:pPr>
            <w:r w:rsidRPr="00BA51DE">
              <w:t>illegal credit</w:t>
            </w:r>
          </w:p>
          <w:p w:rsidR="00000000" w:rsidRPr="00BA51DE" w:rsidP="00BA51DE">
            <w:pPr>
              <w:pStyle w:val="ListBullet"/>
            </w:pPr>
            <w:r w:rsidRPr="00BA51DE">
              <w:t>player ineligibility.</w:t>
            </w:r>
          </w:p>
        </w:tc>
      </w:tr>
    </w:tbl>
    <w:p w:rsidR="00EC2229" w:rsidP="00BA51DE">
      <w:pPr>
        <w:pStyle w:val="BodyText"/>
      </w:pPr>
    </w:p>
    <w:p w:rsidR="00EC2229" w:rsidP="00BA51DE">
      <w:pPr>
        <w:pStyle w:val="BodyText"/>
      </w:pPr>
    </w:p>
    <w:p w:rsidR="00000000" w:rsidRPr="00BA51DE" w:rsidP="00BA51DE">
      <w:pPr>
        <w:pStyle w:val="Heading1"/>
      </w:pPr>
      <w:bookmarkStart w:id="12" w:name="O_147002"/>
      <w:bookmarkEnd w:id="12"/>
      <w:r w:rsidRPr="00BA51DE">
        <w:t>Unit Sector(s)</w:t>
      </w:r>
    </w:p>
    <w:tbl>
      <w:tblPr>
        <w:tblW w:w="0" w:type="auto"/>
        <w:tblLayout w:type="fixed"/>
        <w:tblCellMar>
          <w:left w:w="62" w:type="dxa"/>
          <w:right w:w="62" w:type="dxa"/>
        </w:tblCellMar>
        <w:tblLook w:val="0000"/>
      </w:tblPr>
      <w:tblGrid>
        <w:gridCol w:w="2836"/>
        <w:gridCol w:w="6344"/>
      </w:tblGrid>
      <w:tr w:rsidTr="00EC2229">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BA51DE">
            <w:pPr>
              <w:pStyle w:val="BodyText"/>
              <w:rPr>
                <w:lang w:val="en-NZ"/>
              </w:rPr>
            </w:pPr>
            <w:r w:rsidRPr="00BA51DE">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BA51DE" w:rsidP="00BA51DE">
            <w:pPr>
              <w:pStyle w:val="BodyText"/>
            </w:pPr>
            <w:r w:rsidRPr="00BA51DE">
              <w:t>Hospitality</w:t>
            </w:r>
          </w:p>
        </w:tc>
      </w:tr>
    </w:tbl>
    <w:p w:rsidR="00000000" w:rsidRPr="00BA51DE" w:rsidP="00BA51DE">
      <w:pPr>
        <w:pStyle w:val="BodyText"/>
      </w:pPr>
    </w:p>
    <w:p w:rsidR="00000000" w:rsidRPr="00BA51DE" w:rsidP="00BA51DE">
      <w:pPr>
        <w:pStyle w:val="AllowPageBreak"/>
      </w:pPr>
    </w:p>
    <w:p w:rsidR="00000000" w:rsidRPr="00BA51DE" w:rsidP="00BA51DE">
      <w:pPr>
        <w:pStyle w:val="Heading1"/>
      </w:pPr>
      <w:bookmarkStart w:id="13" w:name="O_163334"/>
      <w:bookmarkEnd w:id="13"/>
      <w:r w:rsidRPr="00BA51DE">
        <w:t>Competency field</w:t>
      </w:r>
    </w:p>
    <w:tbl>
      <w:tblPr>
        <w:tblW w:w="0" w:type="auto"/>
        <w:tblLayout w:type="fixed"/>
        <w:tblCellMar>
          <w:left w:w="62" w:type="dxa"/>
          <w:right w:w="62" w:type="dxa"/>
        </w:tblCellMar>
        <w:tblLook w:val="0000"/>
      </w:tblPr>
      <w:tblGrid>
        <w:gridCol w:w="2836"/>
        <w:gridCol w:w="6344"/>
      </w:tblGrid>
      <w:tr w:rsidTr="00EC2229">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BA51DE">
            <w:pPr>
              <w:pStyle w:val="BodyText"/>
              <w:rPr>
                <w:lang w:val="en-NZ"/>
              </w:rPr>
            </w:pPr>
            <w:r w:rsidRPr="00BA51DE">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BA51DE">
            <w:pPr>
              <w:pStyle w:val="BodyText"/>
              <w:rPr>
                <w:lang w:val="en-NZ"/>
              </w:rPr>
            </w:pPr>
            <w:r w:rsidRPr="00BA51DE">
              <w:t>Gaming</w:t>
            </w:r>
          </w:p>
        </w:tc>
      </w:tr>
      <w:tr w:rsidTr="00EC2229">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BA51DE" w:rsidP="00BA51DE">
            <w:pPr>
              <w:pStyle w:val="BodyText"/>
            </w:pPr>
          </w:p>
        </w:tc>
      </w:tr>
    </w:tbl>
    <w:p w:rsidR="00000000" w:rsidRPr="00BA51DE" w:rsidP="00BA51DE">
      <w:pPr>
        <w:pStyle w:val="BodyText"/>
      </w:pPr>
    </w:p>
    <w:p w:rsidR="00000000" w:rsidRPr="00BA51DE" w:rsidP="00BA51DE"/>
    <w:sectPr w:rsidSect="00BA51D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51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C2229" w:rsidP="00EC222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51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229" w:rsidP="00BA51D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EC2229" w:rsidP="00BA51D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EC2229" w:rsidP="00BA51D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51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C2229" w:rsidP="00EC2229">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51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229" w:rsidP="00BA51DE">
    <w:pPr>
      <w:pStyle w:val="Header"/>
      <w:framePr w:wrap="around"/>
    </w:pPr>
    <w:r>
      <w:fldChar w:fldCharType="begin"/>
    </w:r>
    <w:r>
      <w:instrText xml:space="preserve"> TITLE   \* MERGEFORMAT </w:instrText>
    </w:r>
    <w:r>
      <w:fldChar w:fldCharType="separate"/>
    </w:r>
    <w:r>
      <w:t>SITHGAM001A Attend gaming machines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C2229" w:rsidP="00BA51D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1A881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75235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1FAB9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51D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A51DE"/>
    <w:pPr>
      <w:spacing w:before="360" w:after="60"/>
      <w:outlineLvl w:val="0"/>
    </w:pPr>
    <w:rPr>
      <w:sz w:val="32"/>
    </w:rPr>
  </w:style>
  <w:style w:type="paragraph" w:styleId="Heading2">
    <w:name w:val="heading 2"/>
    <w:basedOn w:val="HeadingBase"/>
    <w:next w:val="BodyText"/>
    <w:link w:val="Heading2Char"/>
    <w:qFormat/>
    <w:rsid w:val="00BA51DE"/>
    <w:pPr>
      <w:keepLines/>
      <w:spacing w:before="240" w:after="120"/>
      <w:outlineLvl w:val="1"/>
    </w:pPr>
    <w:rPr>
      <w:sz w:val="28"/>
      <w:szCs w:val="40"/>
    </w:rPr>
  </w:style>
  <w:style w:type="paragraph" w:styleId="Heading3">
    <w:name w:val="heading 3"/>
    <w:basedOn w:val="HeadingBase"/>
    <w:next w:val="BodyText"/>
    <w:link w:val="Heading3Char"/>
    <w:qFormat/>
    <w:rsid w:val="00BA51DE"/>
    <w:pPr>
      <w:spacing w:before="180" w:after="120"/>
      <w:outlineLvl w:val="2"/>
    </w:pPr>
    <w:rPr>
      <w:spacing w:val="-10"/>
      <w:kern w:val="32"/>
    </w:rPr>
  </w:style>
  <w:style w:type="paragraph" w:styleId="Heading4">
    <w:name w:val="heading 4"/>
    <w:basedOn w:val="HeadingBase"/>
    <w:next w:val="BodyText"/>
    <w:link w:val="Heading4Char"/>
    <w:qFormat/>
    <w:rsid w:val="00BA51DE"/>
    <w:pPr>
      <w:spacing w:before="160" w:after="120"/>
      <w:outlineLvl w:val="3"/>
    </w:pPr>
    <w:rPr>
      <w:sz w:val="22"/>
    </w:rPr>
  </w:style>
  <w:style w:type="paragraph" w:styleId="Heading5">
    <w:name w:val="heading 5"/>
    <w:basedOn w:val="HeadingBase"/>
    <w:next w:val="Normal"/>
    <w:link w:val="Heading5Char"/>
    <w:qFormat/>
    <w:rsid w:val="00BA51DE"/>
    <w:pPr>
      <w:spacing w:before="80"/>
      <w:outlineLvl w:val="4"/>
    </w:pPr>
    <w:rPr>
      <w:color w:val="918585"/>
      <w:sz w:val="20"/>
    </w:rPr>
  </w:style>
  <w:style w:type="paragraph" w:styleId="Heading6">
    <w:name w:val="heading 6"/>
    <w:basedOn w:val="HeadingBase"/>
    <w:next w:val="Normal"/>
    <w:link w:val="Heading6Char"/>
    <w:qFormat/>
    <w:rsid w:val="00BA51DE"/>
    <w:pPr>
      <w:spacing w:before="60"/>
      <w:outlineLvl w:val="5"/>
    </w:pPr>
    <w:rPr>
      <w:color w:val="918585"/>
      <w:sz w:val="20"/>
    </w:rPr>
  </w:style>
  <w:style w:type="paragraph" w:styleId="Heading7">
    <w:name w:val="heading 7"/>
    <w:basedOn w:val="Normal"/>
    <w:next w:val="Normal"/>
    <w:link w:val="Heading7Char"/>
    <w:qFormat/>
    <w:rsid w:val="00BA51DE"/>
    <w:pPr>
      <w:ind w:left="720"/>
      <w:outlineLvl w:val="6"/>
    </w:pPr>
    <w:rPr>
      <w:i/>
    </w:rPr>
  </w:style>
  <w:style w:type="paragraph" w:styleId="Heading8">
    <w:name w:val="heading 8"/>
    <w:basedOn w:val="Normal"/>
    <w:next w:val="Normal"/>
    <w:link w:val="Heading8Char"/>
    <w:qFormat/>
    <w:rsid w:val="00BA51DE"/>
    <w:pPr>
      <w:ind w:left="720"/>
      <w:outlineLvl w:val="7"/>
    </w:pPr>
    <w:rPr>
      <w:i/>
    </w:rPr>
  </w:style>
  <w:style w:type="paragraph" w:styleId="Heading9">
    <w:name w:val="heading 9"/>
    <w:basedOn w:val="Normal"/>
    <w:next w:val="Normal"/>
    <w:link w:val="Heading9Char"/>
    <w:qFormat/>
    <w:rsid w:val="00BA51DE"/>
    <w:pPr>
      <w:ind w:left="720"/>
      <w:outlineLvl w:val="8"/>
    </w:pPr>
    <w:rPr>
      <w:i/>
    </w:rPr>
  </w:style>
  <w:style w:type="character" w:default="1" w:styleId="DefaultParagraphFont">
    <w:name w:val="Default Paragraph Font"/>
    <w:uiPriority w:val="1"/>
    <w:unhideWhenUsed/>
    <w:rsid w:val="00BA51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A51DE"/>
  </w:style>
  <w:style w:type="character" w:customStyle="1" w:styleId="Heading1Char">
    <w:name w:val="Heading 1 Char"/>
    <w:link w:val="Heading1"/>
    <w:rsid w:val="00BA51DE"/>
    <w:rPr>
      <w:rFonts w:ascii="Times New Roman" w:eastAsia="Times New Roman" w:hAnsi="Times New Roman" w:cs="Times New Roman"/>
      <w:b/>
      <w:sz w:val="32"/>
      <w:szCs w:val="20"/>
      <w:lang w:eastAsia="en-US"/>
    </w:rPr>
  </w:style>
  <w:style w:type="paragraph" w:styleId="BodyText">
    <w:name w:val="Body Text"/>
    <w:basedOn w:val="Normal"/>
    <w:link w:val="BodyTextChar"/>
    <w:rsid w:val="00BA51DE"/>
    <w:pPr>
      <w:spacing w:before="120" w:after="120"/>
      <w:contextualSpacing/>
    </w:pPr>
    <w:rPr>
      <w:rFonts w:ascii="Times New Roman" w:hAnsi="Times New Roman"/>
      <w:sz w:val="24"/>
      <w:szCs w:val="22"/>
    </w:rPr>
  </w:style>
  <w:style w:type="character" w:customStyle="1" w:styleId="BodyTextChar">
    <w:name w:val="Body Text Char"/>
    <w:link w:val="BodyText"/>
    <w:rsid w:val="00BA51DE"/>
    <w:rPr>
      <w:rFonts w:ascii="Times New Roman" w:eastAsia="Times New Roman" w:hAnsi="Times New Roman" w:cs="Times New Roman"/>
      <w:sz w:val="24"/>
      <w:lang w:val="en-US" w:eastAsia="en-US"/>
    </w:rPr>
  </w:style>
  <w:style w:type="paragraph" w:styleId="Footer">
    <w:name w:val="footer"/>
    <w:basedOn w:val="Normal"/>
    <w:link w:val="FooterChar"/>
    <w:rsid w:val="00BA51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BA51DE"/>
    <w:rPr>
      <w:rFonts w:ascii="Times New Roman" w:eastAsia="Times New Roman" w:hAnsi="Times New Roman" w:cs="Times New Roman"/>
      <w:sz w:val="16"/>
      <w:lang w:val="en-US" w:eastAsia="en-US"/>
    </w:rPr>
  </w:style>
  <w:style w:type="paragraph" w:styleId="List">
    <w:name w:val="List"/>
    <w:basedOn w:val="BodyText"/>
    <w:next w:val="BodyText"/>
    <w:rsid w:val="00BA51DE"/>
    <w:pPr>
      <w:tabs>
        <w:tab w:val="left" w:pos="340"/>
      </w:tabs>
      <w:spacing w:before="60" w:after="60"/>
      <w:ind w:left="340" w:hanging="340"/>
    </w:pPr>
  </w:style>
  <w:style w:type="paragraph" w:styleId="ListBullet">
    <w:name w:val="List Bullet"/>
    <w:basedOn w:val="List"/>
    <w:rsid w:val="00BA51DE"/>
    <w:pPr>
      <w:numPr>
        <w:numId w:val="13"/>
      </w:numPr>
      <w:tabs>
        <w:tab w:val="clear" w:pos="340"/>
      </w:tabs>
      <w:spacing w:before="40" w:after="40"/>
    </w:pPr>
  </w:style>
  <w:style w:type="character" w:customStyle="1" w:styleId="SpecialBold">
    <w:name w:val="Special Bold"/>
    <w:rsid w:val="00BA51DE"/>
    <w:rPr>
      <w:b/>
      <w:spacing w:val="0"/>
    </w:rPr>
  </w:style>
  <w:style w:type="paragraph" w:styleId="ListBullet2">
    <w:name w:val="List Bullet 2"/>
    <w:basedOn w:val="List2"/>
    <w:rsid w:val="00BA51DE"/>
    <w:pPr>
      <w:numPr>
        <w:numId w:val="14"/>
      </w:numPr>
      <w:tabs>
        <w:tab w:val="clear" w:pos="680"/>
      </w:tabs>
    </w:pPr>
  </w:style>
  <w:style w:type="paragraph" w:styleId="Header">
    <w:name w:val="header"/>
    <w:basedOn w:val="Normal"/>
    <w:link w:val="HeaderChar"/>
    <w:rsid w:val="00BA51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BA51D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A51DE"/>
    <w:pPr>
      <w:spacing w:before="240" w:after="120"/>
      <w:outlineLvl w:val="0"/>
    </w:pPr>
    <w:rPr>
      <w:rFonts w:ascii="Times New Roman" w:hAnsi="Times New Roman"/>
      <w:b/>
      <w:sz w:val="28"/>
    </w:rPr>
  </w:style>
  <w:style w:type="paragraph" w:customStyle="1" w:styleId="AllowPageBreak">
    <w:name w:val="AllowPageBreak"/>
    <w:rsid w:val="00BA51D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A51DE"/>
    <w:rPr>
      <w:b/>
      <w:i/>
      <w:u w:val="none"/>
    </w:rPr>
  </w:style>
  <w:style w:type="character" w:customStyle="1" w:styleId="Heading2Char">
    <w:name w:val="Heading 2 Char"/>
    <w:link w:val="Heading2"/>
    <w:rsid w:val="00BA51DE"/>
    <w:rPr>
      <w:rFonts w:ascii="Times New Roman" w:eastAsia="Times New Roman" w:hAnsi="Times New Roman" w:cs="Times New Roman"/>
      <w:b/>
      <w:sz w:val="28"/>
      <w:szCs w:val="40"/>
      <w:lang w:eastAsia="en-US"/>
    </w:rPr>
  </w:style>
  <w:style w:type="character" w:customStyle="1" w:styleId="Heading3Char">
    <w:name w:val="Heading 3 Char"/>
    <w:link w:val="Heading3"/>
    <w:rsid w:val="00BA51DE"/>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BA51DE"/>
    <w:rPr>
      <w:rFonts w:ascii="Times New Roman" w:eastAsia="Times New Roman" w:hAnsi="Times New Roman" w:cs="Times New Roman"/>
      <w:b/>
      <w:szCs w:val="20"/>
      <w:lang w:eastAsia="en-US"/>
    </w:rPr>
  </w:style>
  <w:style w:type="character" w:customStyle="1" w:styleId="Heading5Char">
    <w:name w:val="Heading 5 Char"/>
    <w:link w:val="Heading5"/>
    <w:rsid w:val="00BA51DE"/>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BA51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A51D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A51D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A51DE"/>
    <w:rPr>
      <w:rFonts w:ascii="Courier New" w:eastAsia="Times New Roman" w:hAnsi="Courier New" w:cs="Times New Roman"/>
      <w:i/>
      <w:szCs w:val="20"/>
      <w:lang w:val="en-US" w:eastAsia="en-US"/>
    </w:rPr>
  </w:style>
  <w:style w:type="paragraph" w:customStyle="1" w:styleId="HeadingBase">
    <w:name w:val="Heading Base"/>
    <w:rsid w:val="00BA51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A51DE"/>
    <w:pPr>
      <w:tabs>
        <w:tab w:val="right" w:leader="dot" w:pos="9072"/>
      </w:tabs>
      <w:ind w:left="567"/>
    </w:pPr>
    <w:rPr>
      <w:szCs w:val="22"/>
    </w:rPr>
  </w:style>
  <w:style w:type="paragraph" w:customStyle="1" w:styleId="TOCBase">
    <w:name w:val="TOC Base"/>
    <w:rsid w:val="00BA51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A51DE"/>
    <w:pPr>
      <w:tabs>
        <w:tab w:val="right" w:leader="dot" w:pos="9072"/>
      </w:tabs>
      <w:spacing w:before="40" w:after="40"/>
      <w:ind w:left="284"/>
    </w:pPr>
    <w:rPr>
      <w:rFonts w:ascii="Times New Roman" w:hAnsi="Times New Roman"/>
    </w:rPr>
  </w:style>
  <w:style w:type="paragraph" w:styleId="TOC1">
    <w:name w:val="toc 1"/>
    <w:basedOn w:val="TOCBase"/>
    <w:next w:val="Normal"/>
    <w:rsid w:val="00BA51D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A51DE"/>
    <w:pPr>
      <w:spacing w:before="5040"/>
      <w:jc w:val="center"/>
    </w:pPr>
    <w:rPr>
      <w:sz w:val="48"/>
      <w:szCs w:val="72"/>
      <w:lang w:val="en-US"/>
    </w:rPr>
  </w:style>
  <w:style w:type="character" w:customStyle="1" w:styleId="TitleChar">
    <w:name w:val="Title Char"/>
    <w:link w:val="Title"/>
    <w:rsid w:val="00BA51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A51DE"/>
    <w:pPr>
      <w:tabs>
        <w:tab w:val="left" w:pos="3600"/>
        <w:tab w:val="left" w:pos="3958"/>
      </w:tabs>
    </w:pPr>
  </w:style>
  <w:style w:type="paragraph" w:customStyle="1" w:styleId="Note">
    <w:name w:val="Note"/>
    <w:basedOn w:val="BodyText"/>
    <w:rsid w:val="00BA51D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A51DE"/>
    <w:pPr>
      <w:framePr w:wrap="auto" w:hAnchor="text" w:y="6049"/>
    </w:pPr>
    <w:rPr>
      <w:color w:val="000000"/>
      <w:sz w:val="40"/>
    </w:rPr>
  </w:style>
  <w:style w:type="paragraph" w:customStyle="1" w:styleId="TOCTitle">
    <w:name w:val="TOCTitle"/>
    <w:basedOn w:val="Heading1"/>
    <w:rsid w:val="00BA51DE"/>
    <w:pPr>
      <w:spacing w:after="240"/>
      <w:jc w:val="center"/>
      <w:outlineLvl w:val="9"/>
    </w:pPr>
    <w:rPr>
      <w:caps/>
    </w:rPr>
  </w:style>
  <w:style w:type="paragraph" w:customStyle="1" w:styleId="Version">
    <w:name w:val="Version"/>
    <w:rsid w:val="00BA51D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A51DE"/>
    <w:pPr>
      <w:keepNext w:val="0"/>
      <w:tabs>
        <w:tab w:val="right" w:pos="4176"/>
      </w:tabs>
      <w:ind w:left="198" w:hanging="198"/>
    </w:pPr>
    <w:rPr>
      <w:rFonts w:ascii="Garamond" w:hAnsi="Garamond"/>
    </w:rPr>
  </w:style>
  <w:style w:type="paragraph" w:styleId="IndexHeading">
    <w:name w:val="index heading"/>
    <w:basedOn w:val="Normal"/>
    <w:next w:val="Index1"/>
    <w:semiHidden/>
    <w:rsid w:val="00BA51DE"/>
    <w:pPr>
      <w:spacing w:before="120" w:after="120"/>
    </w:pPr>
    <w:rPr>
      <w:rFonts w:ascii="Arial" w:hAnsi="Arial"/>
      <w:b/>
      <w:color w:val="918585"/>
      <w:sz w:val="24"/>
    </w:rPr>
  </w:style>
  <w:style w:type="paragraph" w:customStyle="1" w:styleId="Chapter">
    <w:name w:val="Chapter"/>
    <w:basedOn w:val="Normal"/>
    <w:rsid w:val="00BA51DE"/>
    <w:pPr>
      <w:spacing w:before="240"/>
    </w:pPr>
    <w:rPr>
      <w:rFonts w:ascii="Times New Roman" w:hAnsi="Times New Roman"/>
      <w:smallCaps/>
      <w:spacing w:val="80"/>
      <w:sz w:val="28"/>
    </w:rPr>
  </w:style>
  <w:style w:type="paragraph" w:customStyle="1" w:styleId="InChapter">
    <w:name w:val="InChapter"/>
    <w:basedOn w:val="Heading3"/>
    <w:rsid w:val="00BA51DE"/>
    <w:pPr>
      <w:spacing w:after="240"/>
      <w:outlineLvl w:val="9"/>
    </w:pPr>
    <w:rPr>
      <w:noProof/>
    </w:rPr>
  </w:style>
  <w:style w:type="paragraph" w:styleId="Index2">
    <w:name w:val="index 2"/>
    <w:basedOn w:val="Normal"/>
    <w:next w:val="Normal"/>
    <w:semiHidden/>
    <w:rsid w:val="00BA51DE"/>
    <w:pPr>
      <w:tabs>
        <w:tab w:val="right" w:pos="4176"/>
      </w:tabs>
      <w:ind w:left="568" w:hanging="284"/>
    </w:pPr>
    <w:rPr>
      <w:rFonts w:ascii="Garamond" w:hAnsi="Garamond"/>
    </w:rPr>
  </w:style>
  <w:style w:type="paragraph" w:customStyle="1" w:styleId="Byline">
    <w:name w:val="Byline"/>
    <w:rsid w:val="00BA51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A51DE"/>
    <w:pPr>
      <w:tabs>
        <w:tab w:val="clear" w:pos="3600"/>
        <w:tab w:val="clear" w:pos="3958"/>
      </w:tabs>
      <w:jc w:val="right"/>
    </w:pPr>
  </w:style>
  <w:style w:type="character" w:styleId="Emphasis">
    <w:name w:val="Emphasis"/>
    <w:qFormat/>
    <w:rsid w:val="00BA51DE"/>
    <w:rPr>
      <w:i/>
    </w:rPr>
  </w:style>
  <w:style w:type="paragraph" w:styleId="Caption">
    <w:name w:val="caption"/>
    <w:basedOn w:val="BodyText"/>
    <w:next w:val="Normal"/>
    <w:qFormat/>
    <w:rsid w:val="00BA51DE"/>
    <w:pPr>
      <w:framePr w:w="2268" w:hSpace="181" w:vSpace="181" w:wrap="around" w:vAnchor="text" w:hAnchor="page" w:x="1135" w:y="285" w:anchorLock="1"/>
    </w:pPr>
    <w:rPr>
      <w:i/>
    </w:rPr>
  </w:style>
  <w:style w:type="paragraph" w:customStyle="1" w:styleId="MiniTOCTitle">
    <w:name w:val="MiniTOCTitle"/>
    <w:basedOn w:val="Heading4"/>
    <w:rsid w:val="00BA51DE"/>
    <w:pPr>
      <w:spacing w:before="240"/>
      <w:outlineLvl w:val="9"/>
    </w:pPr>
    <w:rPr>
      <w:noProof/>
      <w:sz w:val="24"/>
    </w:rPr>
  </w:style>
  <w:style w:type="paragraph" w:customStyle="1" w:styleId="MiniTOCItem">
    <w:name w:val="MiniTOCItem"/>
    <w:basedOn w:val="ListBullet"/>
    <w:rsid w:val="00BA51DE"/>
    <w:pPr>
      <w:numPr>
        <w:numId w:val="0"/>
      </w:numPr>
      <w:tabs>
        <w:tab w:val="right" w:leader="dot" w:pos="6521"/>
      </w:tabs>
      <w:spacing w:before="0" w:after="0"/>
    </w:pPr>
  </w:style>
  <w:style w:type="paragraph" w:customStyle="1" w:styleId="TOFTitle">
    <w:name w:val="TOFTitle"/>
    <w:basedOn w:val="TOCTitle"/>
    <w:rsid w:val="00BA51DE"/>
  </w:style>
  <w:style w:type="paragraph" w:styleId="TableofFigures">
    <w:name w:val="table of figures"/>
    <w:basedOn w:val="Normal"/>
    <w:next w:val="Normal"/>
    <w:semiHidden/>
    <w:rsid w:val="00BA51DE"/>
    <w:pPr>
      <w:tabs>
        <w:tab w:val="right" w:leader="dot" w:pos="9072"/>
      </w:tabs>
      <w:ind w:left="970" w:hanging="403"/>
    </w:pPr>
    <w:rPr>
      <w:rFonts w:ascii="Times New Roman" w:hAnsi="Times New Roman"/>
      <w:b/>
    </w:rPr>
  </w:style>
  <w:style w:type="paragraph" w:styleId="ListNumber">
    <w:name w:val="List Number"/>
    <w:basedOn w:val="List"/>
    <w:rsid w:val="00BA51DE"/>
    <w:pPr>
      <w:numPr>
        <w:numId w:val="11"/>
      </w:numPr>
    </w:pPr>
  </w:style>
  <w:style w:type="character" w:customStyle="1" w:styleId="WingdingSymbols">
    <w:name w:val="Wingding Symbols"/>
    <w:rsid w:val="00BA51DE"/>
    <w:rPr>
      <w:rFonts w:ascii="Wingdings" w:hAnsi="Wingdings"/>
    </w:rPr>
  </w:style>
  <w:style w:type="paragraph" w:customStyle="1" w:styleId="TableHeading">
    <w:name w:val="Table Heading"/>
    <w:basedOn w:val="HeadingBase"/>
    <w:rsid w:val="00BA51DE"/>
    <w:pPr>
      <w:keepLines/>
      <w:pBdr>
        <w:bottom w:val="single" w:sz="6" w:space="1" w:color="918585"/>
      </w:pBdr>
      <w:spacing w:before="240"/>
    </w:pPr>
  </w:style>
  <w:style w:type="character" w:customStyle="1" w:styleId="HotSpot">
    <w:name w:val="HotSpot"/>
    <w:rsid w:val="00BA51DE"/>
    <w:rPr>
      <w:color w:val="0033CC"/>
      <w:u w:val="none"/>
    </w:rPr>
  </w:style>
  <w:style w:type="paragraph" w:customStyle="1" w:styleId="BodyTextRight">
    <w:name w:val="Body Text Right"/>
    <w:basedOn w:val="BodyText"/>
    <w:rsid w:val="00BA51DE"/>
    <w:pPr>
      <w:spacing w:before="0" w:after="0"/>
      <w:jc w:val="right"/>
    </w:pPr>
  </w:style>
  <w:style w:type="paragraph" w:styleId="Index3">
    <w:name w:val="index 3"/>
    <w:basedOn w:val="ListNumber2"/>
    <w:next w:val="Normal"/>
    <w:semiHidden/>
    <w:rsid w:val="00BA51DE"/>
    <w:pPr>
      <w:numPr>
        <w:numId w:val="0"/>
      </w:numPr>
      <w:tabs>
        <w:tab w:val="right" w:leader="dot" w:pos="4176"/>
      </w:tabs>
    </w:pPr>
  </w:style>
  <w:style w:type="paragraph" w:styleId="ListNumber2">
    <w:name w:val="List Number 2"/>
    <w:basedOn w:val="List2"/>
    <w:rsid w:val="00BA51DE"/>
    <w:pPr>
      <w:numPr>
        <w:numId w:val="10"/>
      </w:numPr>
      <w:tabs>
        <w:tab w:val="clear" w:pos="1060"/>
      </w:tabs>
    </w:pPr>
  </w:style>
  <w:style w:type="paragraph" w:customStyle="1" w:styleId="MarginNote">
    <w:name w:val="Margin Note"/>
    <w:basedOn w:val="BodyText"/>
    <w:rsid w:val="00BA51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A51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BA51D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A51DE"/>
    <w:rPr>
      <w:sz w:val="32"/>
    </w:rPr>
  </w:style>
  <w:style w:type="paragraph" w:customStyle="1" w:styleId="HeadingProcedure">
    <w:name w:val="Heading Procedure"/>
    <w:basedOn w:val="HeadingBase"/>
    <w:next w:val="Normal"/>
    <w:rsid w:val="00BA51DE"/>
    <w:pPr>
      <w:tabs>
        <w:tab w:val="left" w:pos="0"/>
      </w:tabs>
      <w:spacing w:before="120" w:after="60"/>
    </w:pPr>
    <w:rPr>
      <w:i/>
      <w:color w:val="918585"/>
      <w:sz w:val="22"/>
    </w:rPr>
  </w:style>
  <w:style w:type="paragraph" w:customStyle="1" w:styleId="TableBodyText">
    <w:name w:val="Table Body Text"/>
    <w:basedOn w:val="BodyText"/>
    <w:rsid w:val="00BA51DE"/>
    <w:pPr>
      <w:spacing w:before="60" w:after="60"/>
    </w:pPr>
  </w:style>
  <w:style w:type="paragraph" w:styleId="ListContinue">
    <w:name w:val="List Continue"/>
    <w:basedOn w:val="List"/>
    <w:rsid w:val="00BA51DE"/>
    <w:pPr>
      <w:ind w:firstLine="0"/>
    </w:pPr>
  </w:style>
  <w:style w:type="paragraph" w:customStyle="1" w:styleId="ListNote">
    <w:name w:val="List Note"/>
    <w:basedOn w:val="List"/>
    <w:rsid w:val="00BA51DE"/>
    <w:pPr>
      <w:pBdr>
        <w:top w:val="single" w:sz="6" w:space="2" w:color="918585"/>
        <w:bottom w:val="single" w:sz="6" w:space="2" w:color="918585"/>
      </w:pBdr>
      <w:tabs>
        <w:tab w:val="left" w:pos="1021"/>
      </w:tabs>
      <w:ind w:firstLine="0"/>
    </w:pPr>
  </w:style>
  <w:style w:type="paragraph" w:customStyle="1" w:styleId="Warning">
    <w:name w:val="Warning"/>
    <w:basedOn w:val="BodyText"/>
    <w:rsid w:val="00BA51DE"/>
    <w:pPr>
      <w:shd w:val="clear" w:color="auto" w:fill="D9D9D9"/>
      <w:tabs>
        <w:tab w:val="left" w:pos="992"/>
      </w:tabs>
      <w:ind w:left="119" w:right="119"/>
    </w:pPr>
    <w:rPr>
      <w:sz w:val="20"/>
    </w:rPr>
  </w:style>
  <w:style w:type="paragraph" w:customStyle="1" w:styleId="MarginIcons">
    <w:name w:val="Margin Icons"/>
    <w:basedOn w:val="BodyText"/>
    <w:rsid w:val="00BA51DE"/>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BA51DE"/>
    <w:rPr>
      <w:rFonts w:ascii="Courier New" w:hAnsi="Courier New"/>
    </w:rPr>
  </w:style>
  <w:style w:type="paragraph" w:customStyle="1" w:styleId="NoteBullet">
    <w:name w:val="Note Bullet"/>
    <w:basedOn w:val="Note"/>
    <w:rsid w:val="00BA51DE"/>
    <w:pPr>
      <w:tabs>
        <w:tab w:val="clear" w:pos="680"/>
      </w:tabs>
      <w:spacing w:before="60" w:after="60"/>
    </w:pPr>
  </w:style>
  <w:style w:type="paragraph" w:customStyle="1" w:styleId="SubHeading2">
    <w:name w:val="SubHeading2"/>
    <w:basedOn w:val="HeadingBase"/>
    <w:rsid w:val="00BA51DE"/>
    <w:pPr>
      <w:spacing w:before="240" w:after="60"/>
    </w:pPr>
    <w:rPr>
      <w:sz w:val="20"/>
    </w:rPr>
  </w:style>
  <w:style w:type="paragraph" w:customStyle="1" w:styleId="SubHeading1">
    <w:name w:val="SubHeading1"/>
    <w:basedOn w:val="HeadingBase"/>
    <w:rsid w:val="00BA51DE"/>
    <w:pPr>
      <w:spacing w:before="240" w:after="60"/>
    </w:pPr>
    <w:rPr>
      <w:color w:val="918585"/>
      <w:sz w:val="22"/>
    </w:rPr>
  </w:style>
  <w:style w:type="paragraph" w:customStyle="1" w:styleId="SideHeading">
    <w:name w:val="Side Heading"/>
    <w:basedOn w:val="HeadingBase"/>
    <w:rsid w:val="00BA51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A51DE"/>
    <w:pPr>
      <w:numPr>
        <w:numId w:val="12"/>
      </w:numPr>
    </w:pPr>
  </w:style>
  <w:style w:type="paragraph" w:styleId="PlainText">
    <w:name w:val="Plain Text"/>
    <w:basedOn w:val="Normal"/>
    <w:link w:val="PlainTextChar"/>
    <w:rsid w:val="00BA51DE"/>
    <w:rPr>
      <w:sz w:val="20"/>
    </w:rPr>
  </w:style>
  <w:style w:type="character" w:customStyle="1" w:styleId="PlainTextChar">
    <w:name w:val="Plain Text Char"/>
    <w:basedOn w:val="DefaultParagraphFont"/>
    <w:link w:val="PlainText"/>
    <w:rsid w:val="00BA51DE"/>
    <w:rPr>
      <w:rFonts w:ascii="Courier New" w:eastAsia="Times New Roman" w:hAnsi="Courier New" w:cs="Times New Roman"/>
      <w:sz w:val="20"/>
      <w:szCs w:val="20"/>
      <w:lang w:val="en-US" w:eastAsia="en-US"/>
    </w:rPr>
  </w:style>
  <w:style w:type="character" w:customStyle="1" w:styleId="MenuOption">
    <w:name w:val="Menu Option"/>
    <w:rsid w:val="00BA51DE"/>
    <w:rPr>
      <w:b/>
      <w:smallCaps/>
    </w:rPr>
  </w:style>
  <w:style w:type="paragraph" w:customStyle="1" w:styleId="TableListNumber">
    <w:name w:val="Table List Number"/>
    <w:basedOn w:val="ListNumber"/>
    <w:rsid w:val="00BA51DE"/>
    <w:pPr>
      <w:numPr>
        <w:numId w:val="0"/>
      </w:numPr>
    </w:pPr>
  </w:style>
  <w:style w:type="paragraph" w:styleId="TOC4">
    <w:name w:val="toc 4"/>
    <w:basedOn w:val="TOCBase"/>
    <w:next w:val="Normal"/>
    <w:semiHidden/>
    <w:rsid w:val="00BA51DE"/>
    <w:pPr>
      <w:tabs>
        <w:tab w:val="right" w:leader="dot" w:pos="9071"/>
      </w:tabs>
      <w:ind w:left="1701"/>
    </w:pPr>
  </w:style>
  <w:style w:type="paragraph" w:customStyle="1" w:styleId="ListAlpha">
    <w:name w:val="List Alpha"/>
    <w:basedOn w:val="List"/>
    <w:rsid w:val="00BA51DE"/>
    <w:pPr>
      <w:numPr>
        <w:numId w:val="9"/>
      </w:numPr>
    </w:pPr>
  </w:style>
  <w:style w:type="paragraph" w:customStyle="1" w:styleId="ListAlpha2">
    <w:name w:val="List Alpha 2"/>
    <w:basedOn w:val="List2"/>
    <w:rsid w:val="00BA51DE"/>
    <w:pPr>
      <w:numPr>
        <w:numId w:val="8"/>
      </w:numPr>
    </w:pPr>
  </w:style>
  <w:style w:type="paragraph" w:styleId="List2">
    <w:name w:val="List 2"/>
    <w:basedOn w:val="BodyText"/>
    <w:rsid w:val="00BA51DE"/>
    <w:pPr>
      <w:tabs>
        <w:tab w:val="left" w:pos="680"/>
      </w:tabs>
      <w:spacing w:before="60" w:after="60"/>
      <w:ind w:left="680" w:hanging="340"/>
    </w:pPr>
  </w:style>
  <w:style w:type="paragraph" w:styleId="List3">
    <w:name w:val="List 3"/>
    <w:basedOn w:val="BodyText"/>
    <w:rsid w:val="00BA51DE"/>
    <w:pPr>
      <w:tabs>
        <w:tab w:val="left" w:pos="1021"/>
      </w:tabs>
      <w:spacing w:before="60" w:after="60"/>
      <w:ind w:left="1020" w:hanging="340"/>
    </w:pPr>
  </w:style>
  <w:style w:type="paragraph" w:styleId="List4">
    <w:name w:val="List 4"/>
    <w:basedOn w:val="BodyText"/>
    <w:rsid w:val="00BA51DE"/>
    <w:pPr>
      <w:tabs>
        <w:tab w:val="left" w:pos="1361"/>
      </w:tabs>
      <w:spacing w:before="60" w:after="60"/>
      <w:ind w:left="1361" w:hanging="340"/>
    </w:pPr>
  </w:style>
  <w:style w:type="paragraph" w:styleId="List5">
    <w:name w:val="List 5"/>
    <w:basedOn w:val="BodyText"/>
    <w:rsid w:val="00BA51DE"/>
    <w:pPr>
      <w:tabs>
        <w:tab w:val="left" w:pos="1701"/>
      </w:tabs>
      <w:spacing w:before="60" w:after="60"/>
      <w:ind w:left="1701" w:hanging="340"/>
    </w:pPr>
  </w:style>
  <w:style w:type="paragraph" w:styleId="ListBullet3">
    <w:name w:val="List Bullet 3"/>
    <w:basedOn w:val="List3"/>
    <w:rsid w:val="00BA51DE"/>
    <w:pPr>
      <w:numPr>
        <w:numId w:val="15"/>
      </w:numPr>
      <w:tabs>
        <w:tab w:val="clear" w:pos="1021"/>
      </w:tabs>
      <w:ind w:left="1037" w:hanging="357"/>
    </w:pPr>
  </w:style>
  <w:style w:type="paragraph" w:styleId="ListBullet4">
    <w:name w:val="List Bullet 4"/>
    <w:basedOn w:val="List4"/>
    <w:rsid w:val="00BA51DE"/>
    <w:pPr>
      <w:numPr>
        <w:numId w:val="3"/>
      </w:numPr>
    </w:pPr>
  </w:style>
  <w:style w:type="paragraph" w:styleId="ListBullet5">
    <w:name w:val="List Bullet 5"/>
    <w:basedOn w:val="List5"/>
    <w:rsid w:val="00BA51DE"/>
    <w:pPr>
      <w:numPr>
        <w:numId w:val="4"/>
      </w:numPr>
    </w:pPr>
  </w:style>
  <w:style w:type="paragraph" w:styleId="ListContinue2">
    <w:name w:val="List Continue 2"/>
    <w:basedOn w:val="List2"/>
    <w:rsid w:val="00BA51DE"/>
    <w:pPr>
      <w:ind w:firstLine="0"/>
    </w:pPr>
  </w:style>
  <w:style w:type="paragraph" w:styleId="ListContinue3">
    <w:name w:val="List Continue 3"/>
    <w:basedOn w:val="List3"/>
    <w:rsid w:val="00BA51DE"/>
    <w:pPr>
      <w:ind w:left="1021" w:firstLine="0"/>
    </w:pPr>
  </w:style>
  <w:style w:type="paragraph" w:styleId="ListContinue4">
    <w:name w:val="List Continue 4"/>
    <w:basedOn w:val="List4"/>
    <w:rsid w:val="00BA51DE"/>
    <w:pPr>
      <w:ind w:firstLine="0"/>
    </w:pPr>
  </w:style>
  <w:style w:type="paragraph" w:styleId="ListContinue5">
    <w:name w:val="List Continue 5"/>
    <w:basedOn w:val="List5"/>
    <w:rsid w:val="00BA51DE"/>
    <w:pPr>
      <w:ind w:firstLine="0"/>
    </w:pPr>
  </w:style>
  <w:style w:type="paragraph" w:styleId="ListNumber3">
    <w:name w:val="List Number 3"/>
    <w:basedOn w:val="List3"/>
    <w:rsid w:val="00BA51DE"/>
    <w:pPr>
      <w:numPr>
        <w:numId w:val="5"/>
      </w:numPr>
    </w:pPr>
  </w:style>
  <w:style w:type="paragraph" w:styleId="ListNumber4">
    <w:name w:val="List Number 4"/>
    <w:basedOn w:val="List4"/>
    <w:rsid w:val="00BA51DE"/>
    <w:pPr>
      <w:numPr>
        <w:numId w:val="6"/>
      </w:numPr>
    </w:pPr>
  </w:style>
  <w:style w:type="paragraph" w:styleId="ListNumber5">
    <w:name w:val="List Number 5"/>
    <w:basedOn w:val="List5"/>
    <w:rsid w:val="00BA51DE"/>
    <w:pPr>
      <w:numPr>
        <w:numId w:val="7"/>
      </w:numPr>
    </w:pPr>
  </w:style>
  <w:style w:type="paragraph" w:styleId="BlockText">
    <w:name w:val="Block Text"/>
    <w:basedOn w:val="Normal"/>
    <w:rsid w:val="00BA51DE"/>
    <w:pPr>
      <w:spacing w:after="120"/>
      <w:ind w:left="1440" w:right="1440"/>
    </w:pPr>
  </w:style>
  <w:style w:type="character" w:customStyle="1" w:styleId="Subscript">
    <w:name w:val="Subscript"/>
    <w:rsid w:val="00BA51DE"/>
    <w:rPr>
      <w:sz w:val="16"/>
      <w:vertAlign w:val="subscript"/>
    </w:rPr>
  </w:style>
  <w:style w:type="character" w:customStyle="1" w:styleId="Superscript">
    <w:name w:val="Superscript"/>
    <w:rsid w:val="00BA51DE"/>
    <w:rPr>
      <w:sz w:val="16"/>
      <w:vertAlign w:val="superscript"/>
    </w:rPr>
  </w:style>
  <w:style w:type="character" w:customStyle="1" w:styleId="Symbols">
    <w:name w:val="Symbols"/>
    <w:rsid w:val="00BA51DE"/>
    <w:rPr>
      <w:rFonts w:ascii="Symbol" w:hAnsi="Symbol"/>
    </w:rPr>
  </w:style>
  <w:style w:type="character" w:customStyle="1" w:styleId="MenuOptions">
    <w:name w:val="Menu Options"/>
    <w:rsid w:val="00BA51DE"/>
    <w:rPr>
      <w:rFonts w:ascii="Arial Narrow" w:hAnsi="Arial Narrow"/>
      <w:smallCaps/>
    </w:rPr>
  </w:style>
  <w:style w:type="character" w:customStyle="1" w:styleId="Buttons">
    <w:name w:val="Buttons"/>
    <w:rsid w:val="00BA51DE"/>
    <w:rPr>
      <w:b/>
    </w:rPr>
  </w:style>
  <w:style w:type="character" w:customStyle="1" w:styleId="Underlined">
    <w:name w:val="Underlined"/>
    <w:rsid w:val="00BA51DE"/>
    <w:rPr>
      <w:u w:val="single"/>
    </w:rPr>
  </w:style>
  <w:style w:type="paragraph" w:customStyle="1" w:styleId="TableBodyTextRight">
    <w:name w:val="Table Body Text Right"/>
    <w:basedOn w:val="TableBodyText"/>
    <w:rsid w:val="00BA51DE"/>
    <w:pPr>
      <w:widowControl w:val="0"/>
      <w:autoSpaceDE w:val="0"/>
      <w:autoSpaceDN w:val="0"/>
      <w:adjustRightInd w:val="0"/>
      <w:jc w:val="right"/>
    </w:pPr>
    <w:rPr>
      <w:rFonts w:cs="Arial"/>
      <w:szCs w:val="18"/>
    </w:rPr>
  </w:style>
  <w:style w:type="paragraph" w:customStyle="1" w:styleId="CopyrightText">
    <w:name w:val="Copyright Text"/>
    <w:basedOn w:val="BodyText"/>
    <w:rsid w:val="00BA51DE"/>
    <w:rPr>
      <w:sz w:val="18"/>
    </w:rPr>
  </w:style>
  <w:style w:type="paragraph" w:customStyle="1" w:styleId="BodySmallRight">
    <w:name w:val="Body Small Right"/>
    <w:basedOn w:val="BodyTextRight"/>
    <w:rsid w:val="00BA51DE"/>
    <w:rPr>
      <w:sz w:val="18"/>
      <w:szCs w:val="18"/>
    </w:rPr>
  </w:style>
  <w:style w:type="paragraph" w:customStyle="1" w:styleId="MarginEdition">
    <w:name w:val="Margin Edition"/>
    <w:basedOn w:val="MarginNote"/>
    <w:rsid w:val="00BA51DE"/>
    <w:pPr>
      <w:spacing w:before="0" w:after="0"/>
    </w:pPr>
    <w:rPr>
      <w:rFonts w:ascii="Times New Roman" w:hAnsi="Times New Roman"/>
      <w:color w:val="999999"/>
    </w:rPr>
  </w:style>
  <w:style w:type="paragraph" w:customStyle="1" w:styleId="Spacer">
    <w:name w:val="Spacer"/>
    <w:basedOn w:val="Normal"/>
    <w:rsid w:val="00BA51DE"/>
    <w:rPr>
      <w:sz w:val="2"/>
      <w:szCs w:val="2"/>
    </w:rPr>
  </w:style>
  <w:style w:type="character" w:customStyle="1" w:styleId="Small">
    <w:name w:val="Small"/>
    <w:rsid w:val="00BA51DE"/>
    <w:rPr>
      <w:sz w:val="16"/>
    </w:rPr>
  </w:style>
  <w:style w:type="paragraph" w:customStyle="1" w:styleId="WideTable">
    <w:name w:val="Wide Table"/>
    <w:basedOn w:val="Normal"/>
    <w:rsid w:val="00BA51DE"/>
    <w:pPr>
      <w:ind w:left="-1418"/>
    </w:pPr>
    <w:rPr>
      <w:sz w:val="2"/>
      <w:szCs w:val="2"/>
    </w:rPr>
  </w:style>
  <w:style w:type="character" w:styleId="PageNumber">
    <w:name w:val="page number"/>
    <w:rsid w:val="00BA51DE"/>
  </w:style>
  <w:style w:type="paragraph" w:styleId="Quote">
    <w:name w:val="Quote"/>
    <w:basedOn w:val="Heading1"/>
    <w:link w:val="QuoteChar"/>
    <w:qFormat/>
    <w:rsid w:val="00BA51DE"/>
    <w:rPr>
      <w:b w:val="0"/>
      <w:sz w:val="72"/>
      <w:szCs w:val="72"/>
      <w:lang w:val="en-NZ"/>
    </w:rPr>
  </w:style>
  <w:style w:type="character" w:customStyle="1" w:styleId="QuoteChar">
    <w:name w:val="Quote Char"/>
    <w:link w:val="Quote"/>
    <w:rsid w:val="00BA51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A51DE"/>
    <w:pPr>
      <w:pageBreakBefore/>
    </w:pPr>
  </w:style>
  <w:style w:type="paragraph" w:customStyle="1" w:styleId="Border">
    <w:name w:val="Border"/>
    <w:basedOn w:val="Normal"/>
    <w:qFormat/>
    <w:rsid w:val="00BA51DE"/>
    <w:pPr>
      <w:pBdr>
        <w:top w:val="single" w:sz="18" w:space="1" w:color="auto"/>
      </w:pBdr>
    </w:pPr>
    <w:rPr>
      <w:rFonts w:ascii="Times New Roman" w:hAnsi="Times New Roman"/>
      <w:color w:val="FFFFFF"/>
      <w:sz w:val="2"/>
    </w:rPr>
  </w:style>
  <w:style w:type="character" w:styleId="IntenseEmphasis">
    <w:name w:val="Intense Emphasis"/>
    <w:uiPriority w:val="21"/>
    <w:qFormat/>
    <w:rsid w:val="00BA51DE"/>
    <w:rPr>
      <w:b/>
      <w:bCs/>
      <w:i/>
      <w:iCs/>
      <w:color w:val="auto"/>
    </w:rPr>
  </w:style>
  <w:style w:type="paragraph" w:styleId="IntenseQuote">
    <w:name w:val="Intense Quote"/>
    <w:basedOn w:val="Normal"/>
    <w:next w:val="Normal"/>
    <w:link w:val="IntenseQuoteChar"/>
    <w:uiPriority w:val="30"/>
    <w:qFormat/>
    <w:rsid w:val="00BA51DE"/>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BA51DE"/>
    <w:rPr>
      <w:rFonts w:ascii="Courier New" w:eastAsia="Times New Roman" w:hAnsi="Courier New" w:cs="Times New Roman"/>
      <w:b/>
      <w:bCs/>
      <w:i/>
      <w:iCs/>
      <w:szCs w:val="20"/>
      <w:lang w:val="en-US" w:eastAsia="en-US"/>
    </w:rPr>
  </w:style>
  <w:style w:type="character" w:styleId="SubtleReference">
    <w:name w:val="Subtle Reference"/>
    <w:uiPriority w:val="31"/>
    <w:qFormat/>
    <w:rsid w:val="00BA51DE"/>
    <w:rPr>
      <w:smallCaps/>
      <w:color w:val="auto"/>
      <w:u w:val="single"/>
    </w:rPr>
  </w:style>
  <w:style w:type="character" w:styleId="IntenseReference">
    <w:name w:val="Intense Reference"/>
    <w:uiPriority w:val="32"/>
    <w:qFormat/>
    <w:rsid w:val="00BA51DE"/>
    <w:rPr>
      <w:b/>
      <w:bCs/>
      <w:smallCaps/>
      <w:color w:val="auto"/>
      <w:spacing w:val="5"/>
      <w:u w:val="single"/>
    </w:rPr>
  </w:style>
  <w:style w:type="paragraph" w:customStyle="1" w:styleId="2ColumnHeading">
    <w:name w:val="2Column Heading"/>
    <w:basedOn w:val="BodyText"/>
    <w:qFormat/>
    <w:rsid w:val="00BA51DE"/>
    <w:pPr>
      <w:spacing w:after="60"/>
      <w:ind w:left="-2268"/>
    </w:pPr>
    <w:rPr>
      <w:b/>
    </w:rPr>
  </w:style>
  <w:style w:type="paragraph" w:customStyle="1" w:styleId="Heading1TOC">
    <w:name w:val="Heading1 TOC"/>
    <w:basedOn w:val="Normal"/>
    <w:qFormat/>
    <w:rsid w:val="00BA51DE"/>
    <w:pPr>
      <w:spacing w:before="240" w:after="120"/>
    </w:pPr>
    <w:rPr>
      <w:rFonts w:ascii="Times New Roman" w:hAnsi="Times New Roman"/>
      <w:b/>
      <w:sz w:val="32"/>
    </w:rPr>
  </w:style>
  <w:style w:type="paragraph" w:customStyle="1" w:styleId="Heading2TOC">
    <w:name w:val="Heading2 TOC"/>
    <w:basedOn w:val="Normal"/>
    <w:qFormat/>
    <w:rsid w:val="00BA51DE"/>
    <w:pPr>
      <w:spacing w:before="240" w:after="60"/>
    </w:pPr>
    <w:rPr>
      <w:rFonts w:ascii="Times New Roman" w:hAnsi="Times New Roman"/>
      <w:b/>
      <w:sz w:val="28"/>
    </w:rPr>
  </w:style>
  <w:style w:type="character" w:customStyle="1" w:styleId="Underline">
    <w:name w:val="Underline"/>
    <w:qFormat/>
    <w:rsid w:val="00BA51DE"/>
    <w:rPr>
      <w:u w:val="single"/>
    </w:rPr>
  </w:style>
  <w:style w:type="paragraph" w:styleId="BalloonText">
    <w:name w:val="Balloon Text"/>
    <w:basedOn w:val="Normal"/>
    <w:link w:val="BalloonTextChar"/>
    <w:rsid w:val="00BA51DE"/>
    <w:rPr>
      <w:rFonts w:ascii="Tahoma" w:hAnsi="Tahoma" w:cs="Tahoma"/>
      <w:sz w:val="16"/>
      <w:szCs w:val="16"/>
    </w:rPr>
  </w:style>
  <w:style w:type="character" w:customStyle="1" w:styleId="BalloonTextChar">
    <w:name w:val="Balloon Text Char"/>
    <w:link w:val="BalloonText"/>
    <w:rsid w:val="00BA51D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A51DE"/>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BA51DE"/>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1581</Words>
  <Characters>10019</Characters>
  <Application>Microsoft Office Word</Application>
  <DocSecurity>0</DocSecurity>
  <Lines>453</Lines>
  <Paragraphs>200</Paragraphs>
  <ScaleCrop>false</ScaleCrop>
  <Company>Author-it Software Corporation Ltd.</Company>
  <LinksUpToDate>false</LinksUpToDate>
  <CharactersWithSpaces>11478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SITHGAM001A Attend gaming machines</dc:title>
  <dc:subject>Approved</dc:subject>
  <dc:creator>Service Skills Australia</dc:creator>
  <cp:keywords>Revision Number: 1</cp:keywords>
  <dc:description>Copyright © 1996-2007 Author-it Software Corporation Ltd., all rights reserved.</dc:description>
  <cp:lastModifiedBy>Andrew Campey</cp:lastModifiedBy>
  <cp:revision>3</cp:revision>
  <dcterms:created xsi:type="dcterms:W3CDTF">2012-05-26T10:23:00Z</dcterms:created>
  <dcterms:modified xsi:type="dcterms:W3CDTF">2012-05-26T10:23:00Z</dcterms:modified>
</cp:coreProperties>
</file>