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273" w:rsidP="006B4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SITHCCC039B Prepare tenders for catering contracts</w:t>
      </w:r>
      <w:r>
        <w:fldChar w:fldCharType="end"/>
      </w:r>
    </w:p>
    <w:p w:rsidR="006B4273" w:rsidP="006B4273">
      <w:pPr>
        <w:pStyle w:val="Version"/>
        <w:sectPr w:rsidSect="00240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4047F" w:rsidP="0024047F">
      <w:pPr>
        <w:pStyle w:val="SuperHeading"/>
      </w:pPr>
      <w:r w:rsidRPr="0024047F">
        <w:t>SITHCCC039B Prepare tenders for catering contracts</w:t>
      </w:r>
    </w:p>
    <w:p w:rsidR="00000000" w:rsidRPr="0024047F" w:rsidP="0024047F">
      <w:pPr>
        <w:pStyle w:val="SuperHeading"/>
      </w:pPr>
    </w:p>
    <w:p w:rsidR="00000000" w:rsidRPr="0024047F" w:rsidP="0024047F">
      <w:pPr>
        <w:pStyle w:val="Heading1"/>
      </w:pPr>
      <w:bookmarkStart w:id="1" w:name="O_146667"/>
      <w:bookmarkEnd w:id="1"/>
      <w:r w:rsidRPr="0024047F">
        <w:t>Modification History</w:t>
      </w:r>
    </w:p>
    <w:p w:rsidR="00000000" w:rsidRPr="0024047F" w:rsidP="0024047F">
      <w:pPr>
        <w:pStyle w:val="BodyText"/>
      </w:pPr>
      <w:r w:rsidRPr="0024047F">
        <w:t>Not applicable.</w:t>
      </w:r>
    </w:p>
    <w:p w:rsidR="00000000" w:rsidRPr="0024047F" w:rsidP="0024047F">
      <w:pPr>
        <w:pStyle w:val="AllowPageBreak"/>
      </w:pPr>
    </w:p>
    <w:p w:rsidR="00000000" w:rsidRPr="0024047F" w:rsidP="0024047F">
      <w:pPr>
        <w:pStyle w:val="Heading1"/>
      </w:pPr>
      <w:bookmarkStart w:id="2" w:name="O_146668"/>
      <w:bookmarkEnd w:id="2"/>
      <w:r w:rsidRPr="0024047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  <w:r w:rsidRPr="0024047F">
              <w:t>This unit describes the performance outcomes, skills and knowledge required to prepare tenders for</w:t>
            </w:r>
            <w:r w:rsidRPr="0024047F">
              <w:t xml:space="preserve"> catering contracts. </w:t>
            </w:r>
          </w:p>
          <w:p w:rsidR="00000000" w:rsidRPr="0024047F" w:rsidP="0024047F">
            <w:pPr>
              <w:pStyle w:val="BodyText"/>
            </w:pPr>
            <w:r w:rsidRPr="0024047F">
              <w:t>Tenders may relate to contracts for one-off events or for the longer term provision of catering services.</w:t>
            </w:r>
          </w:p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t>No licensing, legislative, regulatory or certification requirements apply to this unit at the time of endorsement.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</w:p>
        </w:tc>
      </w:tr>
    </w:tbl>
    <w:p w:rsidR="00000000" w:rsidRPr="0024047F" w:rsidP="0024047F">
      <w:pPr>
        <w:pStyle w:val="BodyText"/>
      </w:pPr>
    </w:p>
    <w:p w:rsidR="00000000" w:rsidRPr="0024047F" w:rsidP="0024047F">
      <w:pPr>
        <w:pStyle w:val="AllowPageBreak"/>
      </w:pPr>
    </w:p>
    <w:p w:rsidR="00000000" w:rsidRPr="0024047F" w:rsidP="0024047F">
      <w:pPr>
        <w:pStyle w:val="Heading1"/>
      </w:pPr>
      <w:bookmarkStart w:id="3" w:name="O_146669"/>
      <w:bookmarkEnd w:id="3"/>
      <w:r w:rsidRPr="0024047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t>This unit applies to all catering operations where food and related services are provided such as restaurants, educational institutions, health establishments, defence forces, cafeterias, kios</w:t>
            </w:r>
            <w:r w:rsidRPr="0024047F">
              <w:t>ks, cafes, residential catering, in-flight and other transport catering, events catering and private catering. The role could be undertaken by senior operating personnel, marketing coordinators, supervisors or managers within catering operations.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</w:p>
        </w:tc>
      </w:tr>
    </w:tbl>
    <w:p w:rsidR="00000000" w:rsidRPr="0024047F" w:rsidP="0024047F">
      <w:pPr>
        <w:pStyle w:val="BodyText"/>
      </w:pPr>
    </w:p>
    <w:p w:rsidR="00000000" w:rsidRPr="0024047F" w:rsidP="0024047F">
      <w:pPr>
        <w:pStyle w:val="AllowPageBreak"/>
      </w:pPr>
    </w:p>
    <w:p w:rsidR="00000000" w:rsidRPr="0024047F" w:rsidP="0024047F">
      <w:pPr>
        <w:pStyle w:val="Heading1"/>
      </w:pPr>
      <w:bookmarkStart w:id="4" w:name="O_146670"/>
      <w:bookmarkEnd w:id="4"/>
      <w:r w:rsidRPr="0024047F">
        <w:t>Licensing/Regulatory Information</w:t>
      </w:r>
    </w:p>
    <w:p w:rsidR="00000000" w:rsidRPr="0024047F" w:rsidP="0024047F">
      <w:pPr>
        <w:pStyle w:val="BodyText"/>
      </w:pPr>
      <w:r w:rsidRPr="0024047F">
        <w:t>Not applicable.</w:t>
      </w:r>
    </w:p>
    <w:p w:rsidR="00000000" w:rsidRPr="0024047F" w:rsidP="0024047F">
      <w:pPr>
        <w:pStyle w:val="AllowPageBreak"/>
      </w:pPr>
    </w:p>
    <w:p w:rsidR="00000000" w:rsidRPr="0024047F" w:rsidP="0024047F">
      <w:pPr>
        <w:pStyle w:val="Heading1"/>
      </w:pPr>
      <w:bookmarkStart w:id="5" w:name="O_146671"/>
      <w:bookmarkEnd w:id="5"/>
      <w:r w:rsidRPr="0024047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  <w:r w:rsidRPr="0024047F">
              <w:t>This unit must be assessed after the following prerequisite unit:</w:t>
            </w:r>
          </w:p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t>SITXADM003A Write business documents.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</w:p>
        </w:tc>
      </w:tr>
    </w:tbl>
    <w:p w:rsidR="00000000" w:rsidRPr="0024047F" w:rsidP="0024047F">
      <w:pPr>
        <w:pStyle w:val="BodyText"/>
      </w:pPr>
    </w:p>
    <w:p w:rsidR="00000000" w:rsidRPr="0024047F" w:rsidP="0024047F">
      <w:pPr>
        <w:pStyle w:val="AllowPageBreak"/>
      </w:pPr>
    </w:p>
    <w:p w:rsidR="00000000" w:rsidRPr="0024047F" w:rsidP="0024047F">
      <w:pPr>
        <w:pStyle w:val="Heading1"/>
      </w:pPr>
      <w:bookmarkStart w:id="6" w:name="O_146672"/>
      <w:bookmarkEnd w:id="6"/>
      <w:r w:rsidRPr="0024047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t>The required outcomes described in this unit of competency contain applicable facets of employability skills. The Employability Skills Summary of the qualification in which this unit is packaged will as</w:t>
            </w:r>
            <w:r w:rsidRPr="0024047F">
              <w:t>sist in identifying employability skills requirements.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</w:p>
        </w:tc>
      </w:tr>
    </w:tbl>
    <w:p w:rsidR="00000000" w:rsidRPr="0024047F" w:rsidP="0024047F">
      <w:pPr>
        <w:pStyle w:val="BodyText"/>
      </w:pPr>
    </w:p>
    <w:p w:rsidR="00000000" w:rsidRPr="0024047F" w:rsidP="0024047F">
      <w:pPr>
        <w:pStyle w:val="AllowPageBreak"/>
      </w:pPr>
    </w:p>
    <w:p w:rsidR="00000000" w:rsidRPr="0024047F" w:rsidP="0024047F">
      <w:pPr>
        <w:pStyle w:val="Heading1"/>
      </w:pPr>
      <w:bookmarkStart w:id="7" w:name="O_146673"/>
      <w:bookmarkEnd w:id="7"/>
      <w:r w:rsidRPr="0024047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  <w:r w:rsidRPr="0024047F">
              <w:t xml:space="preserve">Performance criteria describe the required performance needed to demonstrate achievement of the element. Where </w:t>
            </w:r>
            <w:r w:rsidRPr="0024047F">
              <w:rPr>
                <w:rStyle w:val="BoldandItalics"/>
              </w:rPr>
              <w:t>bold italicised</w:t>
            </w:r>
            <w:r w:rsidRPr="0024047F">
              <w:t xml:space="preserve"> text is used, further information is detailed in the required skills and knowledge and/or the range statement. Assessment of perf</w:t>
            </w:r>
            <w:r w:rsidRPr="0024047F">
              <w:t>ormance is to be consistent with the evidence guide.</w:t>
            </w:r>
          </w:p>
        </w:tc>
      </w:tr>
    </w:tbl>
    <w:p w:rsidR="00000000" w:rsidRPr="0024047F" w:rsidP="0024047F">
      <w:pPr>
        <w:pStyle w:val="BodyText"/>
      </w:pPr>
    </w:p>
    <w:p w:rsidR="00000000" w:rsidRPr="0024047F" w:rsidP="0024047F">
      <w:pPr>
        <w:pStyle w:val="AllowPageBreak"/>
      </w:pPr>
    </w:p>
    <w:p w:rsidR="00000000" w:rsidRPr="0024047F" w:rsidP="0024047F">
      <w:pPr>
        <w:pStyle w:val="Heading1"/>
      </w:pPr>
      <w:bookmarkStart w:id="8" w:name="O_146674"/>
      <w:bookmarkEnd w:id="8"/>
      <w:r w:rsidRPr="002404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List"/>
            </w:pPr>
            <w:r w:rsidRPr="0024047F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rPr>
                <w:rStyle w:val="SpecialBold"/>
              </w:rPr>
              <w:t>PERFORMANCE CRITERIA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Clarify requirements of catering tenders.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 xml:space="preserve">Interpret </w:t>
            </w:r>
            <w:r w:rsidRPr="0024047F">
              <w:rPr>
                <w:rStyle w:val="BoldandItalics"/>
              </w:rPr>
              <w:t>contents of the tender brief</w:t>
            </w:r>
            <w:r w:rsidRPr="0024047F">
              <w:t xml:space="preserve"> and assess in terms </w:t>
            </w:r>
            <w:r w:rsidRPr="0024047F">
              <w:t>of the organisation's capacity to meet stated requirements.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Identify and plan action required for development of the tender submission.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Identify fixed and variable costs within the brief.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 xml:space="preserve">Undertake liaison with the customer to clarify </w:t>
            </w:r>
            <w:r w:rsidRPr="0024047F">
              <w:t>requirements where appropriate.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Develop details for inclusion in tender.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Develop proposed products and outcomes to meet tender requirements, including menus, food and beverage specifications, style of service, theme and decor.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 xml:space="preserve">Develop proposed </w:t>
            </w:r>
            <w:r w:rsidRPr="0024047F">
              <w:rPr>
                <w:rStyle w:val="BoldandItalics"/>
              </w:rPr>
              <w:t>operational details</w:t>
            </w:r>
            <w:r w:rsidRPr="0024047F">
              <w:t xml:space="preserve"> to meet tender requirements.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Develop accurate costi</w:t>
            </w:r>
            <w:r w:rsidRPr="0024047F">
              <w:t>ngs for all proposed products and services.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2.4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Develop options to meet and where possible exceed the expectations of the customer.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2.5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Evaluate possible competitors and develop appropriate strategies to address competitive issues.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Prepare tender documents.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Prepare tender documents within the designated timelines according to requirements of the brief.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List"/>
              <w:rPr>
                <w:lang w:val="en-NZ"/>
              </w:rPr>
            </w:pPr>
            <w:r w:rsidRPr="0024047F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List"/>
            </w:pPr>
            <w:r w:rsidRPr="0024047F">
              <w:t>Present tender documents in a format that maximises the use of presentation and promotional techniques.</w:t>
            </w:r>
          </w:p>
        </w:tc>
      </w:tr>
    </w:tbl>
    <w:p w:rsidR="00000000" w:rsidRPr="0024047F" w:rsidP="0024047F">
      <w:pPr>
        <w:pStyle w:val="BodyText"/>
      </w:pPr>
    </w:p>
    <w:p w:rsidR="00000000" w:rsidRPr="0024047F" w:rsidP="0024047F">
      <w:pPr>
        <w:pStyle w:val="AllowPageBreak"/>
      </w:pPr>
    </w:p>
    <w:p w:rsidR="00000000" w:rsidRPr="0024047F" w:rsidP="0024047F">
      <w:pPr>
        <w:pStyle w:val="Heading1"/>
      </w:pPr>
      <w:bookmarkStart w:id="9" w:name="O_146675"/>
      <w:bookmarkEnd w:id="9"/>
      <w:r w:rsidRPr="0024047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REQUIRED SKILLS AND KNOWLEDGE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t>This section describes the essential skills and knowledge and their level, required for this unit.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  <w:r w:rsidRPr="0024047F">
              <w:t>The following skills must be assessed as part of this unit:</w:t>
            </w:r>
          </w:p>
          <w:p w:rsidR="00000000" w:rsidRPr="0024047F" w:rsidP="0024047F">
            <w:pPr>
              <w:pStyle w:val="ListBullet"/>
            </w:pPr>
            <w:r w:rsidRPr="0024047F">
              <w:t>presentation techniques for tender documents</w:t>
            </w:r>
          </w:p>
          <w:p w:rsidR="00000000" w:rsidRPr="0024047F" w:rsidP="0024047F">
            <w:pPr>
              <w:pStyle w:val="ListBullet"/>
            </w:pPr>
            <w:r w:rsidRPr="0024047F">
              <w:t>problem-solving skills to deal with inability to access services or products or to work out least expensive options</w:t>
            </w:r>
          </w:p>
          <w:p w:rsidR="00000000" w:rsidRPr="0024047F" w:rsidP="0024047F">
            <w:pPr>
              <w:pStyle w:val="ListBullet"/>
            </w:pPr>
            <w:r w:rsidRPr="0024047F">
              <w:t>literacy skills to read information about an event or catering operation and costings</w:t>
            </w:r>
          </w:p>
          <w:p w:rsidR="00000000" w:rsidP="0024047F">
            <w:pPr>
              <w:pStyle w:val="ListBullet"/>
              <w:rPr>
                <w:lang w:val="en-NZ"/>
              </w:rPr>
            </w:pPr>
            <w:r w:rsidRPr="0024047F">
              <w:t xml:space="preserve">numeracy </w:t>
            </w:r>
            <w:r w:rsidRPr="0024047F">
              <w:t>skills to calculate costs for the tender.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  <w:r w:rsidRPr="0024047F">
              <w:t>The following knowledge must be assessed as part of this unit:</w:t>
            </w:r>
          </w:p>
          <w:p w:rsidR="00000000" w:rsidRPr="0024047F" w:rsidP="0024047F">
            <w:pPr>
              <w:pStyle w:val="ListBullet"/>
            </w:pPr>
            <w:r w:rsidRPr="0024047F">
              <w:t>components typically required for catering tenders and detailed knowledge of the operational and cost issues associated with each of those componen</w:t>
            </w:r>
            <w:r w:rsidRPr="0024047F">
              <w:t>ts</w:t>
            </w:r>
          </w:p>
          <w:p w:rsidR="00000000" w:rsidRPr="0024047F" w:rsidP="0024047F">
            <w:pPr>
              <w:pStyle w:val="ListBullet"/>
            </w:pPr>
            <w:r w:rsidRPr="0024047F">
              <w:t>quality assurance issues related to catering tenders.</w:t>
            </w:r>
          </w:p>
        </w:tc>
      </w:tr>
    </w:tbl>
    <w:p w:rsidR="006B4273" w:rsidP="0024047F">
      <w:pPr>
        <w:pStyle w:val="BodyText"/>
      </w:pPr>
    </w:p>
    <w:p w:rsidR="006B4273" w:rsidP="0024047F">
      <w:pPr>
        <w:pStyle w:val="BodyText"/>
      </w:pPr>
    </w:p>
    <w:p w:rsidR="00000000" w:rsidRPr="0024047F" w:rsidP="0024047F">
      <w:pPr>
        <w:pStyle w:val="Heading1"/>
      </w:pPr>
      <w:bookmarkStart w:id="10" w:name="O_146676"/>
      <w:bookmarkEnd w:id="10"/>
      <w:r w:rsidRPr="0024047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EVIDENCE GUIDE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t xml:space="preserve">The evidence guide provides advice on assessment and must be read in conjunction with the performance criteria, required skills and knowledge, </w:t>
            </w:r>
            <w:r w:rsidRPr="0024047F">
              <w:t>the range statement and the Assessment Guidelines for this Training Package.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Critical aspects for assessment and evidence required to demonstrate competency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  <w:r w:rsidRPr="0024047F">
              <w:t>Evidence of the following is essential:</w:t>
            </w:r>
          </w:p>
          <w:p w:rsidR="00000000" w:rsidRPr="0024047F" w:rsidP="0024047F">
            <w:pPr>
              <w:pStyle w:val="ListBullet"/>
            </w:pPr>
            <w:r w:rsidRPr="0024047F">
              <w:t>ability to prepare a tender document for a specific commercial catering contract, including effective assessment of the brief, coordination of tender details, accurate and profitable costing and professional presentation</w:t>
            </w:r>
          </w:p>
          <w:p w:rsidR="00000000" w:rsidP="0024047F">
            <w:pPr>
              <w:pStyle w:val="ListBullet"/>
              <w:rPr>
                <w:lang w:val="en-NZ"/>
              </w:rPr>
            </w:pPr>
            <w:r w:rsidRPr="0024047F">
              <w:t>knowledge of typical requirements a</w:t>
            </w:r>
            <w:r w:rsidRPr="0024047F">
              <w:t>nd formats for catering tender documents.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Context of and specific resources for assessment</w:t>
            </w:r>
            <w:r w:rsidRPr="0024047F">
              <w:t xml:space="preserve">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  <w:r w:rsidRPr="0024047F">
              <w:t>Assessment must ensure:</w:t>
            </w:r>
          </w:p>
          <w:p w:rsidR="00000000" w:rsidP="0024047F">
            <w:pPr>
              <w:pStyle w:val="ListBullet"/>
              <w:rPr>
                <w:lang w:val="en-NZ"/>
              </w:rPr>
            </w:pPr>
            <w:r w:rsidRPr="0024047F">
              <w:t xml:space="preserve">project or work activities that allow the candidate to prepare a fully-costed tender for a specific catering contract in a competitive </w:t>
            </w:r>
            <w:r w:rsidRPr="0024047F">
              <w:t>bidding environment.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Methods of assessment</w:t>
            </w:r>
            <w:r w:rsidRPr="0024047F">
              <w:t xml:space="preserve">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  <w:r w:rsidRPr="0024047F">
              <w:t xml:space="preserve">A range of assessment methods should be used to assess practical skills and knowledge. The following examples are appropriate for this unit: </w:t>
            </w:r>
          </w:p>
          <w:p w:rsidR="00000000" w:rsidRPr="0024047F" w:rsidP="0024047F">
            <w:pPr>
              <w:pStyle w:val="ListBullet"/>
            </w:pPr>
            <w:r w:rsidRPr="0024047F">
              <w:t>review of tenders prepared by candidate for a particular event or catering contract</w:t>
            </w:r>
          </w:p>
          <w:p w:rsidR="00000000" w:rsidRPr="0024047F" w:rsidP="0024047F">
            <w:pPr>
              <w:pStyle w:val="ListBullet"/>
            </w:pPr>
            <w:r w:rsidRPr="0024047F">
              <w:t>case studies to assess ability to develop options to meet differing tender briefs</w:t>
            </w:r>
          </w:p>
          <w:p w:rsidR="00000000" w:rsidRPr="0024047F" w:rsidP="0024047F">
            <w:pPr>
              <w:pStyle w:val="ListBullet"/>
            </w:pPr>
            <w:r w:rsidRPr="0024047F">
              <w:t>review of reports prepared by the candidate detailing the major issues and factors to be c</w:t>
            </w:r>
            <w:r w:rsidRPr="0024047F">
              <w:t>onsidered when preparing tenders for catering contracts</w:t>
            </w:r>
          </w:p>
          <w:p w:rsidR="00000000" w:rsidRPr="0024047F" w:rsidP="0024047F">
            <w:pPr>
              <w:pStyle w:val="ListBullet"/>
            </w:pPr>
            <w:r w:rsidRPr="0024047F">
              <w:t>review of portfolios of evidence and third-party workplace reports of on-the-job performance by the candidate.</w:t>
            </w:r>
          </w:p>
          <w:p w:rsidR="00000000" w:rsidRPr="0024047F" w:rsidP="0024047F">
            <w:pPr>
              <w:pStyle w:val="BodyText"/>
            </w:pPr>
            <w:r w:rsidRPr="0024047F">
              <w:t>Holistic assessment with other units relevant to the industry sector, workplace and job r</w:t>
            </w:r>
            <w:r w:rsidRPr="0024047F">
              <w:t>ole is recommended, for example:</w:t>
            </w:r>
          </w:p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t>SITHCCC038B Plan catering for an event or function.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  <w:r w:rsidRPr="0024047F">
              <w:t>Employability skills are integral to effective performance in the workplace and are broadly consistent across industry sectors. How thes</w:t>
            </w:r>
            <w:r w:rsidRPr="0024047F">
              <w:t>e skills are applied varies between occupations and qualifications due to the different work functions and contexts.</w:t>
            </w:r>
          </w:p>
          <w:p w:rsidR="00000000" w:rsidRPr="0024047F" w:rsidP="0024047F">
            <w:pPr>
              <w:pStyle w:val="BodyText"/>
            </w:pPr>
            <w:r w:rsidRPr="0024047F">
              <w:t>Employability skills embedded in this unit should be assessed holistically with other relevant units that make up the skill set or qualific</w:t>
            </w:r>
            <w:r w:rsidRPr="0024047F">
              <w:t>ation and in the context of the job role.</w:t>
            </w:r>
          </w:p>
        </w:tc>
      </w:tr>
    </w:tbl>
    <w:p w:rsidR="006B4273" w:rsidP="0024047F">
      <w:pPr>
        <w:pStyle w:val="BodyText"/>
      </w:pPr>
    </w:p>
    <w:p w:rsidR="006B4273" w:rsidP="0024047F">
      <w:pPr>
        <w:pStyle w:val="BodyText"/>
      </w:pPr>
    </w:p>
    <w:p w:rsidR="00000000" w:rsidRPr="0024047F" w:rsidP="0024047F">
      <w:pPr>
        <w:pStyle w:val="Heading1"/>
      </w:pPr>
      <w:bookmarkStart w:id="11" w:name="O_146677"/>
      <w:bookmarkEnd w:id="11"/>
      <w:r w:rsidRPr="0024047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RANGE STATEMENT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t xml:space="preserve">The range statement relates to the unit of competency as a whole. It allows for different work environments and situations that may affect </w:t>
            </w:r>
            <w:r w:rsidRPr="0024047F">
              <w:t>performance. Bold italicised wording in the performance criteria is detailed below.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BoldandItalics"/>
              </w:rPr>
              <w:t>Contents of the tender brief</w:t>
            </w:r>
            <w:r w:rsidRPr="0024047F">
              <w:t xml:space="preserve"> may include details of: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ListBullet"/>
            </w:pPr>
            <w:r w:rsidRPr="0024047F">
              <w:t>services required</w:t>
            </w:r>
          </w:p>
          <w:p w:rsidR="00000000" w:rsidRPr="0024047F" w:rsidP="0024047F">
            <w:pPr>
              <w:pStyle w:val="ListBullet"/>
            </w:pPr>
            <w:r w:rsidRPr="0024047F">
              <w:t>style of service</w:t>
            </w:r>
          </w:p>
          <w:p w:rsidR="00000000" w:rsidRPr="0024047F" w:rsidP="0024047F">
            <w:pPr>
              <w:pStyle w:val="ListBullet"/>
            </w:pPr>
            <w:r w:rsidRPr="0024047F">
              <w:t>customers or audience</w:t>
            </w:r>
          </w:p>
          <w:p w:rsidR="00000000" w:rsidRPr="0024047F" w:rsidP="0024047F">
            <w:pPr>
              <w:pStyle w:val="ListBullet"/>
            </w:pPr>
            <w:r w:rsidRPr="0024047F">
              <w:t>budget requirements</w:t>
            </w:r>
          </w:p>
          <w:p w:rsidR="00000000" w:rsidRPr="0024047F" w:rsidP="0024047F">
            <w:pPr>
              <w:pStyle w:val="ListBullet"/>
            </w:pPr>
            <w:r w:rsidRPr="0024047F">
              <w:t>legal responsibilities of the contractor</w:t>
            </w:r>
          </w:p>
          <w:p w:rsidR="00000000" w:rsidRPr="0024047F" w:rsidP="0024047F">
            <w:pPr>
              <w:pStyle w:val="ListBullet"/>
            </w:pPr>
            <w:r w:rsidRPr="0024047F">
              <w:t>legal responsibilities of the principal</w:t>
            </w:r>
          </w:p>
          <w:p w:rsidR="00000000" w:rsidP="0024047F">
            <w:pPr>
              <w:pStyle w:val="ListBullet"/>
              <w:rPr>
                <w:lang w:val="en-NZ"/>
              </w:rPr>
            </w:pPr>
            <w:r w:rsidRPr="0024047F">
              <w:t>operational and financial management requirements.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BoldandItalics"/>
              </w:rPr>
              <w:t>Operational details</w:t>
            </w:r>
            <w:r w:rsidRPr="0024047F">
              <w:t xml:space="preserve"> must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ListBullet"/>
            </w:pPr>
            <w:r w:rsidRPr="0024047F">
              <w:t>staffing</w:t>
            </w:r>
          </w:p>
          <w:p w:rsidR="00000000" w:rsidRPr="0024047F" w:rsidP="0024047F">
            <w:pPr>
              <w:pStyle w:val="ListBullet"/>
            </w:pPr>
            <w:r w:rsidRPr="0024047F">
              <w:t>transport</w:t>
            </w:r>
          </w:p>
          <w:p w:rsidR="00000000" w:rsidRPr="0024047F" w:rsidP="0024047F">
            <w:pPr>
              <w:pStyle w:val="ListBullet"/>
            </w:pPr>
            <w:r w:rsidRPr="0024047F">
              <w:t>stock control</w:t>
            </w:r>
          </w:p>
          <w:p w:rsidR="00000000" w:rsidRPr="0024047F" w:rsidP="0024047F">
            <w:pPr>
              <w:pStyle w:val="ListBullet"/>
            </w:pPr>
            <w:r w:rsidRPr="0024047F">
              <w:t>equipment and resources</w:t>
            </w:r>
          </w:p>
          <w:p w:rsidR="00000000" w:rsidRPr="0024047F" w:rsidP="0024047F">
            <w:pPr>
              <w:pStyle w:val="ListBullet"/>
            </w:pPr>
            <w:r w:rsidRPr="0024047F">
              <w:t>security and emergency plan</w:t>
            </w:r>
          </w:p>
          <w:p w:rsidR="00000000" w:rsidRPr="0024047F" w:rsidP="0024047F">
            <w:pPr>
              <w:pStyle w:val="ListBullet"/>
            </w:pPr>
            <w:r w:rsidRPr="0024047F">
              <w:t>plans for recycling and correct and environmentally sound disposal of kitchen waste and hazardous substances.</w:t>
            </w:r>
          </w:p>
          <w:p w:rsidR="00000000" w:rsidRPr="0024047F" w:rsidP="0024047F">
            <w:pPr>
              <w:pStyle w:val="ListBullet"/>
            </w:pPr>
            <w:r w:rsidRPr="0024047F">
              <w:t>facilities management approaches.</w:t>
            </w:r>
          </w:p>
        </w:tc>
      </w:tr>
    </w:tbl>
    <w:p w:rsidR="006B4273" w:rsidP="0024047F">
      <w:pPr>
        <w:pStyle w:val="BodyText"/>
      </w:pPr>
    </w:p>
    <w:p w:rsidR="006B4273" w:rsidP="0024047F">
      <w:pPr>
        <w:pStyle w:val="BodyText"/>
      </w:pPr>
    </w:p>
    <w:p w:rsidR="00000000" w:rsidRPr="0024047F" w:rsidP="0024047F">
      <w:pPr>
        <w:pStyle w:val="Heading1"/>
      </w:pPr>
      <w:bookmarkStart w:id="12" w:name="O_146678"/>
      <w:bookmarkEnd w:id="12"/>
      <w:r w:rsidRPr="0024047F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  <w:r w:rsidRPr="0024047F">
              <w:t>Hospitality</w:t>
            </w:r>
          </w:p>
        </w:tc>
      </w:tr>
    </w:tbl>
    <w:p w:rsidR="00000000" w:rsidRPr="0024047F" w:rsidP="0024047F">
      <w:pPr>
        <w:pStyle w:val="BodyText"/>
      </w:pPr>
    </w:p>
    <w:p w:rsidR="00000000" w:rsidRPr="0024047F" w:rsidP="0024047F">
      <w:pPr>
        <w:pStyle w:val="AllowPageBreak"/>
      </w:pPr>
    </w:p>
    <w:p w:rsidR="00000000" w:rsidRPr="0024047F" w:rsidP="0024047F">
      <w:pPr>
        <w:pStyle w:val="Heading1"/>
      </w:pPr>
      <w:bookmarkStart w:id="13" w:name="O_163307"/>
      <w:bookmarkEnd w:id="13"/>
      <w:r w:rsidRPr="0024047F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7F">
            <w:pPr>
              <w:pStyle w:val="BodyText"/>
              <w:rPr>
                <w:lang w:val="en-NZ"/>
              </w:rPr>
            </w:pPr>
            <w:r w:rsidRPr="0024047F">
              <w:t>Commercial Cookery and Catering</w:t>
            </w:r>
          </w:p>
        </w:tc>
      </w:tr>
      <w:tr w:rsidTr="006B4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7F" w:rsidP="0024047F">
            <w:pPr>
              <w:pStyle w:val="BodyText"/>
            </w:pPr>
          </w:p>
        </w:tc>
      </w:tr>
    </w:tbl>
    <w:p w:rsidR="00000000" w:rsidRPr="0024047F" w:rsidP="0024047F">
      <w:pPr>
        <w:pStyle w:val="BodyText"/>
      </w:pPr>
    </w:p>
    <w:p w:rsidR="00000000" w:rsidRPr="0024047F" w:rsidP="0024047F"/>
    <w:sectPr w:rsidSect="002404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4273" w:rsidP="006B4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73" w:rsidP="00240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B4273" w:rsidP="00240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B4273" w:rsidP="0024047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4273" w:rsidP="006B427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73" w:rsidP="00240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SITHCCC039B Prepare tenders for catering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B4273" w:rsidP="0024047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320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8A6B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40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47F"/>
  </w:style>
  <w:style w:type="character" w:customStyle="1" w:styleId="Heading1Char">
    <w:name w:val="Heading 1 Char"/>
    <w:basedOn w:val="DefaultParagraphFont"/>
    <w:link w:val="Heading1"/>
    <w:rsid w:val="00240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4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47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40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47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404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04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047F"/>
    <w:rPr>
      <w:b/>
      <w:spacing w:val="0"/>
    </w:rPr>
  </w:style>
  <w:style w:type="paragraph" w:styleId="Header">
    <w:name w:val="header"/>
    <w:basedOn w:val="Normal"/>
    <w:link w:val="HeaderChar"/>
    <w:rsid w:val="00240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4047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40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4047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40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4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404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4047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40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40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4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0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0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04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0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47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40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47F"/>
    <w:rPr>
      <w:i/>
    </w:rPr>
  </w:style>
  <w:style w:type="paragraph" w:styleId="Caption">
    <w:name w:val="caption"/>
    <w:basedOn w:val="BodyText"/>
    <w:next w:val="Normal"/>
    <w:qFormat/>
    <w:rsid w:val="00240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47F"/>
  </w:style>
  <w:style w:type="paragraph" w:styleId="TableofFigures">
    <w:name w:val="table of figures"/>
    <w:basedOn w:val="Normal"/>
    <w:next w:val="Normal"/>
    <w:semiHidden/>
    <w:rsid w:val="00240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47F"/>
    <w:pPr>
      <w:numPr>
        <w:numId w:val="10"/>
      </w:numPr>
    </w:pPr>
  </w:style>
  <w:style w:type="character" w:customStyle="1" w:styleId="WingdingSymbols">
    <w:name w:val="Wingding Symbols"/>
    <w:rsid w:val="0024047F"/>
    <w:rPr>
      <w:rFonts w:ascii="Wingdings" w:hAnsi="Wingdings"/>
    </w:rPr>
  </w:style>
  <w:style w:type="paragraph" w:customStyle="1" w:styleId="TableHeading">
    <w:name w:val="Table Heading"/>
    <w:basedOn w:val="HeadingBase"/>
    <w:rsid w:val="00240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47F"/>
    <w:rPr>
      <w:color w:val="0033CC"/>
      <w:u w:val="none"/>
    </w:rPr>
  </w:style>
  <w:style w:type="paragraph" w:customStyle="1" w:styleId="BodyTextRight">
    <w:name w:val="Body Text Right"/>
    <w:basedOn w:val="BodyText"/>
    <w:rsid w:val="00240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4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47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4047F"/>
    <w:rPr>
      <w:sz w:val="32"/>
    </w:rPr>
  </w:style>
  <w:style w:type="paragraph" w:customStyle="1" w:styleId="HeadingProcedure">
    <w:name w:val="Heading Procedure"/>
    <w:basedOn w:val="HeadingBase"/>
    <w:next w:val="Normal"/>
    <w:rsid w:val="00240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47F"/>
    <w:pPr>
      <w:spacing w:before="60" w:after="60"/>
    </w:pPr>
  </w:style>
  <w:style w:type="paragraph" w:styleId="ListContinue">
    <w:name w:val="List Continue"/>
    <w:basedOn w:val="List"/>
    <w:rsid w:val="0024047F"/>
    <w:pPr>
      <w:ind w:firstLine="0"/>
    </w:pPr>
  </w:style>
  <w:style w:type="paragraph" w:customStyle="1" w:styleId="ListNote">
    <w:name w:val="List Note"/>
    <w:basedOn w:val="List"/>
    <w:rsid w:val="00240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47F"/>
    <w:rPr>
      <w:rFonts w:ascii="Courier New" w:hAnsi="Courier New"/>
    </w:rPr>
  </w:style>
  <w:style w:type="paragraph" w:customStyle="1" w:styleId="NoteBullet">
    <w:name w:val="Note Bullet"/>
    <w:basedOn w:val="Note"/>
    <w:rsid w:val="00240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4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47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4047F"/>
    <w:rPr>
      <w:b/>
      <w:smallCaps/>
    </w:rPr>
  </w:style>
  <w:style w:type="paragraph" w:customStyle="1" w:styleId="TableListNumber">
    <w:name w:val="Table List Number"/>
    <w:basedOn w:val="ListNumber"/>
    <w:rsid w:val="00240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47F"/>
    <w:pPr>
      <w:numPr>
        <w:numId w:val="8"/>
      </w:numPr>
    </w:pPr>
  </w:style>
  <w:style w:type="paragraph" w:customStyle="1" w:styleId="ListAlpha2">
    <w:name w:val="List Alpha 2"/>
    <w:basedOn w:val="List2"/>
    <w:rsid w:val="0024047F"/>
    <w:pPr>
      <w:numPr>
        <w:numId w:val="7"/>
      </w:numPr>
    </w:pPr>
  </w:style>
  <w:style w:type="paragraph" w:styleId="List2">
    <w:name w:val="List 2"/>
    <w:basedOn w:val="BodyText"/>
    <w:rsid w:val="00240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4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47F"/>
    <w:pPr>
      <w:numPr>
        <w:numId w:val="2"/>
      </w:numPr>
    </w:pPr>
  </w:style>
  <w:style w:type="paragraph" w:styleId="ListBullet5">
    <w:name w:val="List Bullet 5"/>
    <w:basedOn w:val="List5"/>
    <w:rsid w:val="0024047F"/>
    <w:pPr>
      <w:numPr>
        <w:numId w:val="3"/>
      </w:numPr>
    </w:pPr>
  </w:style>
  <w:style w:type="paragraph" w:styleId="ListContinue2">
    <w:name w:val="List Continue 2"/>
    <w:basedOn w:val="List2"/>
    <w:rsid w:val="0024047F"/>
    <w:pPr>
      <w:ind w:firstLine="0"/>
    </w:pPr>
  </w:style>
  <w:style w:type="paragraph" w:styleId="ListContinue3">
    <w:name w:val="List Continue 3"/>
    <w:basedOn w:val="List3"/>
    <w:rsid w:val="0024047F"/>
    <w:pPr>
      <w:ind w:left="1021" w:firstLine="0"/>
    </w:pPr>
  </w:style>
  <w:style w:type="paragraph" w:styleId="ListContinue4">
    <w:name w:val="List Continue 4"/>
    <w:basedOn w:val="List4"/>
    <w:rsid w:val="0024047F"/>
    <w:pPr>
      <w:ind w:firstLine="0"/>
    </w:pPr>
  </w:style>
  <w:style w:type="paragraph" w:styleId="ListContinue5">
    <w:name w:val="List Continue 5"/>
    <w:basedOn w:val="List5"/>
    <w:rsid w:val="0024047F"/>
    <w:pPr>
      <w:ind w:firstLine="0"/>
    </w:pPr>
  </w:style>
  <w:style w:type="paragraph" w:styleId="ListNumber3">
    <w:name w:val="List Number 3"/>
    <w:basedOn w:val="List3"/>
    <w:rsid w:val="0024047F"/>
    <w:pPr>
      <w:numPr>
        <w:numId w:val="4"/>
      </w:numPr>
    </w:pPr>
  </w:style>
  <w:style w:type="paragraph" w:styleId="ListNumber4">
    <w:name w:val="List Number 4"/>
    <w:basedOn w:val="List4"/>
    <w:rsid w:val="0024047F"/>
    <w:pPr>
      <w:numPr>
        <w:numId w:val="5"/>
      </w:numPr>
    </w:pPr>
  </w:style>
  <w:style w:type="paragraph" w:styleId="ListNumber5">
    <w:name w:val="List Number 5"/>
    <w:basedOn w:val="List5"/>
    <w:rsid w:val="0024047F"/>
    <w:pPr>
      <w:numPr>
        <w:numId w:val="6"/>
      </w:numPr>
    </w:pPr>
  </w:style>
  <w:style w:type="paragraph" w:styleId="BlockText">
    <w:name w:val="Block Text"/>
    <w:basedOn w:val="Normal"/>
    <w:rsid w:val="00240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47F"/>
    <w:rPr>
      <w:sz w:val="16"/>
      <w:vertAlign w:val="superscript"/>
    </w:rPr>
  </w:style>
  <w:style w:type="character" w:customStyle="1" w:styleId="Symbols">
    <w:name w:val="Symbols"/>
    <w:basedOn w:val="DefaultParagraphFont"/>
    <w:rsid w:val="0024047F"/>
    <w:rPr>
      <w:rFonts w:ascii="Symbol" w:hAnsi="Symbol"/>
    </w:rPr>
  </w:style>
  <w:style w:type="character" w:customStyle="1" w:styleId="MenuOptions">
    <w:name w:val="Menu Options"/>
    <w:basedOn w:val="DefaultParagraphFont"/>
    <w:rsid w:val="00240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47F"/>
    <w:rPr>
      <w:b/>
    </w:rPr>
  </w:style>
  <w:style w:type="character" w:customStyle="1" w:styleId="Underlined">
    <w:name w:val="Underlined"/>
    <w:basedOn w:val="DefaultParagraphFont"/>
    <w:rsid w:val="0024047F"/>
    <w:rPr>
      <w:u w:val="single"/>
    </w:rPr>
  </w:style>
  <w:style w:type="paragraph" w:customStyle="1" w:styleId="TableBodyTextRight">
    <w:name w:val="Table Body Text Right"/>
    <w:basedOn w:val="TableBodyText"/>
    <w:rsid w:val="00240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47F"/>
    <w:rPr>
      <w:sz w:val="18"/>
    </w:rPr>
  </w:style>
  <w:style w:type="paragraph" w:customStyle="1" w:styleId="BodySmallRight">
    <w:name w:val="Body Small Right"/>
    <w:basedOn w:val="BodyTextRight"/>
    <w:rsid w:val="0024047F"/>
    <w:rPr>
      <w:sz w:val="18"/>
      <w:szCs w:val="18"/>
    </w:rPr>
  </w:style>
  <w:style w:type="paragraph" w:customStyle="1" w:styleId="MarginEdition">
    <w:name w:val="Margin Edition"/>
    <w:basedOn w:val="MarginNote"/>
    <w:rsid w:val="00240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47F"/>
    <w:rPr>
      <w:sz w:val="2"/>
      <w:szCs w:val="2"/>
    </w:rPr>
  </w:style>
  <w:style w:type="character" w:customStyle="1" w:styleId="Small">
    <w:name w:val="Small"/>
    <w:basedOn w:val="DefaultParagraphFont"/>
    <w:rsid w:val="0024047F"/>
    <w:rPr>
      <w:sz w:val="16"/>
    </w:rPr>
  </w:style>
  <w:style w:type="paragraph" w:customStyle="1" w:styleId="WideTable">
    <w:name w:val="Wide Table"/>
    <w:basedOn w:val="Normal"/>
    <w:rsid w:val="00240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47F"/>
  </w:style>
  <w:style w:type="paragraph" w:styleId="Quote">
    <w:name w:val="Quote"/>
    <w:basedOn w:val="Heading1"/>
    <w:link w:val="QuoteChar"/>
    <w:qFormat/>
    <w:rsid w:val="00240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47F"/>
    <w:pPr>
      <w:pageBreakBefore/>
    </w:pPr>
  </w:style>
  <w:style w:type="paragraph" w:customStyle="1" w:styleId="Border">
    <w:name w:val="Border"/>
    <w:basedOn w:val="Normal"/>
    <w:qFormat/>
    <w:rsid w:val="00240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47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40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47F"/>
    <w:rPr>
      <w:u w:val="single"/>
    </w:rPr>
  </w:style>
  <w:style w:type="paragraph" w:styleId="BalloonText">
    <w:name w:val="Balloon Text"/>
    <w:basedOn w:val="Normal"/>
    <w:link w:val="BalloonTextChar"/>
    <w:rsid w:val="00240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47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404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47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967</Words>
  <Characters>5997</Characters>
  <Application>Microsoft Office Word</Application>
  <DocSecurity>0</DocSecurity>
  <Lines>263</Lines>
  <Paragraphs>113</Paragraphs>
  <ScaleCrop>false</ScaleCrop>
  <Company>Author-it Software Corporation Ltd.</Company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SITHCCC039B Prepare tenders for catering contracts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2012-05-26T10:21:00Z</dcterms:created>
  <dcterms:modified xsi:type="dcterms:W3CDTF">2012-05-26T10:21:00Z</dcterms:modified>
</cp:coreProperties>
</file>