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FC5" w:rsidP="003B6FC5">
      <w:pPr>
        <w:pStyle w:val="Title"/>
      </w:pPr>
      <w:r>
        <w:fldChar w:fldCharType="begin"/>
      </w:r>
      <w:r>
        <w:instrText xml:space="preserve"> TITLE   \* MERGEFORMAT </w:instrText>
      </w:r>
      <w:r>
        <w:fldChar w:fldCharType="separate"/>
      </w:r>
      <w:r>
        <w:t>SITHCCC032A Apply cook-chill production processes</w:t>
      </w:r>
      <w:r>
        <w:fldChar w:fldCharType="end"/>
      </w:r>
    </w:p>
    <w:p w:rsidR="003B6FC5" w:rsidP="003B6FC5">
      <w:pPr>
        <w:pStyle w:val="Version"/>
        <w:sectPr w:rsidSect="005B1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1E02" w:rsidP="005B1E02">
      <w:pPr>
        <w:pStyle w:val="SuperHeading"/>
      </w:pPr>
      <w:r w:rsidRPr="005B1E02">
        <w:t>SITHCCC032A Apply cook-chill production processes</w:t>
      </w:r>
    </w:p>
    <w:p w:rsidR="00000000" w:rsidRPr="005B1E02" w:rsidP="005B1E02">
      <w:pPr>
        <w:pStyle w:val="SuperHeading"/>
      </w:pPr>
    </w:p>
    <w:p w:rsidR="00000000" w:rsidRPr="005B1E02" w:rsidP="005B1E02">
      <w:pPr>
        <w:pStyle w:val="Heading1"/>
      </w:pPr>
      <w:bookmarkStart w:id="1" w:name="O_146583"/>
      <w:bookmarkEnd w:id="1"/>
      <w:r w:rsidRPr="005B1E02">
        <w:t>Modification History</w:t>
      </w:r>
    </w:p>
    <w:p w:rsidR="00000000" w:rsidRPr="005B1E02" w:rsidP="005B1E02">
      <w:pPr>
        <w:pStyle w:val="BodyText"/>
      </w:pPr>
      <w:r w:rsidRPr="005B1E02">
        <w:t>Not applicable.</w:t>
      </w:r>
    </w:p>
    <w:p w:rsidR="00000000" w:rsidRPr="005B1E02" w:rsidP="005B1E02">
      <w:pPr>
        <w:pStyle w:val="AllowPageBreak"/>
      </w:pPr>
    </w:p>
    <w:p w:rsidR="00000000" w:rsidRPr="005B1E02" w:rsidP="005B1E02">
      <w:pPr>
        <w:pStyle w:val="Heading1"/>
      </w:pPr>
      <w:bookmarkStart w:id="2" w:name="O_146584"/>
      <w:bookmarkEnd w:id="2"/>
      <w:r w:rsidRPr="005B1E02">
        <w:t>Unit Descriptor</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This unit describes the performance outcomes, skills and knowledge required to apply the planned pr</w:t>
            </w:r>
            <w:r w:rsidRPr="005B1E02">
              <w:t>ocess of food preparation, cooking, chilling, storage and re-thermalisation of food by cook-chill. The unit applies to food production by cook-chill methods either in an enterprise workplace or in a centralised production kitchen.</w:t>
            </w:r>
          </w:p>
          <w:p w:rsidR="00000000" w:rsidP="005B1E02">
            <w:pPr>
              <w:pStyle w:val="BodyText"/>
              <w:rPr>
                <w:lang w:val="en-NZ"/>
              </w:rPr>
            </w:pPr>
            <w:r w:rsidRPr="005B1E02">
              <w:t>No licensing, legislative</w:t>
            </w:r>
            <w:r w:rsidRPr="005B1E02">
              <w:t>, regulatory or certification requirements apply to this unit at the time of endorsement.</w:t>
            </w:r>
          </w:p>
        </w:tc>
      </w:tr>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3" w:name="O_146585"/>
      <w:bookmarkEnd w:id="3"/>
      <w:r w:rsidRPr="005B1E02">
        <w:t>Application of the Unit</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This unit applies to all catering operations where cook-chill is used, such as restaurants, e</w:t>
            </w:r>
            <w:r w:rsidRPr="005B1E02">
              <w:t>ducational institutions, health establishments, defence forces, cafeterias, kiosks, cafes, residential catering, in-flight and other transport catering, events catering and private catering. Those undertaking this role could be working as part of a team an</w:t>
            </w:r>
            <w:r w:rsidRPr="005B1E02">
              <w:t>d under limited supervision, such as cooks and catering assistants.</w:t>
            </w:r>
          </w:p>
        </w:tc>
      </w:tr>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4" w:name="O_146586"/>
      <w:bookmarkEnd w:id="4"/>
      <w:r w:rsidRPr="005B1E02">
        <w:t>Licensing/Regulatory Information</w:t>
      </w:r>
    </w:p>
    <w:p w:rsidR="00000000" w:rsidRPr="005B1E02" w:rsidP="005B1E02">
      <w:pPr>
        <w:pStyle w:val="BodyText"/>
      </w:pPr>
      <w:r w:rsidRPr="005B1E02">
        <w:t>Not applicable.</w:t>
      </w:r>
    </w:p>
    <w:p w:rsidR="00000000" w:rsidRPr="005B1E02" w:rsidP="005B1E02">
      <w:pPr>
        <w:pStyle w:val="AllowPageBreak"/>
      </w:pPr>
    </w:p>
    <w:p w:rsidR="00000000" w:rsidRPr="005B1E02" w:rsidP="005B1E02">
      <w:pPr>
        <w:pStyle w:val="Heading1"/>
      </w:pPr>
      <w:bookmarkStart w:id="5" w:name="O_146588"/>
      <w:bookmarkEnd w:id="5"/>
      <w:r w:rsidRPr="005B1E02">
        <w:t>Pre-Requisites</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This unit must be assessed after the following prerequisite units:</w:t>
            </w:r>
          </w:p>
          <w:p w:rsidR="00000000" w:rsidRPr="005B1E02" w:rsidP="005B1E02">
            <w:pPr>
              <w:pStyle w:val="BodyText"/>
            </w:pPr>
            <w:r w:rsidRPr="005B1E02">
              <w:t>SITXFSA001A Implement food safety procedures</w:t>
            </w:r>
          </w:p>
          <w:p w:rsidR="00000000" w:rsidP="005B1E02">
            <w:pPr>
              <w:pStyle w:val="BodyText"/>
              <w:rPr>
                <w:lang w:val="en-NZ"/>
              </w:rPr>
            </w:pPr>
            <w:r w:rsidRPr="005B1E02">
              <w:t>SITXOHS002A Follow workplace hygiene procedures.</w:t>
            </w:r>
          </w:p>
        </w:tc>
      </w:tr>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6" w:name="O_146587"/>
      <w:bookmarkEnd w:id="6"/>
      <w:r w:rsidRPr="005B1E02">
        <w:t>Employability Skills Information</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7" w:name="O_146589"/>
      <w:bookmarkEnd w:id="7"/>
      <w:r w:rsidRPr="005B1E02">
        <w:t>Elements and Performance Criteria Pre-Content</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 xml:space="preserve">Performance criteria describe the required performance needed to demonstrate achievement of the element. Where </w:t>
            </w:r>
            <w:r w:rsidRPr="005B1E02">
              <w:rPr>
                <w:rStyle w:val="BoldandItalics"/>
              </w:rPr>
              <w:t>bold italicised</w:t>
            </w:r>
            <w:r w:rsidRPr="005B1E02">
              <w:t xml:space="preserve"> text is used, further information is detailed in the required skills and knowledge and/or the range statement. Assessment of performance is to be consistent with the evidence guide.</w:t>
            </w: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8" w:name="O_146590"/>
      <w:bookmarkEnd w:id="8"/>
      <w:r w:rsidRPr="005B1E0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B6FC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B1E02" w:rsidP="005B1E02">
            <w:pPr>
              <w:pStyle w:val="List"/>
            </w:pPr>
            <w:r w:rsidRPr="005B1E02">
              <w:rPr>
                <w:rStyle w:val="SpecialBold"/>
              </w:rPr>
              <w:t>ELEME</w:t>
            </w:r>
            <w:r w:rsidRPr="005B1E02">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rPr>
                <w:rStyle w:val="SpecialBold"/>
              </w:rPr>
              <w:t>PERFORMANCE CRITERIA</w:t>
            </w:r>
          </w:p>
        </w:tc>
      </w:tr>
      <w:tr w:rsidTr="003B6F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1</w:t>
            </w:r>
          </w:p>
        </w:tc>
        <w:tc>
          <w:tcPr>
            <w:tcW w:w="2410"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Ensure goods received conform to appropriate food hygiene and health standards.</w:t>
            </w: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1.1</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 xml:space="preserve">Determine temperatures of delivered goods by using temperature measuring devices and ensure that they are within specified tolerances. </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1.2</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Complete appropriate records according to enterprise practices and regulatory requirements.</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1.3</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Receive and check meats, dairy and perishables against requisition docket for quality and freshness as per enterprise specifications.</w:t>
            </w:r>
          </w:p>
        </w:tc>
      </w:tr>
      <w:tr w:rsidTr="003B6F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2</w:t>
            </w:r>
          </w:p>
        </w:tc>
        <w:tc>
          <w:tcPr>
            <w:tcW w:w="2410"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Prepare and coo</w:t>
            </w:r>
            <w:r w:rsidRPr="005B1E02">
              <w:t>k food to safe industry standards.</w:t>
            </w: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2.1</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 xml:space="preserve">Cook </w:t>
            </w:r>
            <w:r w:rsidRPr="005B1E02">
              <w:rPr>
                <w:rStyle w:val="BoldandItalics"/>
              </w:rPr>
              <w:t>food</w:t>
            </w:r>
            <w:r w:rsidRPr="005B1E02">
              <w:t xml:space="preserve"> to specified internal temperatures.</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2.2</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Keep microbiological and chemical changes within safe tolerances.</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2.3</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Maintain the quality of food consistently at the optimum level in terms of taste and appearance.</w:t>
            </w:r>
          </w:p>
        </w:tc>
      </w:tr>
      <w:tr w:rsidTr="003B6F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3</w:t>
            </w:r>
          </w:p>
        </w:tc>
        <w:tc>
          <w:tcPr>
            <w:tcW w:w="2410"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Chill cooked food.</w:t>
            </w: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3.1</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Meet time and temperature standards for blast and water-bath chilling.</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3.2</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Ensure that food quality is maintained throughout the chilling process.</w:t>
            </w:r>
          </w:p>
        </w:tc>
      </w:tr>
      <w:tr w:rsidTr="003B6F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w:t>
            </w:r>
          </w:p>
        </w:tc>
        <w:tc>
          <w:tcPr>
            <w:tcW w:w="2410"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Store cooked food under refrigeration.</w:t>
            </w: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4.1</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Meet time and temperature standards for storage.</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4.2</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Ensure that spoilage is minimised.</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4.3</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Store food dynamically (first in-first out).</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4.4</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Select appropriate containers for storage.</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4.5</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Ensure that labelling is correct and clear.</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4.6</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Monitor storage temperatures to ensure they are correct.</w:t>
            </w:r>
          </w:p>
        </w:tc>
      </w:tr>
      <w:tr w:rsidTr="003B6F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5</w:t>
            </w:r>
          </w:p>
        </w:tc>
        <w:tc>
          <w:tcPr>
            <w:tcW w:w="2410" w:type="dxa"/>
            <w:vMerge w:val="restart"/>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Distribute cook-chill products.</w:t>
            </w: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5.1</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Where necessary, transport food from production kitchen to outlets by refrigerated transport or insulated containers.</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5.2</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Maintain safe handling of food throughout the distribution cycle.</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5.3</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Check and record temperature levels at dispatch and receiving.</w:t>
            </w:r>
          </w:p>
        </w:tc>
      </w:tr>
      <w:tr w:rsidTr="003B6F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5.4</w:t>
            </w:r>
          </w:p>
        </w:tc>
        <w:tc>
          <w:tcPr>
            <w:tcW w:w="577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Observe requirements of hazard analysis and critical control points (HACCP) or other food safety program during the entire cook-chill cycle, including protecting food from the temperatur</w:t>
            </w:r>
            <w:r w:rsidRPr="005B1E02">
              <w:t>e danger zone.</w:t>
            </w:r>
          </w:p>
        </w:tc>
      </w:tr>
      <w:tr w:rsidTr="003B6F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6</w:t>
            </w:r>
          </w:p>
        </w:tc>
        <w:tc>
          <w:tcPr>
            <w:tcW w:w="2410"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Re-thermalise (reheat) cook-chill food products.</w:t>
            </w:r>
          </w:p>
        </w:tc>
        <w:tc>
          <w:tcPr>
            <w:tcW w:w="567" w:type="dxa"/>
            <w:tcBorders>
              <w:top w:val="nil"/>
              <w:left w:val="nil"/>
              <w:bottom w:val="nil"/>
              <w:right w:val="nil"/>
            </w:tcBorders>
            <w:tcMar>
              <w:top w:w="0" w:type="dxa"/>
              <w:left w:w="62" w:type="dxa"/>
              <w:bottom w:w="0" w:type="dxa"/>
              <w:right w:w="62" w:type="dxa"/>
            </w:tcMar>
          </w:tcPr>
          <w:p w:rsidR="00000000" w:rsidP="005B1E02">
            <w:pPr>
              <w:pStyle w:val="List"/>
              <w:rPr>
                <w:lang w:val="en-NZ"/>
              </w:rPr>
            </w:pPr>
            <w:r w:rsidRPr="005B1E02">
              <w:t>6.1</w:t>
            </w:r>
          </w:p>
        </w:tc>
        <w:tc>
          <w:tcPr>
            <w:tcW w:w="5777" w:type="dxa"/>
            <w:tcBorders>
              <w:top w:val="nil"/>
              <w:left w:val="nil"/>
              <w:bottom w:val="nil"/>
              <w:right w:val="nil"/>
            </w:tcBorders>
            <w:tcMar>
              <w:top w:w="0" w:type="dxa"/>
              <w:left w:w="62" w:type="dxa"/>
              <w:bottom w:w="0" w:type="dxa"/>
              <w:right w:w="62" w:type="dxa"/>
            </w:tcMar>
          </w:tcPr>
          <w:p w:rsidR="00000000" w:rsidRPr="005B1E02" w:rsidP="005B1E02">
            <w:pPr>
              <w:pStyle w:val="List"/>
            </w:pPr>
            <w:r w:rsidRPr="005B1E02">
              <w:t xml:space="preserve">Execute </w:t>
            </w:r>
            <w:r w:rsidRPr="005B1E02">
              <w:rPr>
                <w:rStyle w:val="Emphasis"/>
              </w:rPr>
              <w:t>re</w:t>
            </w:r>
            <w:r w:rsidRPr="005B1E02">
              <w:t>-</w:t>
            </w:r>
            <w:r w:rsidRPr="005B1E02">
              <w:rPr>
                <w:rStyle w:val="Emphasis"/>
              </w:rPr>
              <w:t>thermalisation</w:t>
            </w:r>
            <w:r w:rsidRPr="005B1E02">
              <w:t xml:space="preserve"> of food to standard guidelines using </w:t>
            </w:r>
            <w:r w:rsidRPr="005B1E02">
              <w:rPr>
                <w:rStyle w:val="BoldandItalics"/>
              </w:rPr>
              <w:t>appropriate methods</w:t>
            </w:r>
            <w:r w:rsidRPr="005B1E02">
              <w:t>.</w:t>
            </w: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9" w:name="O_146591"/>
      <w:bookmarkEnd w:id="9"/>
      <w:r w:rsidRPr="005B1E02">
        <w:t>Required Skills and Knowledge</w:t>
      </w:r>
    </w:p>
    <w:tbl>
      <w:tblPr>
        <w:tblW w:w="0" w:type="auto"/>
        <w:tblLayout w:type="fixed"/>
        <w:tblCellMar>
          <w:left w:w="62" w:type="dxa"/>
          <w:right w:w="62" w:type="dxa"/>
        </w:tblCellMar>
        <w:tblLook w:val="0000"/>
      </w:tblPr>
      <w:tblGrid>
        <w:gridCol w:w="9180"/>
      </w:tblGrid>
      <w:tr w:rsidTr="003B6FC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REQUIRED SKILLS AND KNOWLEDGE</w:t>
            </w:r>
          </w:p>
        </w:tc>
      </w:tr>
      <w:tr w:rsidTr="003B6F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This section describes the essential skills and knowledge and their level, required for this unit.</w:t>
            </w:r>
          </w:p>
        </w:tc>
      </w:tr>
      <w:tr w:rsidTr="003B6F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The following skills must be assessed as part of this unit:</w:t>
            </w:r>
          </w:p>
          <w:p w:rsidR="00000000" w:rsidRPr="005B1E02" w:rsidP="005B1E02">
            <w:pPr>
              <w:pStyle w:val="ListBullet"/>
            </w:pPr>
            <w:r w:rsidRPr="005B1E02">
              <w:t xml:space="preserve">skills to use a temperature measuring device on a range of food products and ingredients </w:t>
            </w:r>
            <w:r w:rsidRPr="005B1E02">
              <w:t>at a range of temperatures</w:t>
            </w:r>
          </w:p>
          <w:p w:rsidR="00000000" w:rsidRPr="005B1E02" w:rsidP="005B1E02">
            <w:pPr>
              <w:pStyle w:val="ListBullet"/>
            </w:pPr>
            <w:r w:rsidRPr="005B1E02">
              <w:t>problem-solving skills to deal with problems, such as equipment failure or malfunction</w:t>
            </w:r>
          </w:p>
          <w:p w:rsidR="00000000" w:rsidRPr="005B1E02" w:rsidP="005B1E02">
            <w:pPr>
              <w:pStyle w:val="ListBullet"/>
            </w:pPr>
            <w:r w:rsidRPr="005B1E02">
              <w:t>literacy skills to read recipes, menus, instructions and orders</w:t>
            </w:r>
          </w:p>
          <w:p w:rsidR="00000000" w:rsidP="005B1E02">
            <w:pPr>
              <w:pStyle w:val="ListBullet"/>
              <w:rPr>
                <w:lang w:val="en-NZ"/>
              </w:rPr>
            </w:pPr>
            <w:r w:rsidRPr="005B1E02">
              <w:t xml:space="preserve">numeracy skills to calculate portions and ingredients required and to monitor </w:t>
            </w:r>
            <w:r w:rsidRPr="005B1E02">
              <w:t>temperatures.</w:t>
            </w:r>
          </w:p>
        </w:tc>
      </w:tr>
      <w:tr w:rsidTr="003B6F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The following knowledge must be assessed as part of this unit:</w:t>
            </w:r>
          </w:p>
          <w:p w:rsidR="00000000" w:rsidRPr="005B1E02" w:rsidP="005B1E02">
            <w:pPr>
              <w:pStyle w:val="ListBullet"/>
            </w:pPr>
            <w:r w:rsidRPr="005B1E02">
              <w:t>temperature specifications for the maintenance of food quality in the cook-chill process</w:t>
            </w:r>
          </w:p>
          <w:p w:rsidR="00000000" w:rsidRPr="005B1E02" w:rsidP="005B1E02">
            <w:pPr>
              <w:pStyle w:val="ListBullet"/>
            </w:pPr>
            <w:r w:rsidRPr="005B1E02">
              <w:t>food storage requirements in relation to cook-chill</w:t>
            </w:r>
          </w:p>
          <w:p w:rsidR="00000000" w:rsidRPr="005B1E02" w:rsidP="005B1E02">
            <w:pPr>
              <w:pStyle w:val="ListBullet"/>
            </w:pPr>
            <w:r w:rsidRPr="005B1E02">
              <w:t>principles and methods of cookery,</w:t>
            </w:r>
            <w:r w:rsidRPr="005B1E02">
              <w:t xml:space="preserve"> including preparation and cooking techniques for all major food groups</w:t>
            </w:r>
          </w:p>
          <w:p w:rsidR="00000000" w:rsidRPr="005B1E02" w:rsidP="005B1E02">
            <w:pPr>
              <w:pStyle w:val="ListBullet"/>
            </w:pPr>
            <w:r w:rsidRPr="005B1E02">
              <w:t>features of cook-chill systems, and procedures for using cook-chill equipment</w:t>
            </w:r>
          </w:p>
          <w:p w:rsidR="00000000" w:rsidRPr="005B1E02" w:rsidP="005B1E02">
            <w:pPr>
              <w:pStyle w:val="ListBullet"/>
            </w:pPr>
            <w:r w:rsidRPr="005B1E02">
              <w:t>regulatory and legislative requirements for health and safety, food safety and hygiene of particular relevance to cook-chill, including national Food Standards</w:t>
            </w:r>
          </w:p>
          <w:p w:rsidR="00000000" w:rsidP="005B1E02">
            <w:pPr>
              <w:pStyle w:val="ListBullet"/>
              <w:rPr>
                <w:lang w:val="en-NZ"/>
              </w:rPr>
            </w:pPr>
            <w:r w:rsidRPr="005B1E02">
              <w:t>high risk groups for food-borne illness and reasons for this.</w:t>
            </w:r>
          </w:p>
        </w:tc>
      </w:tr>
      <w:tr w:rsidTr="003B6F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3B6FC5" w:rsidP="005B1E02">
      <w:pPr>
        <w:pStyle w:val="BodyText"/>
      </w:pPr>
    </w:p>
    <w:p w:rsidR="003B6FC5" w:rsidP="005B1E02">
      <w:pPr>
        <w:pStyle w:val="BodyText"/>
      </w:pPr>
    </w:p>
    <w:p w:rsidR="00000000" w:rsidRPr="005B1E02" w:rsidP="005B1E02">
      <w:pPr>
        <w:pStyle w:val="Heading1"/>
      </w:pPr>
      <w:bookmarkStart w:id="10" w:name="O_146592"/>
      <w:bookmarkEnd w:id="10"/>
      <w:r w:rsidRPr="005B1E02">
        <w:t>Evidence Gu</w:t>
      </w:r>
      <w:r w:rsidRPr="005B1E02">
        <w:t>ide</w:t>
      </w:r>
    </w:p>
    <w:tbl>
      <w:tblPr>
        <w:tblW w:w="0" w:type="auto"/>
        <w:tblLayout w:type="fixed"/>
        <w:tblCellMar>
          <w:left w:w="62" w:type="dxa"/>
          <w:right w:w="62" w:type="dxa"/>
        </w:tblCellMar>
        <w:tblLook w:val="0000"/>
      </w:tblPr>
      <w:tblGrid>
        <w:gridCol w:w="3345"/>
        <w:gridCol w:w="5835"/>
      </w:tblGrid>
      <w:tr w:rsidTr="003B6F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EVIDENCE GUIDE</w:t>
            </w:r>
          </w:p>
        </w:tc>
      </w:tr>
      <w:tr w:rsidTr="003B6F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The evidence guide provides advice on assessment and must be read in conjunction with the performance criteria, required skills and knowledge, the range statement and the Assessment Guidelines for this Training Package.</w:t>
            </w: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Evidence of the following is essential:</w:t>
            </w:r>
          </w:p>
          <w:p w:rsidR="00000000" w:rsidRPr="005B1E02" w:rsidP="005B1E02">
            <w:pPr>
              <w:pStyle w:val="ListBullet"/>
            </w:pPr>
            <w:r w:rsidRPr="005B1E02">
              <w:t>a variety of food items must be produced</w:t>
            </w:r>
          </w:p>
          <w:p w:rsidR="00000000" w:rsidRPr="005B1E02" w:rsidP="005B1E02">
            <w:pPr>
              <w:pStyle w:val="ListBullet"/>
            </w:pPr>
            <w:r w:rsidRPr="005B1E02">
              <w:t>observance of HACCP or other food safety program requirements during the entire cook-chill cycle</w:t>
            </w:r>
          </w:p>
          <w:p w:rsidR="00000000" w:rsidRPr="005B1E02" w:rsidP="005B1E02">
            <w:pPr>
              <w:pStyle w:val="ListBullet"/>
            </w:pPr>
            <w:r w:rsidRPr="005B1E02">
              <w:t>ability to operate a cook-chill system and equipment</w:t>
            </w:r>
          </w:p>
          <w:p w:rsidR="00000000" w:rsidRPr="005B1E02" w:rsidP="005B1E02">
            <w:pPr>
              <w:pStyle w:val="ListBullet"/>
            </w:pPr>
            <w:r w:rsidRPr="005B1E02">
              <w:t>ability to produce, package, label and store food items prepared</w:t>
            </w:r>
          </w:p>
          <w:p w:rsidR="00000000" w:rsidRPr="005B1E02" w:rsidP="005B1E02">
            <w:pPr>
              <w:pStyle w:val="ListBullet"/>
            </w:pPr>
            <w:r w:rsidRPr="005B1E02">
              <w:t>production of multiple cook-chill food it</w:t>
            </w:r>
            <w:r w:rsidRPr="005B1E02">
              <w:t>ems to meet differing needs</w:t>
            </w:r>
          </w:p>
          <w:p w:rsidR="00000000" w:rsidRPr="005B1E02" w:rsidP="005B1E02">
            <w:pPr>
              <w:pStyle w:val="ListBullet"/>
            </w:pPr>
            <w:r w:rsidRPr="005B1E02">
              <w:t>preparation of cook-chill food items within typical work time constraints</w:t>
            </w:r>
          </w:p>
          <w:p w:rsidR="00000000" w:rsidP="005B1E02">
            <w:pPr>
              <w:pStyle w:val="ListBullet"/>
              <w:rPr>
                <w:lang w:val="en-NZ"/>
              </w:rPr>
            </w:pPr>
            <w:r w:rsidRPr="005B1E02">
              <w:t>knowledge of OHS and food hygiene regulations.</w:t>
            </w: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Context of and specific resources for assessment</w:t>
            </w:r>
            <w:r w:rsidRPr="005B1E02">
              <w:t xml:space="preserve"> </w:t>
            </w: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Assessment must ensure:</w:t>
            </w:r>
          </w:p>
          <w:p w:rsidR="00000000" w:rsidRPr="005B1E02" w:rsidP="005B1E02">
            <w:pPr>
              <w:pStyle w:val="ListBullet"/>
            </w:pPr>
            <w:r w:rsidRPr="005B1E02">
              <w:t>demonstration of skills usin</w:t>
            </w:r>
            <w:r w:rsidRPr="005B1E02">
              <w:t>g suitable cook-chill equipment and authentic food items, including:</w:t>
            </w:r>
          </w:p>
          <w:p w:rsidR="00000000" w:rsidRPr="005B1E02" w:rsidP="005B1E02">
            <w:pPr>
              <w:pStyle w:val="ListBullet2"/>
            </w:pPr>
            <w:r w:rsidRPr="005B1E02">
              <w:t>pasteurising equipment</w:t>
            </w:r>
          </w:p>
          <w:p w:rsidR="00000000" w:rsidRPr="005B1E02" w:rsidP="005B1E02">
            <w:pPr>
              <w:pStyle w:val="ListBullet2"/>
            </w:pPr>
            <w:r w:rsidRPr="005B1E02">
              <w:t>packaging material</w:t>
            </w:r>
          </w:p>
          <w:p w:rsidR="00000000" w:rsidRPr="005B1E02" w:rsidP="005B1E02">
            <w:pPr>
              <w:pStyle w:val="ListBullet2"/>
            </w:pPr>
            <w:r w:rsidRPr="005B1E02">
              <w:t>suitable refrigerated storage area</w:t>
            </w:r>
          </w:p>
          <w:p w:rsidR="00000000" w:rsidRPr="005B1E02" w:rsidP="005B1E02">
            <w:pPr>
              <w:pStyle w:val="ListBullet2"/>
            </w:pPr>
            <w:r w:rsidRPr="005B1E02">
              <w:t>chilling equipment, such as blast chiller or ice slurry tumbler</w:t>
            </w:r>
          </w:p>
          <w:p w:rsidR="00000000" w:rsidRPr="005B1E02" w:rsidP="005B1E02">
            <w:pPr>
              <w:pStyle w:val="ListBullet2"/>
            </w:pPr>
            <w:r w:rsidRPr="005B1E02">
              <w:t>vacuum sealing equipment</w:t>
            </w:r>
          </w:p>
          <w:p w:rsidR="00000000" w:rsidRPr="005B1E02" w:rsidP="005B1E02">
            <w:pPr>
              <w:pStyle w:val="ListBullet2"/>
            </w:pPr>
            <w:r w:rsidRPr="005B1E02">
              <w:t>pH tester</w:t>
            </w:r>
          </w:p>
          <w:p w:rsidR="00000000" w:rsidRPr="005B1E02" w:rsidP="005B1E02">
            <w:pPr>
              <w:pStyle w:val="ListBullet2"/>
            </w:pPr>
            <w:r w:rsidRPr="005B1E02">
              <w:t>thermocouple chilling equipment</w:t>
            </w:r>
          </w:p>
          <w:p w:rsidR="00000000" w:rsidRPr="005B1E02" w:rsidP="005B1E02">
            <w:pPr>
              <w:pStyle w:val="ListBullet2"/>
            </w:pPr>
            <w:r w:rsidRPr="005B1E02">
              <w:t>commercial re-thermalisation equipment, such as combi-steamer</w:t>
            </w:r>
          </w:p>
          <w:p w:rsidR="00000000" w:rsidP="005B1E02">
            <w:pPr>
              <w:pStyle w:val="ListBullet2"/>
              <w:rPr>
                <w:lang w:val="en-NZ"/>
              </w:rPr>
            </w:pPr>
            <w:r w:rsidRPr="005B1E02">
              <w:t>fixed and hand-held cooking equipment.</w:t>
            </w: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Methods of assessment</w:t>
            </w:r>
            <w:r w:rsidRPr="005B1E02">
              <w:t xml:space="preserve"> </w:t>
            </w: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A range of assessment methods should be used to assess practical skills and knowledge. The follo</w:t>
            </w:r>
            <w:r w:rsidRPr="005B1E02">
              <w:t xml:space="preserve">wing examples are appropriate for this unit: </w:t>
            </w:r>
          </w:p>
          <w:p w:rsidR="00000000" w:rsidRPr="005B1E02" w:rsidP="005B1E02">
            <w:pPr>
              <w:pStyle w:val="ListBullet"/>
            </w:pPr>
            <w:r w:rsidRPr="005B1E02">
              <w:t>direct observation of the candidate using cook-chill equipment</w:t>
            </w:r>
          </w:p>
          <w:p w:rsidR="00000000" w:rsidRPr="005B1E02" w:rsidP="005B1E02">
            <w:pPr>
              <w:pStyle w:val="ListBullet"/>
            </w:pPr>
            <w:r w:rsidRPr="005B1E02">
              <w:t>sampling of cook-chill items prepared by the candidate</w:t>
            </w:r>
          </w:p>
          <w:p w:rsidR="00000000" w:rsidRPr="005B1E02" w:rsidP="005B1E02">
            <w:pPr>
              <w:pStyle w:val="ListBullet"/>
            </w:pPr>
            <w:r w:rsidRPr="005B1E02">
              <w:t>written or oral questions to test knowledge of suitable items for cook-chill systems, hygiene issues related to cook-chill systems and specifications and procedures for cook-chill</w:t>
            </w:r>
          </w:p>
          <w:p w:rsidR="00000000" w:rsidRPr="005B1E02" w:rsidP="005B1E02">
            <w:pPr>
              <w:pStyle w:val="ListBullet"/>
            </w:pPr>
            <w:r w:rsidRPr="005B1E02">
              <w:t>review of portfolios of evidence and third-party workplace reports of on-the</w:t>
            </w:r>
            <w:r w:rsidRPr="005B1E02">
              <w:t>-job performance by the candidate.</w:t>
            </w:r>
          </w:p>
          <w:p w:rsidR="00000000" w:rsidRPr="005B1E02" w:rsidP="005B1E02">
            <w:pPr>
              <w:pStyle w:val="BodyText"/>
            </w:pPr>
            <w:r w:rsidRPr="005B1E02">
              <w:t>Holistic assessment with other units relevant to the industry sector, workplace and job role is recommended, for example:</w:t>
            </w:r>
          </w:p>
          <w:p w:rsidR="00000000" w:rsidP="005B1E02">
            <w:pPr>
              <w:pStyle w:val="BodyText"/>
              <w:rPr>
                <w:lang w:val="en-NZ"/>
              </w:rPr>
            </w:pPr>
            <w:r w:rsidRPr="005B1E02">
              <w:t>SITXFSA003A Transport and store food in a safe and hygienic manner.</w:t>
            </w: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Assessing employability ski</w:t>
            </w:r>
            <w:r w:rsidRPr="005B1E02">
              <w:rPr>
                <w:rStyle w:val="SpecialBold"/>
              </w:rPr>
              <w:t>lls</w:t>
            </w: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B1E02" w:rsidP="005B1E02">
            <w:pPr>
              <w:pStyle w:val="BodyText"/>
            </w:pPr>
            <w:r w:rsidRPr="005B1E02">
              <w:t>Employability skills embedded in this unit should be assessed holistically with other relevant units that make up the skill set or qualification and in the context of the job role.</w:t>
            </w:r>
          </w:p>
        </w:tc>
      </w:tr>
    </w:tbl>
    <w:p w:rsidR="003B6FC5" w:rsidP="005B1E02">
      <w:pPr>
        <w:pStyle w:val="BodyText"/>
      </w:pPr>
    </w:p>
    <w:p w:rsidR="003B6FC5" w:rsidP="005B1E02">
      <w:pPr>
        <w:pStyle w:val="BodyText"/>
      </w:pPr>
    </w:p>
    <w:p w:rsidR="00000000" w:rsidRPr="005B1E02" w:rsidP="005B1E02">
      <w:pPr>
        <w:pStyle w:val="Heading1"/>
      </w:pPr>
      <w:bookmarkStart w:id="11" w:name="O_146593"/>
      <w:bookmarkEnd w:id="11"/>
      <w:r w:rsidRPr="005B1E02">
        <w:t>Range Statement</w:t>
      </w:r>
    </w:p>
    <w:tbl>
      <w:tblPr>
        <w:tblW w:w="0" w:type="auto"/>
        <w:tblLayout w:type="fixed"/>
        <w:tblCellMar>
          <w:left w:w="62" w:type="dxa"/>
          <w:right w:w="62" w:type="dxa"/>
        </w:tblCellMar>
        <w:tblLook w:val="0000"/>
      </w:tblPr>
      <w:tblGrid>
        <w:gridCol w:w="3345"/>
        <w:gridCol w:w="5835"/>
      </w:tblGrid>
      <w:tr w:rsidTr="003B6F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RANGE STATEMENT</w:t>
            </w:r>
          </w:p>
        </w:tc>
      </w:tr>
      <w:tr w:rsidTr="003B6F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The range statement relates to the unit of competency as a whole. It allows for different work environments and situations that may affect performance. Bold italicised wording in the performance criteria is detailed below.</w:t>
            </w:r>
          </w:p>
        </w:tc>
      </w:tr>
      <w:tr w:rsidTr="003B6F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BoldandItalics"/>
              </w:rPr>
              <w:t>Foods</w:t>
            </w:r>
            <w:r w:rsidRPr="005B1E02">
              <w:t xml:space="preserve"> to be produced by  cook-chill methods and re-thermalised may consist of entire meals or individual items according to enterprise requirements, including:</w:t>
            </w: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ListBullet"/>
            </w:pPr>
            <w:r w:rsidRPr="005B1E02">
              <w:t>bulk foods</w:t>
            </w:r>
          </w:p>
          <w:p w:rsidR="00000000" w:rsidRPr="005B1E02" w:rsidP="005B1E02">
            <w:pPr>
              <w:pStyle w:val="ListBullet"/>
            </w:pPr>
            <w:r w:rsidRPr="005B1E02">
              <w:t>plated meals</w:t>
            </w:r>
          </w:p>
          <w:p w:rsidR="00000000" w:rsidRPr="005B1E02" w:rsidP="005B1E02">
            <w:pPr>
              <w:pStyle w:val="ListBullet"/>
            </w:pPr>
            <w:r w:rsidRPr="005B1E02">
              <w:t>sous-vide products</w:t>
            </w:r>
          </w:p>
          <w:p w:rsidR="00000000" w:rsidRPr="005B1E02" w:rsidP="005B1E02">
            <w:pPr>
              <w:pStyle w:val="ListBullet"/>
            </w:pPr>
            <w:r w:rsidRPr="005B1E02">
              <w:t>meals-on-wheels</w:t>
            </w:r>
          </w:p>
          <w:p w:rsidR="00000000" w:rsidP="005B1E02">
            <w:pPr>
              <w:pStyle w:val="ListBullet"/>
              <w:rPr>
                <w:lang w:val="en-NZ"/>
              </w:rPr>
            </w:pPr>
            <w:r w:rsidRPr="005B1E02">
              <w:t>takeaway meals.</w:t>
            </w: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BoldandItalics"/>
              </w:rPr>
              <w:t>Appropriate methods</w:t>
            </w:r>
            <w:r w:rsidRPr="005B1E02">
              <w:t xml:space="preserve"> </w:t>
            </w:r>
            <w:r w:rsidRPr="005B1E02">
              <w:rPr>
                <w:rStyle w:val="BoldandItalics"/>
              </w:rPr>
              <w:t>for re</w:t>
            </w:r>
            <w:r w:rsidRPr="005B1E02">
              <w:t>-</w:t>
            </w:r>
            <w:r w:rsidRPr="005B1E02">
              <w:rPr>
                <w:rStyle w:val="BoldandItalics"/>
              </w:rPr>
              <w:t>thermalisation</w:t>
            </w:r>
            <w:r w:rsidRPr="005B1E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ListBullet"/>
            </w:pPr>
            <w:r w:rsidRPr="005B1E02">
              <w:t>low-heat convection</w:t>
            </w:r>
          </w:p>
          <w:p w:rsidR="00000000" w:rsidRPr="005B1E02" w:rsidP="005B1E02">
            <w:pPr>
              <w:pStyle w:val="ListBullet"/>
            </w:pPr>
            <w:r w:rsidRPr="005B1E02">
              <w:t>infra-red radiation</w:t>
            </w:r>
          </w:p>
          <w:p w:rsidR="00000000" w:rsidRPr="005B1E02" w:rsidP="005B1E02">
            <w:pPr>
              <w:pStyle w:val="ListBullet"/>
            </w:pPr>
            <w:r w:rsidRPr="005B1E02">
              <w:t>microwaving</w:t>
            </w:r>
          </w:p>
          <w:p w:rsidR="00000000" w:rsidRPr="005B1E02" w:rsidP="005B1E02">
            <w:pPr>
              <w:pStyle w:val="ListBullet"/>
            </w:pPr>
            <w:r w:rsidRPr="005B1E02">
              <w:t>water bath</w:t>
            </w:r>
          </w:p>
          <w:p w:rsidR="00000000" w:rsidRPr="005B1E02" w:rsidP="005B1E02">
            <w:pPr>
              <w:pStyle w:val="ListBullet"/>
            </w:pPr>
            <w:r w:rsidRPr="005B1E02">
              <w:t>kettle heating</w:t>
            </w:r>
          </w:p>
          <w:p w:rsidR="00000000" w:rsidP="005B1E02">
            <w:pPr>
              <w:pStyle w:val="ListBullet"/>
              <w:rPr>
                <w:lang w:val="en-NZ"/>
              </w:rPr>
            </w:pPr>
            <w:r w:rsidRPr="005B1E02">
              <w:t>using combi ovens.</w:t>
            </w:r>
          </w:p>
        </w:tc>
      </w:tr>
      <w:tr w:rsidTr="003B6F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3B6FC5" w:rsidP="005B1E02">
      <w:pPr>
        <w:pStyle w:val="BodyText"/>
      </w:pPr>
    </w:p>
    <w:p w:rsidR="003B6FC5" w:rsidP="005B1E02">
      <w:pPr>
        <w:pStyle w:val="BodyText"/>
      </w:pPr>
    </w:p>
    <w:p w:rsidR="00000000" w:rsidRPr="005B1E02" w:rsidP="005B1E02">
      <w:pPr>
        <w:pStyle w:val="Heading1"/>
      </w:pPr>
      <w:bookmarkStart w:id="12" w:name="O_146594"/>
      <w:bookmarkEnd w:id="12"/>
      <w:r w:rsidRPr="005B1E02">
        <w:t>Unit Sector(s)</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r w:rsidRPr="005B1E02">
              <w:t>Hospitality</w:t>
            </w:r>
          </w:p>
        </w:tc>
      </w:tr>
    </w:tbl>
    <w:p w:rsidR="00000000" w:rsidRPr="005B1E02" w:rsidP="005B1E02">
      <w:pPr>
        <w:pStyle w:val="BodyText"/>
      </w:pPr>
    </w:p>
    <w:p w:rsidR="00000000" w:rsidRPr="005B1E02" w:rsidP="005B1E02">
      <w:pPr>
        <w:pStyle w:val="AllowPageBreak"/>
      </w:pPr>
    </w:p>
    <w:p w:rsidR="00000000" w:rsidRPr="005B1E02" w:rsidP="005B1E02">
      <w:pPr>
        <w:pStyle w:val="Heading1"/>
      </w:pPr>
      <w:bookmarkStart w:id="13" w:name="O_163300"/>
      <w:bookmarkEnd w:id="13"/>
      <w:r w:rsidRPr="005B1E02">
        <w:t>Competency field</w:t>
      </w:r>
    </w:p>
    <w:tbl>
      <w:tblPr>
        <w:tblW w:w="0" w:type="auto"/>
        <w:tblLayout w:type="fixed"/>
        <w:tblCellMar>
          <w:left w:w="62" w:type="dxa"/>
          <w:right w:w="62" w:type="dxa"/>
        </w:tblCellMar>
        <w:tblLook w:val="0000"/>
      </w:tblPr>
      <w:tblGrid>
        <w:gridCol w:w="2836"/>
        <w:gridCol w:w="6344"/>
      </w:tblGrid>
      <w:tr w:rsidTr="003B6F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B1E02">
            <w:pPr>
              <w:pStyle w:val="BodyText"/>
              <w:rPr>
                <w:lang w:val="en-NZ"/>
              </w:rPr>
            </w:pPr>
            <w:r w:rsidRPr="005B1E02">
              <w:t>Commercial Cookery and Catering</w:t>
            </w:r>
          </w:p>
        </w:tc>
      </w:tr>
      <w:tr w:rsidTr="003B6F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B1E02" w:rsidP="005B1E02">
            <w:pPr>
              <w:pStyle w:val="BodyText"/>
            </w:pPr>
          </w:p>
        </w:tc>
      </w:tr>
    </w:tbl>
    <w:p w:rsidR="00000000" w:rsidRPr="005B1E02" w:rsidP="005B1E02">
      <w:pPr>
        <w:pStyle w:val="BodyText"/>
      </w:pPr>
    </w:p>
    <w:p w:rsidR="00000000" w:rsidRPr="005B1E02" w:rsidP="005B1E02"/>
    <w:sectPr w:rsidSect="005B1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FC5" w:rsidP="003B6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C5" w:rsidP="005B1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6FC5" w:rsidP="005B1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6FC5" w:rsidP="005B1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FC5" w:rsidP="003B6F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C5" w:rsidP="005B1E02">
    <w:pPr>
      <w:pStyle w:val="Header"/>
      <w:framePr w:wrap="around"/>
    </w:pPr>
    <w:r>
      <w:fldChar w:fldCharType="begin"/>
    </w:r>
    <w:r>
      <w:instrText xml:space="preserve"> TITLE   \* MERGEFORMAT </w:instrText>
    </w:r>
    <w:r>
      <w:fldChar w:fldCharType="separate"/>
    </w:r>
    <w:r>
      <w:t>SITHCCC032A Apply cook-chill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6FC5" w:rsidP="005B1E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0C0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29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8C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E02"/>
    <w:pPr>
      <w:spacing w:before="360" w:after="60"/>
      <w:outlineLvl w:val="0"/>
    </w:pPr>
    <w:rPr>
      <w:sz w:val="32"/>
    </w:rPr>
  </w:style>
  <w:style w:type="paragraph" w:styleId="Heading2">
    <w:name w:val="heading 2"/>
    <w:basedOn w:val="HeadingBase"/>
    <w:next w:val="BodyText"/>
    <w:link w:val="Heading2Char"/>
    <w:qFormat/>
    <w:rsid w:val="005B1E02"/>
    <w:pPr>
      <w:keepLines/>
      <w:spacing w:before="240" w:after="120"/>
      <w:outlineLvl w:val="1"/>
    </w:pPr>
    <w:rPr>
      <w:sz w:val="28"/>
      <w:szCs w:val="40"/>
    </w:rPr>
  </w:style>
  <w:style w:type="paragraph" w:styleId="Heading3">
    <w:name w:val="heading 3"/>
    <w:basedOn w:val="HeadingBase"/>
    <w:next w:val="BodyText"/>
    <w:link w:val="Heading3Char"/>
    <w:qFormat/>
    <w:rsid w:val="005B1E02"/>
    <w:pPr>
      <w:spacing w:before="180" w:after="120"/>
      <w:outlineLvl w:val="2"/>
    </w:pPr>
    <w:rPr>
      <w:spacing w:val="-10"/>
      <w:kern w:val="32"/>
    </w:rPr>
  </w:style>
  <w:style w:type="paragraph" w:styleId="Heading4">
    <w:name w:val="heading 4"/>
    <w:basedOn w:val="HeadingBase"/>
    <w:next w:val="BodyText"/>
    <w:link w:val="Heading4Char"/>
    <w:qFormat/>
    <w:rsid w:val="005B1E02"/>
    <w:pPr>
      <w:spacing w:before="160" w:after="120"/>
      <w:outlineLvl w:val="3"/>
    </w:pPr>
    <w:rPr>
      <w:sz w:val="22"/>
    </w:rPr>
  </w:style>
  <w:style w:type="paragraph" w:styleId="Heading5">
    <w:name w:val="heading 5"/>
    <w:basedOn w:val="HeadingBase"/>
    <w:next w:val="Normal"/>
    <w:link w:val="Heading5Char"/>
    <w:qFormat/>
    <w:rsid w:val="005B1E02"/>
    <w:pPr>
      <w:spacing w:before="80"/>
      <w:outlineLvl w:val="4"/>
    </w:pPr>
    <w:rPr>
      <w:color w:val="918585"/>
      <w:sz w:val="20"/>
    </w:rPr>
  </w:style>
  <w:style w:type="paragraph" w:styleId="Heading6">
    <w:name w:val="heading 6"/>
    <w:basedOn w:val="HeadingBase"/>
    <w:next w:val="Normal"/>
    <w:link w:val="Heading6Char"/>
    <w:qFormat/>
    <w:rsid w:val="005B1E02"/>
    <w:pPr>
      <w:spacing w:before="60"/>
      <w:outlineLvl w:val="5"/>
    </w:pPr>
    <w:rPr>
      <w:color w:val="918585"/>
      <w:sz w:val="20"/>
    </w:rPr>
  </w:style>
  <w:style w:type="paragraph" w:styleId="Heading7">
    <w:name w:val="heading 7"/>
    <w:basedOn w:val="Normal"/>
    <w:next w:val="Normal"/>
    <w:link w:val="Heading7Char"/>
    <w:qFormat/>
    <w:rsid w:val="005B1E02"/>
    <w:pPr>
      <w:ind w:left="720"/>
      <w:outlineLvl w:val="6"/>
    </w:pPr>
    <w:rPr>
      <w:i/>
    </w:rPr>
  </w:style>
  <w:style w:type="paragraph" w:styleId="Heading8">
    <w:name w:val="heading 8"/>
    <w:basedOn w:val="Normal"/>
    <w:next w:val="Normal"/>
    <w:link w:val="Heading8Char"/>
    <w:qFormat/>
    <w:rsid w:val="005B1E02"/>
    <w:pPr>
      <w:ind w:left="720"/>
      <w:outlineLvl w:val="7"/>
    </w:pPr>
    <w:rPr>
      <w:i/>
    </w:rPr>
  </w:style>
  <w:style w:type="paragraph" w:styleId="Heading9">
    <w:name w:val="heading 9"/>
    <w:basedOn w:val="Normal"/>
    <w:next w:val="Normal"/>
    <w:link w:val="Heading9Char"/>
    <w:qFormat/>
    <w:rsid w:val="005B1E02"/>
    <w:pPr>
      <w:ind w:left="720"/>
      <w:outlineLvl w:val="8"/>
    </w:pPr>
    <w:rPr>
      <w:i/>
    </w:rPr>
  </w:style>
  <w:style w:type="character" w:default="1" w:styleId="DefaultParagraphFont">
    <w:name w:val="Default Paragraph Font"/>
    <w:uiPriority w:val="1"/>
    <w:unhideWhenUsed/>
    <w:rsid w:val="005B1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E02"/>
  </w:style>
  <w:style w:type="character" w:customStyle="1" w:styleId="Heading1Char">
    <w:name w:val="Heading 1 Char"/>
    <w:basedOn w:val="DefaultParagraphFont"/>
    <w:link w:val="Heading1"/>
    <w:rsid w:val="005B1E02"/>
    <w:rPr>
      <w:rFonts w:ascii="Times New Roman" w:eastAsia="Times New Roman" w:hAnsi="Times New Roman" w:cs="Times New Roman"/>
      <w:b/>
      <w:sz w:val="32"/>
      <w:szCs w:val="20"/>
      <w:lang w:eastAsia="en-US"/>
    </w:rPr>
  </w:style>
  <w:style w:type="paragraph" w:styleId="BodyText">
    <w:name w:val="Body Text"/>
    <w:basedOn w:val="Normal"/>
    <w:link w:val="BodyTextChar"/>
    <w:rsid w:val="005B1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E02"/>
    <w:rPr>
      <w:rFonts w:ascii="Times New Roman" w:eastAsia="Times New Roman" w:hAnsi="Times New Roman" w:cs="Times New Roman"/>
      <w:sz w:val="24"/>
      <w:lang w:val="en-US" w:eastAsia="en-US"/>
    </w:rPr>
  </w:style>
  <w:style w:type="paragraph" w:styleId="Footer">
    <w:name w:val="footer"/>
    <w:basedOn w:val="Normal"/>
    <w:link w:val="FooterChar"/>
    <w:rsid w:val="005B1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E02"/>
    <w:rPr>
      <w:rFonts w:ascii="Times New Roman" w:eastAsia="Times New Roman" w:hAnsi="Times New Roman" w:cs="Times New Roman"/>
      <w:sz w:val="16"/>
      <w:lang w:val="en-US" w:eastAsia="en-US"/>
    </w:rPr>
  </w:style>
  <w:style w:type="paragraph" w:styleId="List">
    <w:name w:val="List"/>
    <w:basedOn w:val="BodyText"/>
    <w:next w:val="BodyText"/>
    <w:rsid w:val="005B1E02"/>
    <w:pPr>
      <w:tabs>
        <w:tab w:val="left" w:pos="340"/>
      </w:tabs>
      <w:spacing w:before="60" w:after="60"/>
      <w:ind w:left="340" w:hanging="340"/>
    </w:pPr>
  </w:style>
  <w:style w:type="paragraph" w:styleId="ListBullet">
    <w:name w:val="List Bullet"/>
    <w:basedOn w:val="List"/>
    <w:rsid w:val="005B1E02"/>
    <w:pPr>
      <w:numPr>
        <w:numId w:val="13"/>
      </w:numPr>
      <w:tabs>
        <w:tab w:val="clear" w:pos="340"/>
      </w:tabs>
      <w:spacing w:before="40" w:after="40"/>
    </w:pPr>
  </w:style>
  <w:style w:type="character" w:customStyle="1" w:styleId="SpecialBold">
    <w:name w:val="Special Bold"/>
    <w:basedOn w:val="DefaultParagraphFont"/>
    <w:rsid w:val="005B1E02"/>
    <w:rPr>
      <w:b/>
      <w:spacing w:val="0"/>
    </w:rPr>
  </w:style>
  <w:style w:type="paragraph" w:styleId="ListBullet2">
    <w:name w:val="List Bullet 2"/>
    <w:basedOn w:val="List2"/>
    <w:rsid w:val="005B1E02"/>
    <w:pPr>
      <w:numPr>
        <w:numId w:val="14"/>
      </w:numPr>
      <w:tabs>
        <w:tab w:val="clear" w:pos="680"/>
      </w:tabs>
    </w:pPr>
  </w:style>
  <w:style w:type="paragraph" w:styleId="Header">
    <w:name w:val="header"/>
    <w:basedOn w:val="Normal"/>
    <w:link w:val="HeaderChar"/>
    <w:rsid w:val="005B1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E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1E02"/>
    <w:rPr>
      <w:i/>
    </w:rPr>
  </w:style>
  <w:style w:type="paragraph" w:customStyle="1" w:styleId="SuperHeading">
    <w:name w:val="SuperHeading"/>
    <w:basedOn w:val="Normal"/>
    <w:rsid w:val="005B1E02"/>
    <w:pPr>
      <w:spacing w:before="240" w:after="120"/>
      <w:outlineLvl w:val="0"/>
    </w:pPr>
    <w:rPr>
      <w:rFonts w:ascii="Times New Roman" w:hAnsi="Times New Roman"/>
      <w:b/>
      <w:sz w:val="28"/>
    </w:rPr>
  </w:style>
  <w:style w:type="paragraph" w:customStyle="1" w:styleId="AllowPageBreak">
    <w:name w:val="AllowPageBreak"/>
    <w:rsid w:val="005B1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1E02"/>
    <w:rPr>
      <w:b/>
      <w:i/>
      <w:u w:val="none"/>
    </w:rPr>
  </w:style>
  <w:style w:type="character" w:customStyle="1" w:styleId="Heading2Char">
    <w:name w:val="Heading 2 Char"/>
    <w:basedOn w:val="DefaultParagraphFont"/>
    <w:link w:val="Heading2"/>
    <w:rsid w:val="005B1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E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E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E02"/>
    <w:rPr>
      <w:rFonts w:ascii="Courier New" w:eastAsia="Times New Roman" w:hAnsi="Courier New" w:cs="Times New Roman"/>
      <w:i/>
      <w:szCs w:val="20"/>
      <w:lang w:val="en-US" w:eastAsia="en-US"/>
    </w:rPr>
  </w:style>
  <w:style w:type="paragraph" w:customStyle="1" w:styleId="HeadingBase">
    <w:name w:val="Heading Base"/>
    <w:rsid w:val="005B1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E02"/>
    <w:pPr>
      <w:tabs>
        <w:tab w:val="right" w:leader="dot" w:pos="9072"/>
      </w:tabs>
      <w:ind w:left="567"/>
    </w:pPr>
    <w:rPr>
      <w:szCs w:val="22"/>
    </w:rPr>
  </w:style>
  <w:style w:type="paragraph" w:customStyle="1" w:styleId="TOCBase">
    <w:name w:val="TOC Base"/>
    <w:rsid w:val="005B1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E02"/>
    <w:pPr>
      <w:tabs>
        <w:tab w:val="right" w:leader="dot" w:pos="9072"/>
      </w:tabs>
      <w:spacing w:before="40" w:after="40"/>
      <w:ind w:left="284"/>
    </w:pPr>
    <w:rPr>
      <w:rFonts w:ascii="Times New Roman" w:hAnsi="Times New Roman"/>
    </w:rPr>
  </w:style>
  <w:style w:type="paragraph" w:styleId="TOC1">
    <w:name w:val="toc 1"/>
    <w:basedOn w:val="TOCBase"/>
    <w:next w:val="Normal"/>
    <w:rsid w:val="005B1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E02"/>
    <w:pPr>
      <w:spacing w:before="5040"/>
      <w:jc w:val="center"/>
    </w:pPr>
    <w:rPr>
      <w:sz w:val="48"/>
      <w:szCs w:val="72"/>
      <w:lang w:val="en-US"/>
    </w:rPr>
  </w:style>
  <w:style w:type="character" w:customStyle="1" w:styleId="TitleChar">
    <w:name w:val="Title Char"/>
    <w:basedOn w:val="DefaultParagraphFont"/>
    <w:link w:val="Title"/>
    <w:rsid w:val="005B1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E02"/>
    <w:pPr>
      <w:tabs>
        <w:tab w:val="left" w:pos="3600"/>
        <w:tab w:val="left" w:pos="3958"/>
      </w:tabs>
    </w:pPr>
  </w:style>
  <w:style w:type="paragraph" w:customStyle="1" w:styleId="Note">
    <w:name w:val="Note"/>
    <w:basedOn w:val="BodyText"/>
    <w:rsid w:val="005B1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E02"/>
    <w:pPr>
      <w:framePr w:wrap="auto" w:hAnchor="text" w:y="6049"/>
    </w:pPr>
    <w:rPr>
      <w:color w:val="000000"/>
      <w:sz w:val="40"/>
    </w:rPr>
  </w:style>
  <w:style w:type="paragraph" w:customStyle="1" w:styleId="TOCTitle">
    <w:name w:val="TOCTitle"/>
    <w:basedOn w:val="Heading1"/>
    <w:rsid w:val="005B1E02"/>
    <w:pPr>
      <w:spacing w:after="240"/>
      <w:jc w:val="center"/>
      <w:outlineLvl w:val="9"/>
    </w:pPr>
    <w:rPr>
      <w:caps/>
    </w:rPr>
  </w:style>
  <w:style w:type="paragraph" w:customStyle="1" w:styleId="Version">
    <w:name w:val="Version"/>
    <w:rsid w:val="005B1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E02"/>
    <w:pPr>
      <w:keepNext w:val="0"/>
      <w:tabs>
        <w:tab w:val="right" w:pos="4176"/>
      </w:tabs>
      <w:ind w:left="198" w:hanging="198"/>
    </w:pPr>
    <w:rPr>
      <w:rFonts w:ascii="Garamond" w:hAnsi="Garamond"/>
    </w:rPr>
  </w:style>
  <w:style w:type="paragraph" w:styleId="IndexHeading">
    <w:name w:val="index heading"/>
    <w:basedOn w:val="Normal"/>
    <w:next w:val="Index1"/>
    <w:semiHidden/>
    <w:rsid w:val="005B1E02"/>
    <w:pPr>
      <w:spacing w:before="120" w:after="120"/>
    </w:pPr>
    <w:rPr>
      <w:rFonts w:ascii="Arial" w:hAnsi="Arial"/>
      <w:b/>
      <w:color w:val="918585"/>
      <w:sz w:val="24"/>
    </w:rPr>
  </w:style>
  <w:style w:type="paragraph" w:customStyle="1" w:styleId="Chapter">
    <w:name w:val="Chapter"/>
    <w:basedOn w:val="Normal"/>
    <w:rsid w:val="005B1E02"/>
    <w:pPr>
      <w:spacing w:before="240"/>
    </w:pPr>
    <w:rPr>
      <w:rFonts w:ascii="Times New Roman" w:hAnsi="Times New Roman"/>
      <w:smallCaps/>
      <w:spacing w:val="80"/>
      <w:sz w:val="28"/>
    </w:rPr>
  </w:style>
  <w:style w:type="paragraph" w:customStyle="1" w:styleId="InChapter">
    <w:name w:val="InChapter"/>
    <w:basedOn w:val="Heading3"/>
    <w:rsid w:val="005B1E02"/>
    <w:pPr>
      <w:spacing w:after="240"/>
      <w:outlineLvl w:val="9"/>
    </w:pPr>
    <w:rPr>
      <w:noProof/>
    </w:rPr>
  </w:style>
  <w:style w:type="paragraph" w:styleId="Index2">
    <w:name w:val="index 2"/>
    <w:basedOn w:val="Normal"/>
    <w:next w:val="Normal"/>
    <w:semiHidden/>
    <w:rsid w:val="005B1E02"/>
    <w:pPr>
      <w:tabs>
        <w:tab w:val="right" w:pos="4176"/>
      </w:tabs>
      <w:ind w:left="568" w:hanging="284"/>
    </w:pPr>
    <w:rPr>
      <w:rFonts w:ascii="Garamond" w:hAnsi="Garamond"/>
    </w:rPr>
  </w:style>
  <w:style w:type="paragraph" w:customStyle="1" w:styleId="Byline">
    <w:name w:val="Byline"/>
    <w:rsid w:val="005B1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E02"/>
    <w:pPr>
      <w:tabs>
        <w:tab w:val="clear" w:pos="3600"/>
        <w:tab w:val="clear" w:pos="3958"/>
      </w:tabs>
      <w:jc w:val="right"/>
    </w:pPr>
  </w:style>
  <w:style w:type="paragraph" w:styleId="Caption">
    <w:name w:val="caption"/>
    <w:basedOn w:val="BodyText"/>
    <w:next w:val="Normal"/>
    <w:qFormat/>
    <w:rsid w:val="005B1E02"/>
    <w:pPr>
      <w:framePr w:w="2268" w:hSpace="181" w:vSpace="181" w:wrap="around" w:vAnchor="text" w:hAnchor="page" w:x="1135" w:y="285" w:anchorLock="1"/>
    </w:pPr>
    <w:rPr>
      <w:i/>
    </w:rPr>
  </w:style>
  <w:style w:type="paragraph" w:customStyle="1" w:styleId="MiniTOCTitle">
    <w:name w:val="MiniTOCTitle"/>
    <w:basedOn w:val="Heading4"/>
    <w:rsid w:val="005B1E02"/>
    <w:pPr>
      <w:spacing w:before="240"/>
      <w:outlineLvl w:val="9"/>
    </w:pPr>
    <w:rPr>
      <w:noProof/>
      <w:sz w:val="24"/>
    </w:rPr>
  </w:style>
  <w:style w:type="paragraph" w:customStyle="1" w:styleId="MiniTOCItem">
    <w:name w:val="MiniTOCItem"/>
    <w:basedOn w:val="ListBullet"/>
    <w:rsid w:val="005B1E02"/>
    <w:pPr>
      <w:numPr>
        <w:numId w:val="0"/>
      </w:numPr>
      <w:tabs>
        <w:tab w:val="right" w:leader="dot" w:pos="6521"/>
      </w:tabs>
      <w:spacing w:before="0" w:after="0"/>
    </w:pPr>
  </w:style>
  <w:style w:type="paragraph" w:customStyle="1" w:styleId="TOFTitle">
    <w:name w:val="TOFTitle"/>
    <w:basedOn w:val="TOCTitle"/>
    <w:rsid w:val="005B1E02"/>
  </w:style>
  <w:style w:type="paragraph" w:styleId="TableofFigures">
    <w:name w:val="table of figures"/>
    <w:basedOn w:val="Normal"/>
    <w:next w:val="Normal"/>
    <w:semiHidden/>
    <w:rsid w:val="005B1E02"/>
    <w:pPr>
      <w:tabs>
        <w:tab w:val="right" w:leader="dot" w:pos="9072"/>
      </w:tabs>
      <w:ind w:left="970" w:hanging="403"/>
    </w:pPr>
    <w:rPr>
      <w:rFonts w:ascii="Times New Roman" w:hAnsi="Times New Roman"/>
      <w:b/>
    </w:rPr>
  </w:style>
  <w:style w:type="paragraph" w:styleId="ListNumber">
    <w:name w:val="List Number"/>
    <w:basedOn w:val="List"/>
    <w:rsid w:val="005B1E02"/>
    <w:pPr>
      <w:numPr>
        <w:numId w:val="11"/>
      </w:numPr>
    </w:pPr>
  </w:style>
  <w:style w:type="character" w:customStyle="1" w:styleId="WingdingSymbols">
    <w:name w:val="Wingding Symbols"/>
    <w:rsid w:val="005B1E02"/>
    <w:rPr>
      <w:rFonts w:ascii="Wingdings" w:hAnsi="Wingdings"/>
    </w:rPr>
  </w:style>
  <w:style w:type="paragraph" w:customStyle="1" w:styleId="TableHeading">
    <w:name w:val="Table Heading"/>
    <w:basedOn w:val="HeadingBase"/>
    <w:rsid w:val="005B1E02"/>
    <w:pPr>
      <w:keepLines/>
      <w:pBdr>
        <w:bottom w:val="single" w:sz="6" w:space="1" w:color="918585"/>
      </w:pBdr>
      <w:spacing w:before="240"/>
    </w:pPr>
  </w:style>
  <w:style w:type="character" w:customStyle="1" w:styleId="HotSpot">
    <w:name w:val="HotSpot"/>
    <w:rsid w:val="005B1E02"/>
    <w:rPr>
      <w:color w:val="0033CC"/>
      <w:u w:val="none"/>
    </w:rPr>
  </w:style>
  <w:style w:type="paragraph" w:customStyle="1" w:styleId="BodyTextRight">
    <w:name w:val="Body Text Right"/>
    <w:basedOn w:val="BodyText"/>
    <w:rsid w:val="005B1E02"/>
    <w:pPr>
      <w:spacing w:before="0" w:after="0"/>
      <w:jc w:val="right"/>
    </w:pPr>
  </w:style>
  <w:style w:type="paragraph" w:styleId="Index3">
    <w:name w:val="index 3"/>
    <w:basedOn w:val="ListNumber2"/>
    <w:next w:val="Normal"/>
    <w:semiHidden/>
    <w:rsid w:val="005B1E02"/>
    <w:pPr>
      <w:numPr>
        <w:numId w:val="0"/>
      </w:numPr>
      <w:tabs>
        <w:tab w:val="right" w:leader="dot" w:pos="4176"/>
      </w:tabs>
    </w:pPr>
  </w:style>
  <w:style w:type="paragraph" w:styleId="ListNumber2">
    <w:name w:val="List Number 2"/>
    <w:basedOn w:val="List2"/>
    <w:rsid w:val="005B1E02"/>
    <w:pPr>
      <w:numPr>
        <w:numId w:val="10"/>
      </w:numPr>
      <w:tabs>
        <w:tab w:val="clear" w:pos="1060"/>
      </w:tabs>
    </w:pPr>
  </w:style>
  <w:style w:type="paragraph" w:customStyle="1" w:styleId="MarginNote">
    <w:name w:val="Margin Note"/>
    <w:basedOn w:val="BodyText"/>
    <w:rsid w:val="005B1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E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E02"/>
    <w:rPr>
      <w:sz w:val="32"/>
    </w:rPr>
  </w:style>
  <w:style w:type="paragraph" w:customStyle="1" w:styleId="HeadingProcedure">
    <w:name w:val="Heading Procedure"/>
    <w:basedOn w:val="HeadingBase"/>
    <w:next w:val="Normal"/>
    <w:rsid w:val="005B1E02"/>
    <w:pPr>
      <w:tabs>
        <w:tab w:val="left" w:pos="0"/>
      </w:tabs>
      <w:spacing w:before="120" w:after="60"/>
    </w:pPr>
    <w:rPr>
      <w:i/>
      <w:color w:val="918585"/>
      <w:sz w:val="22"/>
    </w:rPr>
  </w:style>
  <w:style w:type="paragraph" w:customStyle="1" w:styleId="TableBodyText">
    <w:name w:val="Table Body Text"/>
    <w:basedOn w:val="BodyText"/>
    <w:rsid w:val="005B1E02"/>
    <w:pPr>
      <w:spacing w:before="60" w:after="60"/>
    </w:pPr>
  </w:style>
  <w:style w:type="paragraph" w:styleId="ListContinue">
    <w:name w:val="List Continue"/>
    <w:basedOn w:val="List"/>
    <w:rsid w:val="005B1E02"/>
    <w:pPr>
      <w:ind w:firstLine="0"/>
    </w:pPr>
  </w:style>
  <w:style w:type="paragraph" w:customStyle="1" w:styleId="ListNote">
    <w:name w:val="List Note"/>
    <w:basedOn w:val="List"/>
    <w:rsid w:val="005B1E02"/>
    <w:pPr>
      <w:pBdr>
        <w:top w:val="single" w:sz="6" w:space="2" w:color="918585"/>
        <w:bottom w:val="single" w:sz="6" w:space="2" w:color="918585"/>
      </w:pBdr>
      <w:tabs>
        <w:tab w:val="left" w:pos="1021"/>
      </w:tabs>
      <w:ind w:firstLine="0"/>
    </w:pPr>
  </w:style>
  <w:style w:type="paragraph" w:customStyle="1" w:styleId="Warning">
    <w:name w:val="Warning"/>
    <w:basedOn w:val="BodyText"/>
    <w:rsid w:val="005B1E02"/>
    <w:pPr>
      <w:shd w:val="clear" w:color="auto" w:fill="D9D9D9"/>
      <w:tabs>
        <w:tab w:val="left" w:pos="992"/>
      </w:tabs>
      <w:ind w:left="119" w:right="119"/>
    </w:pPr>
    <w:rPr>
      <w:sz w:val="20"/>
    </w:rPr>
  </w:style>
  <w:style w:type="paragraph" w:customStyle="1" w:styleId="MarginIcons">
    <w:name w:val="Margin Icons"/>
    <w:basedOn w:val="BodyText"/>
    <w:rsid w:val="005B1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E02"/>
    <w:rPr>
      <w:rFonts w:ascii="Courier New" w:hAnsi="Courier New"/>
    </w:rPr>
  </w:style>
  <w:style w:type="paragraph" w:customStyle="1" w:styleId="NoteBullet">
    <w:name w:val="Note Bullet"/>
    <w:basedOn w:val="Note"/>
    <w:rsid w:val="005B1E02"/>
    <w:pPr>
      <w:tabs>
        <w:tab w:val="clear" w:pos="680"/>
      </w:tabs>
      <w:spacing w:before="60" w:after="60"/>
    </w:pPr>
  </w:style>
  <w:style w:type="paragraph" w:customStyle="1" w:styleId="SubHeading2">
    <w:name w:val="SubHeading2"/>
    <w:basedOn w:val="HeadingBase"/>
    <w:rsid w:val="005B1E02"/>
    <w:pPr>
      <w:spacing w:before="240" w:after="60"/>
    </w:pPr>
    <w:rPr>
      <w:sz w:val="20"/>
    </w:rPr>
  </w:style>
  <w:style w:type="paragraph" w:customStyle="1" w:styleId="SubHeading1">
    <w:name w:val="SubHeading1"/>
    <w:basedOn w:val="HeadingBase"/>
    <w:rsid w:val="005B1E02"/>
    <w:pPr>
      <w:spacing w:before="240" w:after="60"/>
    </w:pPr>
    <w:rPr>
      <w:color w:val="918585"/>
      <w:sz w:val="22"/>
    </w:rPr>
  </w:style>
  <w:style w:type="paragraph" w:customStyle="1" w:styleId="SideHeading">
    <w:name w:val="Side Heading"/>
    <w:basedOn w:val="HeadingBase"/>
    <w:rsid w:val="005B1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E02"/>
    <w:pPr>
      <w:numPr>
        <w:numId w:val="12"/>
      </w:numPr>
    </w:pPr>
  </w:style>
  <w:style w:type="paragraph" w:styleId="PlainText">
    <w:name w:val="Plain Text"/>
    <w:basedOn w:val="Normal"/>
    <w:link w:val="PlainTextChar"/>
    <w:rsid w:val="005B1E02"/>
    <w:rPr>
      <w:sz w:val="20"/>
    </w:rPr>
  </w:style>
  <w:style w:type="character" w:customStyle="1" w:styleId="PlainTextChar">
    <w:name w:val="Plain Text Char"/>
    <w:basedOn w:val="DefaultParagraphFont"/>
    <w:link w:val="PlainText"/>
    <w:rsid w:val="005B1E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1E02"/>
    <w:rPr>
      <w:b/>
      <w:smallCaps/>
    </w:rPr>
  </w:style>
  <w:style w:type="paragraph" w:customStyle="1" w:styleId="TableListNumber">
    <w:name w:val="Table List Number"/>
    <w:basedOn w:val="ListNumber"/>
    <w:rsid w:val="005B1E02"/>
    <w:pPr>
      <w:numPr>
        <w:numId w:val="0"/>
      </w:numPr>
    </w:pPr>
  </w:style>
  <w:style w:type="paragraph" w:styleId="TOC4">
    <w:name w:val="toc 4"/>
    <w:basedOn w:val="TOCBase"/>
    <w:next w:val="Normal"/>
    <w:semiHidden/>
    <w:rsid w:val="005B1E02"/>
    <w:pPr>
      <w:tabs>
        <w:tab w:val="right" w:leader="dot" w:pos="9071"/>
      </w:tabs>
      <w:ind w:left="1701"/>
    </w:pPr>
  </w:style>
  <w:style w:type="paragraph" w:customStyle="1" w:styleId="ListAlpha">
    <w:name w:val="List Alpha"/>
    <w:basedOn w:val="List"/>
    <w:rsid w:val="005B1E02"/>
    <w:pPr>
      <w:numPr>
        <w:numId w:val="9"/>
      </w:numPr>
    </w:pPr>
  </w:style>
  <w:style w:type="paragraph" w:customStyle="1" w:styleId="ListAlpha2">
    <w:name w:val="List Alpha 2"/>
    <w:basedOn w:val="List2"/>
    <w:rsid w:val="005B1E02"/>
    <w:pPr>
      <w:numPr>
        <w:numId w:val="8"/>
      </w:numPr>
    </w:pPr>
  </w:style>
  <w:style w:type="paragraph" w:styleId="List2">
    <w:name w:val="List 2"/>
    <w:basedOn w:val="BodyText"/>
    <w:rsid w:val="005B1E02"/>
    <w:pPr>
      <w:tabs>
        <w:tab w:val="left" w:pos="680"/>
      </w:tabs>
      <w:spacing w:before="60" w:after="60"/>
      <w:ind w:left="680" w:hanging="340"/>
    </w:pPr>
  </w:style>
  <w:style w:type="paragraph" w:styleId="List3">
    <w:name w:val="List 3"/>
    <w:basedOn w:val="BodyText"/>
    <w:rsid w:val="005B1E02"/>
    <w:pPr>
      <w:tabs>
        <w:tab w:val="left" w:pos="1021"/>
      </w:tabs>
      <w:spacing w:before="60" w:after="60"/>
      <w:ind w:left="1020" w:hanging="340"/>
    </w:pPr>
  </w:style>
  <w:style w:type="paragraph" w:styleId="List4">
    <w:name w:val="List 4"/>
    <w:basedOn w:val="BodyText"/>
    <w:rsid w:val="005B1E02"/>
    <w:pPr>
      <w:tabs>
        <w:tab w:val="left" w:pos="1361"/>
      </w:tabs>
      <w:spacing w:before="60" w:after="60"/>
      <w:ind w:left="1361" w:hanging="340"/>
    </w:pPr>
  </w:style>
  <w:style w:type="paragraph" w:styleId="List5">
    <w:name w:val="List 5"/>
    <w:basedOn w:val="BodyText"/>
    <w:rsid w:val="005B1E02"/>
    <w:pPr>
      <w:tabs>
        <w:tab w:val="left" w:pos="1701"/>
      </w:tabs>
      <w:spacing w:before="60" w:after="60"/>
      <w:ind w:left="1701" w:hanging="340"/>
    </w:pPr>
  </w:style>
  <w:style w:type="paragraph" w:styleId="ListBullet3">
    <w:name w:val="List Bullet 3"/>
    <w:basedOn w:val="List3"/>
    <w:rsid w:val="005B1E02"/>
    <w:pPr>
      <w:numPr>
        <w:numId w:val="15"/>
      </w:numPr>
      <w:tabs>
        <w:tab w:val="clear" w:pos="1021"/>
      </w:tabs>
      <w:ind w:left="1037" w:hanging="357"/>
    </w:pPr>
  </w:style>
  <w:style w:type="paragraph" w:styleId="ListBullet4">
    <w:name w:val="List Bullet 4"/>
    <w:basedOn w:val="List4"/>
    <w:rsid w:val="005B1E02"/>
    <w:pPr>
      <w:numPr>
        <w:numId w:val="3"/>
      </w:numPr>
    </w:pPr>
  </w:style>
  <w:style w:type="paragraph" w:styleId="ListBullet5">
    <w:name w:val="List Bullet 5"/>
    <w:basedOn w:val="List5"/>
    <w:rsid w:val="005B1E02"/>
    <w:pPr>
      <w:numPr>
        <w:numId w:val="4"/>
      </w:numPr>
    </w:pPr>
  </w:style>
  <w:style w:type="paragraph" w:styleId="ListContinue2">
    <w:name w:val="List Continue 2"/>
    <w:basedOn w:val="List2"/>
    <w:rsid w:val="005B1E02"/>
    <w:pPr>
      <w:ind w:firstLine="0"/>
    </w:pPr>
  </w:style>
  <w:style w:type="paragraph" w:styleId="ListContinue3">
    <w:name w:val="List Continue 3"/>
    <w:basedOn w:val="List3"/>
    <w:rsid w:val="005B1E02"/>
    <w:pPr>
      <w:ind w:left="1021" w:firstLine="0"/>
    </w:pPr>
  </w:style>
  <w:style w:type="paragraph" w:styleId="ListContinue4">
    <w:name w:val="List Continue 4"/>
    <w:basedOn w:val="List4"/>
    <w:rsid w:val="005B1E02"/>
    <w:pPr>
      <w:ind w:firstLine="0"/>
    </w:pPr>
  </w:style>
  <w:style w:type="paragraph" w:styleId="ListContinue5">
    <w:name w:val="List Continue 5"/>
    <w:basedOn w:val="List5"/>
    <w:rsid w:val="005B1E02"/>
    <w:pPr>
      <w:ind w:firstLine="0"/>
    </w:pPr>
  </w:style>
  <w:style w:type="paragraph" w:styleId="ListNumber3">
    <w:name w:val="List Number 3"/>
    <w:basedOn w:val="List3"/>
    <w:rsid w:val="005B1E02"/>
    <w:pPr>
      <w:numPr>
        <w:numId w:val="5"/>
      </w:numPr>
    </w:pPr>
  </w:style>
  <w:style w:type="paragraph" w:styleId="ListNumber4">
    <w:name w:val="List Number 4"/>
    <w:basedOn w:val="List4"/>
    <w:rsid w:val="005B1E02"/>
    <w:pPr>
      <w:numPr>
        <w:numId w:val="6"/>
      </w:numPr>
    </w:pPr>
  </w:style>
  <w:style w:type="paragraph" w:styleId="ListNumber5">
    <w:name w:val="List Number 5"/>
    <w:basedOn w:val="List5"/>
    <w:rsid w:val="005B1E02"/>
    <w:pPr>
      <w:numPr>
        <w:numId w:val="7"/>
      </w:numPr>
    </w:pPr>
  </w:style>
  <w:style w:type="paragraph" w:styleId="BlockText">
    <w:name w:val="Block Text"/>
    <w:basedOn w:val="Normal"/>
    <w:rsid w:val="005B1E02"/>
    <w:pPr>
      <w:spacing w:after="120"/>
      <w:ind w:left="1440" w:right="1440"/>
    </w:pPr>
  </w:style>
  <w:style w:type="character" w:customStyle="1" w:styleId="Subscript">
    <w:name w:val="Subscript"/>
    <w:basedOn w:val="DefaultParagraphFont"/>
    <w:rsid w:val="005B1E02"/>
    <w:rPr>
      <w:sz w:val="16"/>
      <w:vertAlign w:val="subscript"/>
    </w:rPr>
  </w:style>
  <w:style w:type="character" w:customStyle="1" w:styleId="Superscript">
    <w:name w:val="Superscript"/>
    <w:basedOn w:val="DefaultParagraphFont"/>
    <w:rsid w:val="005B1E02"/>
    <w:rPr>
      <w:sz w:val="16"/>
      <w:vertAlign w:val="superscript"/>
    </w:rPr>
  </w:style>
  <w:style w:type="character" w:customStyle="1" w:styleId="Symbols">
    <w:name w:val="Symbols"/>
    <w:basedOn w:val="DefaultParagraphFont"/>
    <w:rsid w:val="005B1E02"/>
    <w:rPr>
      <w:rFonts w:ascii="Symbol" w:hAnsi="Symbol"/>
    </w:rPr>
  </w:style>
  <w:style w:type="character" w:customStyle="1" w:styleId="MenuOptions">
    <w:name w:val="Menu Options"/>
    <w:basedOn w:val="DefaultParagraphFont"/>
    <w:rsid w:val="005B1E02"/>
    <w:rPr>
      <w:rFonts w:ascii="Arial Narrow" w:hAnsi="Arial Narrow"/>
      <w:smallCaps/>
    </w:rPr>
  </w:style>
  <w:style w:type="character" w:customStyle="1" w:styleId="Buttons">
    <w:name w:val="Buttons"/>
    <w:basedOn w:val="DefaultParagraphFont"/>
    <w:rsid w:val="005B1E02"/>
    <w:rPr>
      <w:b/>
    </w:rPr>
  </w:style>
  <w:style w:type="character" w:customStyle="1" w:styleId="Underlined">
    <w:name w:val="Underlined"/>
    <w:basedOn w:val="DefaultParagraphFont"/>
    <w:rsid w:val="005B1E02"/>
    <w:rPr>
      <w:u w:val="single"/>
    </w:rPr>
  </w:style>
  <w:style w:type="paragraph" w:customStyle="1" w:styleId="TableBodyTextRight">
    <w:name w:val="Table Body Text Right"/>
    <w:basedOn w:val="TableBodyText"/>
    <w:rsid w:val="005B1E02"/>
    <w:pPr>
      <w:widowControl w:val="0"/>
      <w:autoSpaceDE w:val="0"/>
      <w:autoSpaceDN w:val="0"/>
      <w:adjustRightInd w:val="0"/>
      <w:jc w:val="right"/>
    </w:pPr>
    <w:rPr>
      <w:rFonts w:cs="Arial"/>
      <w:szCs w:val="18"/>
    </w:rPr>
  </w:style>
  <w:style w:type="paragraph" w:customStyle="1" w:styleId="CopyrightText">
    <w:name w:val="Copyright Text"/>
    <w:basedOn w:val="BodyText"/>
    <w:rsid w:val="005B1E02"/>
    <w:rPr>
      <w:sz w:val="18"/>
    </w:rPr>
  </w:style>
  <w:style w:type="paragraph" w:customStyle="1" w:styleId="BodySmallRight">
    <w:name w:val="Body Small Right"/>
    <w:basedOn w:val="BodyTextRight"/>
    <w:rsid w:val="005B1E02"/>
    <w:rPr>
      <w:sz w:val="18"/>
      <w:szCs w:val="18"/>
    </w:rPr>
  </w:style>
  <w:style w:type="paragraph" w:customStyle="1" w:styleId="MarginEdition">
    <w:name w:val="Margin Edition"/>
    <w:basedOn w:val="MarginNote"/>
    <w:rsid w:val="005B1E02"/>
    <w:pPr>
      <w:spacing w:before="0" w:after="0"/>
    </w:pPr>
    <w:rPr>
      <w:rFonts w:ascii="Times New Roman" w:hAnsi="Times New Roman"/>
      <w:color w:val="999999"/>
    </w:rPr>
  </w:style>
  <w:style w:type="paragraph" w:customStyle="1" w:styleId="Spacer">
    <w:name w:val="Spacer"/>
    <w:basedOn w:val="Normal"/>
    <w:rsid w:val="005B1E02"/>
    <w:rPr>
      <w:sz w:val="2"/>
      <w:szCs w:val="2"/>
    </w:rPr>
  </w:style>
  <w:style w:type="character" w:customStyle="1" w:styleId="Small">
    <w:name w:val="Small"/>
    <w:basedOn w:val="DefaultParagraphFont"/>
    <w:rsid w:val="005B1E02"/>
    <w:rPr>
      <w:sz w:val="16"/>
    </w:rPr>
  </w:style>
  <w:style w:type="paragraph" w:customStyle="1" w:styleId="WideTable">
    <w:name w:val="Wide Table"/>
    <w:basedOn w:val="Normal"/>
    <w:rsid w:val="005B1E02"/>
    <w:pPr>
      <w:ind w:left="-1418"/>
    </w:pPr>
    <w:rPr>
      <w:sz w:val="2"/>
      <w:szCs w:val="2"/>
    </w:rPr>
  </w:style>
  <w:style w:type="character" w:styleId="PageNumber">
    <w:name w:val="page number"/>
    <w:basedOn w:val="DefaultParagraphFont"/>
    <w:rsid w:val="005B1E02"/>
  </w:style>
  <w:style w:type="paragraph" w:styleId="Quote">
    <w:name w:val="Quote"/>
    <w:basedOn w:val="Heading1"/>
    <w:link w:val="QuoteChar"/>
    <w:qFormat/>
    <w:rsid w:val="005B1E02"/>
    <w:rPr>
      <w:b w:val="0"/>
      <w:sz w:val="72"/>
      <w:szCs w:val="72"/>
      <w:lang w:val="en-NZ"/>
    </w:rPr>
  </w:style>
  <w:style w:type="character" w:customStyle="1" w:styleId="QuoteChar">
    <w:name w:val="Quote Char"/>
    <w:basedOn w:val="DefaultParagraphFont"/>
    <w:link w:val="Quote"/>
    <w:rsid w:val="005B1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E02"/>
    <w:pPr>
      <w:pageBreakBefore/>
    </w:pPr>
  </w:style>
  <w:style w:type="paragraph" w:customStyle="1" w:styleId="Border">
    <w:name w:val="Border"/>
    <w:basedOn w:val="Normal"/>
    <w:qFormat/>
    <w:rsid w:val="005B1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E02"/>
    <w:rPr>
      <w:b/>
      <w:bCs/>
      <w:i/>
      <w:iCs/>
      <w:color w:val="auto"/>
    </w:rPr>
  </w:style>
  <w:style w:type="paragraph" w:styleId="IntenseQuote">
    <w:name w:val="Intense Quote"/>
    <w:basedOn w:val="Normal"/>
    <w:next w:val="Normal"/>
    <w:link w:val="IntenseQuoteChar"/>
    <w:uiPriority w:val="30"/>
    <w:qFormat/>
    <w:rsid w:val="005B1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E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1E02"/>
    <w:rPr>
      <w:smallCaps/>
      <w:color w:val="auto"/>
      <w:u w:val="single"/>
    </w:rPr>
  </w:style>
  <w:style w:type="character" w:styleId="IntenseReference">
    <w:name w:val="Intense Reference"/>
    <w:basedOn w:val="DefaultParagraphFont"/>
    <w:uiPriority w:val="32"/>
    <w:qFormat/>
    <w:rsid w:val="005B1E02"/>
    <w:rPr>
      <w:b/>
      <w:bCs/>
      <w:smallCaps/>
      <w:color w:val="auto"/>
      <w:spacing w:val="5"/>
      <w:u w:val="single"/>
    </w:rPr>
  </w:style>
  <w:style w:type="paragraph" w:customStyle="1" w:styleId="2ColumnHeading">
    <w:name w:val="2Column Heading"/>
    <w:basedOn w:val="BodyText"/>
    <w:qFormat/>
    <w:rsid w:val="005B1E02"/>
    <w:pPr>
      <w:spacing w:after="60"/>
      <w:ind w:left="-2268"/>
    </w:pPr>
    <w:rPr>
      <w:b/>
    </w:rPr>
  </w:style>
  <w:style w:type="paragraph" w:customStyle="1" w:styleId="Heading1TOC">
    <w:name w:val="Heading1 TOC"/>
    <w:basedOn w:val="Normal"/>
    <w:qFormat/>
    <w:rsid w:val="005B1E02"/>
    <w:pPr>
      <w:spacing w:before="240" w:after="120"/>
    </w:pPr>
    <w:rPr>
      <w:rFonts w:ascii="Times New Roman" w:hAnsi="Times New Roman"/>
      <w:b/>
      <w:sz w:val="32"/>
    </w:rPr>
  </w:style>
  <w:style w:type="paragraph" w:customStyle="1" w:styleId="Heading2TOC">
    <w:name w:val="Heading2 TOC"/>
    <w:basedOn w:val="Normal"/>
    <w:qFormat/>
    <w:rsid w:val="005B1E02"/>
    <w:pPr>
      <w:spacing w:before="240" w:after="60"/>
    </w:pPr>
    <w:rPr>
      <w:rFonts w:ascii="Times New Roman" w:hAnsi="Times New Roman"/>
      <w:b/>
      <w:sz w:val="28"/>
    </w:rPr>
  </w:style>
  <w:style w:type="character" w:customStyle="1" w:styleId="Underline">
    <w:name w:val="Underline"/>
    <w:basedOn w:val="DefaultParagraphFont"/>
    <w:qFormat/>
    <w:rsid w:val="005B1E02"/>
    <w:rPr>
      <w:u w:val="single"/>
    </w:rPr>
  </w:style>
  <w:style w:type="paragraph" w:styleId="BalloonText">
    <w:name w:val="Balloon Text"/>
    <w:basedOn w:val="Normal"/>
    <w:link w:val="BalloonTextChar"/>
    <w:rsid w:val="005B1E02"/>
    <w:rPr>
      <w:rFonts w:ascii="Tahoma" w:hAnsi="Tahoma" w:cs="Tahoma"/>
      <w:sz w:val="16"/>
      <w:szCs w:val="16"/>
    </w:rPr>
  </w:style>
  <w:style w:type="character" w:customStyle="1" w:styleId="BalloonTextChar">
    <w:name w:val="Balloon Text Char"/>
    <w:basedOn w:val="DefaultParagraphFont"/>
    <w:link w:val="BalloonText"/>
    <w:rsid w:val="005B1E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E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7330</Characters>
  <Application>Microsoft Office Word</Application>
  <DocSecurity>0</DocSecurity>
  <Lines>340</Lines>
  <Paragraphs>150</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SITHCCC032A Apply cook-chill production processes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2012-05-26T10:20:00Z</dcterms:created>
  <dcterms:modified xsi:type="dcterms:W3CDTF">2012-05-26T10:20:00Z</dcterms:modified>
</cp:coreProperties>
</file>