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22B" w:rsidP="0056422B">
      <w:pPr>
        <w:pStyle w:val="Title"/>
      </w:pPr>
      <w:r>
        <w:fldChar w:fldCharType="begin"/>
      </w:r>
      <w:r>
        <w:instrText xml:space="preserve"> TITLE   \* MERGEFORMAT </w:instrText>
      </w:r>
      <w:r>
        <w:fldChar w:fldCharType="separate"/>
      </w:r>
      <w:r>
        <w:t>SITHCCC029A Prepare foods according to dietary and cultural needs</w:t>
      </w:r>
      <w:r>
        <w:fldChar w:fldCharType="end"/>
      </w:r>
    </w:p>
    <w:p w:rsidR="0056422B" w:rsidP="0056422B">
      <w:pPr>
        <w:pStyle w:val="Version"/>
        <w:sectPr w:rsidSect="004B0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0B7C" w:rsidP="004B0B7C">
      <w:pPr>
        <w:pStyle w:val="SuperHeading"/>
      </w:pPr>
      <w:r w:rsidRPr="004B0B7C">
        <w:t>SITHCCC029A Prepare foods according to dietary and cultural needs</w:t>
      </w:r>
    </w:p>
    <w:p w:rsidR="00000000" w:rsidRPr="004B0B7C" w:rsidP="004B0B7C">
      <w:pPr>
        <w:pStyle w:val="SuperHeading"/>
      </w:pPr>
    </w:p>
    <w:p w:rsidR="00000000" w:rsidRPr="004B0B7C" w:rsidP="004B0B7C">
      <w:pPr>
        <w:pStyle w:val="Heading1"/>
      </w:pPr>
      <w:bookmarkStart w:id="1" w:name="O_146547"/>
      <w:bookmarkEnd w:id="1"/>
      <w:r w:rsidRPr="004B0B7C">
        <w:t>Modification History</w:t>
      </w:r>
    </w:p>
    <w:p w:rsidR="00000000" w:rsidRPr="004B0B7C" w:rsidP="004B0B7C">
      <w:pPr>
        <w:pStyle w:val="BodyText"/>
      </w:pPr>
      <w:r w:rsidRPr="004B0B7C">
        <w:t>Not applicable.</w:t>
      </w:r>
    </w:p>
    <w:p w:rsidR="00000000" w:rsidRPr="004B0B7C" w:rsidP="004B0B7C">
      <w:pPr>
        <w:pStyle w:val="AllowPageBreak"/>
      </w:pPr>
    </w:p>
    <w:p w:rsidR="00000000" w:rsidRPr="004B0B7C" w:rsidP="004B0B7C">
      <w:pPr>
        <w:pStyle w:val="Heading1"/>
      </w:pPr>
      <w:bookmarkStart w:id="2" w:name="O_146548"/>
      <w:bookmarkEnd w:id="2"/>
      <w:r w:rsidRPr="004B0B7C">
        <w:t>Unit Descriptor</w:t>
      </w:r>
    </w:p>
    <w:tbl>
      <w:tblPr>
        <w:tblW w:w="0" w:type="auto"/>
        <w:tblLayout w:type="fixed"/>
        <w:tblCellMar>
          <w:left w:w="62" w:type="dxa"/>
          <w:right w:w="62" w:type="dxa"/>
        </w:tblCellMar>
        <w:tblLook w:val="0000"/>
      </w:tblPr>
      <w:tblGrid>
        <w:gridCol w:w="2836"/>
        <w:gridCol w:w="6344"/>
      </w:tblGrid>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This unit describes the performance outcomes, skills and knowledge requ</w:t>
            </w:r>
            <w:r w:rsidRPr="004B0B7C">
              <w:t xml:space="preserve">ired to prepare and cook foods to meet both basic and specific dietary and cultural needs, generally under instructions from others. It covers the ability to apply basic nutritional principles as well as deal with special dietary and cultural requirements </w:t>
            </w:r>
            <w:r w:rsidRPr="004B0B7C">
              <w:t>normally encountered in a variety of hospitality and catering establishments. Menu planning to meet dietary and cultural needs is found in the unit SITHCCC035A Develop menus to meet special dietary and cultural needs.</w:t>
            </w:r>
          </w:p>
          <w:p w:rsidR="00000000" w:rsidRPr="004B0B7C" w:rsidP="004B0B7C">
            <w:pPr>
              <w:pStyle w:val="BodyText"/>
            </w:pPr>
            <w:r w:rsidRPr="004B0B7C">
              <w:t>Basic nutritional requirements general</w:t>
            </w:r>
            <w:r w:rsidRPr="004B0B7C">
              <w:t>ly refer to recommendations made in the Dietary Guidelines for Australians endorsed by the Australian government and other recognised health authorities. These guidelines include recommendations made for the general public, including infants, children, ado</w:t>
            </w:r>
            <w:r w:rsidRPr="004B0B7C">
              <w:t>lescents, adults and older Australians in order to maintain a healthy and balanced diet.</w:t>
            </w:r>
          </w:p>
          <w:p w:rsidR="00000000" w:rsidRPr="004B0B7C" w:rsidP="004B0B7C">
            <w:pPr>
              <w:pStyle w:val="BodyText"/>
            </w:pPr>
            <w:r w:rsidRPr="004B0B7C">
              <w:t>Special dietary and cultural requirements include therapeutic and contemporary eating regimes as well as customer requests and preferences, and specific cultural and r</w:t>
            </w:r>
            <w:r w:rsidRPr="004B0B7C">
              <w:t>eligious needs.</w:t>
            </w:r>
          </w:p>
          <w:p w:rsidR="00000000" w:rsidP="004B0B7C">
            <w:pPr>
              <w:pStyle w:val="BodyText"/>
              <w:rPr>
                <w:lang w:val="en-NZ"/>
              </w:rPr>
            </w:pPr>
            <w:r w:rsidRPr="004B0B7C">
              <w:t>No licensing, legislative, regulatory or certification requirements apply to this unit at the time of endorsement.</w:t>
            </w:r>
          </w:p>
        </w:tc>
      </w:tr>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p>
        </w:tc>
      </w:tr>
    </w:tbl>
    <w:p w:rsidR="00000000" w:rsidRPr="004B0B7C" w:rsidP="004B0B7C">
      <w:pPr>
        <w:pStyle w:val="BodyText"/>
      </w:pPr>
    </w:p>
    <w:p w:rsidR="00000000" w:rsidRPr="004B0B7C" w:rsidP="004B0B7C">
      <w:pPr>
        <w:pStyle w:val="AllowPageBreak"/>
      </w:pPr>
    </w:p>
    <w:p w:rsidR="00000000" w:rsidRPr="004B0B7C" w:rsidP="004B0B7C">
      <w:pPr>
        <w:pStyle w:val="Heading1"/>
      </w:pPr>
      <w:bookmarkStart w:id="3" w:name="O_146549"/>
      <w:bookmarkEnd w:id="3"/>
      <w:r w:rsidRPr="004B0B7C">
        <w:t>Application of the Unit</w:t>
      </w:r>
    </w:p>
    <w:tbl>
      <w:tblPr>
        <w:tblW w:w="0" w:type="auto"/>
        <w:tblLayout w:type="fixed"/>
        <w:tblCellMar>
          <w:left w:w="62" w:type="dxa"/>
          <w:right w:w="62" w:type="dxa"/>
        </w:tblCellMar>
        <w:tblLook w:val="0000"/>
      </w:tblPr>
      <w:tblGrid>
        <w:gridCol w:w="2836"/>
        <w:gridCol w:w="6344"/>
      </w:tblGrid>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This unit applies to all qualified cooks in hospitality and catering operations where food and related services are provided, such as hotels and restaurants, cafeterias, kiosks, canteens, cafes, educational institutions, health establishments, defence forc</w:t>
            </w:r>
            <w:r w:rsidRPr="004B0B7C">
              <w:t xml:space="preserve">es, corrective services, residential catering, in-flight and other transport catering, events catering and private catering. </w:t>
            </w:r>
          </w:p>
        </w:tc>
      </w:tr>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p>
        </w:tc>
      </w:tr>
    </w:tbl>
    <w:p w:rsidR="00000000" w:rsidRPr="004B0B7C" w:rsidP="004B0B7C">
      <w:pPr>
        <w:pStyle w:val="BodyText"/>
      </w:pPr>
    </w:p>
    <w:p w:rsidR="00000000" w:rsidRPr="004B0B7C" w:rsidP="004B0B7C">
      <w:pPr>
        <w:pStyle w:val="AllowPageBreak"/>
      </w:pPr>
    </w:p>
    <w:p w:rsidR="00000000" w:rsidRPr="004B0B7C" w:rsidP="004B0B7C">
      <w:pPr>
        <w:pStyle w:val="Heading1"/>
      </w:pPr>
      <w:bookmarkStart w:id="4" w:name="O_146550"/>
      <w:bookmarkEnd w:id="4"/>
      <w:r w:rsidRPr="004B0B7C">
        <w:t>Licensing/Regulatory Information</w:t>
      </w:r>
    </w:p>
    <w:p w:rsidR="00000000" w:rsidRPr="004B0B7C" w:rsidP="004B0B7C">
      <w:pPr>
        <w:pStyle w:val="BodyText"/>
      </w:pPr>
      <w:r w:rsidRPr="004B0B7C">
        <w:t>Not applicable.</w:t>
      </w:r>
    </w:p>
    <w:p w:rsidR="00000000" w:rsidRPr="004B0B7C" w:rsidP="004B0B7C">
      <w:pPr>
        <w:pStyle w:val="AllowPageBreak"/>
      </w:pPr>
    </w:p>
    <w:p w:rsidR="00000000" w:rsidRPr="004B0B7C" w:rsidP="004B0B7C">
      <w:pPr>
        <w:pStyle w:val="Heading1"/>
      </w:pPr>
      <w:bookmarkStart w:id="5" w:name="O_146551"/>
      <w:bookmarkEnd w:id="5"/>
      <w:r w:rsidRPr="004B0B7C">
        <w:t>Pre-Requisites</w:t>
      </w:r>
    </w:p>
    <w:tbl>
      <w:tblPr>
        <w:tblW w:w="0" w:type="auto"/>
        <w:tblLayout w:type="fixed"/>
        <w:tblCellMar>
          <w:left w:w="62" w:type="dxa"/>
          <w:right w:w="62" w:type="dxa"/>
        </w:tblCellMar>
        <w:tblLook w:val="0000"/>
      </w:tblPr>
      <w:tblGrid>
        <w:gridCol w:w="2836"/>
        <w:gridCol w:w="6344"/>
      </w:tblGrid>
      <w:tr w:rsidTr="0056422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This unit must be assessed after the following prerequisite unit:</w:t>
            </w:r>
          </w:p>
          <w:p w:rsidR="00000000" w:rsidP="004B0B7C">
            <w:pPr>
              <w:pStyle w:val="BodyText"/>
              <w:rPr>
                <w:lang w:val="en-NZ"/>
              </w:rPr>
            </w:pPr>
            <w:r w:rsidRPr="004B0B7C">
              <w:t>SITXOHS002A Follow workplace hygiene procedures</w:t>
            </w:r>
          </w:p>
        </w:tc>
      </w:tr>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p>
        </w:tc>
      </w:tr>
    </w:tbl>
    <w:p w:rsidR="00000000" w:rsidRPr="004B0B7C" w:rsidP="004B0B7C">
      <w:pPr>
        <w:pStyle w:val="BodyText"/>
      </w:pPr>
    </w:p>
    <w:p w:rsidR="00000000" w:rsidRPr="004B0B7C" w:rsidP="004B0B7C">
      <w:pPr>
        <w:pStyle w:val="AllowPageBreak"/>
      </w:pPr>
    </w:p>
    <w:p w:rsidR="00000000" w:rsidRPr="004B0B7C" w:rsidP="004B0B7C">
      <w:pPr>
        <w:pStyle w:val="Heading1"/>
      </w:pPr>
      <w:bookmarkStart w:id="6" w:name="O_146552"/>
      <w:bookmarkEnd w:id="6"/>
      <w:r w:rsidRPr="004B0B7C">
        <w:t>Employability Skills Information</w:t>
      </w:r>
    </w:p>
    <w:tbl>
      <w:tblPr>
        <w:tblW w:w="0" w:type="auto"/>
        <w:tblLayout w:type="fixed"/>
        <w:tblCellMar>
          <w:left w:w="62" w:type="dxa"/>
          <w:right w:w="62" w:type="dxa"/>
        </w:tblCellMar>
        <w:tblLook w:val="0000"/>
      </w:tblPr>
      <w:tblGrid>
        <w:gridCol w:w="2836"/>
        <w:gridCol w:w="6344"/>
      </w:tblGrid>
      <w:tr w:rsidTr="0056422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The required outcomes described in this unit of competency contain</w:t>
            </w:r>
            <w:r w:rsidRPr="004B0B7C">
              <w:t xml:space="preserve"> applicable facets of employability skills. The Employability Skills Summary of the qualification in which this unit is packaged will assist in identifying employability skills requirements.</w:t>
            </w:r>
          </w:p>
        </w:tc>
      </w:tr>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p>
        </w:tc>
      </w:tr>
    </w:tbl>
    <w:p w:rsidR="00000000" w:rsidRPr="004B0B7C" w:rsidP="004B0B7C">
      <w:pPr>
        <w:pStyle w:val="BodyText"/>
      </w:pPr>
    </w:p>
    <w:p w:rsidR="00000000" w:rsidRPr="004B0B7C" w:rsidP="004B0B7C">
      <w:pPr>
        <w:pStyle w:val="AllowPageBreak"/>
      </w:pPr>
    </w:p>
    <w:p w:rsidR="00000000" w:rsidRPr="004B0B7C" w:rsidP="004B0B7C">
      <w:pPr>
        <w:pStyle w:val="Heading1"/>
      </w:pPr>
      <w:bookmarkStart w:id="7" w:name="O_146553"/>
      <w:bookmarkEnd w:id="7"/>
      <w:r w:rsidRPr="004B0B7C">
        <w:t>Elements and Performance Criteria Pre-Content</w:t>
      </w:r>
    </w:p>
    <w:tbl>
      <w:tblPr>
        <w:tblW w:w="0" w:type="auto"/>
        <w:tblLayout w:type="fixed"/>
        <w:tblCellMar>
          <w:left w:w="62" w:type="dxa"/>
          <w:right w:w="62" w:type="dxa"/>
        </w:tblCellMar>
        <w:tblLook w:val="0000"/>
      </w:tblPr>
      <w:tblGrid>
        <w:gridCol w:w="2836"/>
        <w:gridCol w:w="6344"/>
      </w:tblGrid>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 xml:space="preserve">Performance criteria describe the required performance needed to demonstrate achievement of the element. Where </w:t>
            </w:r>
            <w:r w:rsidRPr="004B0B7C">
              <w:rPr>
                <w:rStyle w:val="BoldandItalics"/>
              </w:rPr>
              <w:t>bold italicised</w:t>
            </w:r>
            <w:r w:rsidRPr="004B0B7C">
              <w:t xml:space="preserve"> text is used, fur</w:t>
            </w:r>
            <w:r w:rsidRPr="004B0B7C">
              <w:t>ther information is detailed in the required skills and knowledge and/or the range statement. Assessment of performance is to be consistent with the evidence guide.</w:t>
            </w:r>
          </w:p>
        </w:tc>
      </w:tr>
    </w:tbl>
    <w:p w:rsidR="00000000" w:rsidRPr="004B0B7C" w:rsidP="004B0B7C">
      <w:pPr>
        <w:pStyle w:val="BodyText"/>
      </w:pPr>
    </w:p>
    <w:p w:rsidR="00000000" w:rsidRPr="004B0B7C" w:rsidP="004B0B7C">
      <w:pPr>
        <w:pStyle w:val="AllowPageBreak"/>
      </w:pPr>
    </w:p>
    <w:p w:rsidR="00000000" w:rsidRPr="004B0B7C" w:rsidP="004B0B7C">
      <w:pPr>
        <w:pStyle w:val="Heading1"/>
      </w:pPr>
      <w:bookmarkStart w:id="8" w:name="O_146554"/>
      <w:bookmarkEnd w:id="8"/>
      <w:r w:rsidRPr="004B0B7C">
        <w:t>Elements and Performance Criteria</w:t>
      </w:r>
    </w:p>
    <w:tbl>
      <w:tblPr>
        <w:tblW w:w="0" w:type="auto"/>
        <w:tblLayout w:type="fixed"/>
        <w:tblCellMar>
          <w:left w:w="62" w:type="dxa"/>
          <w:right w:w="62" w:type="dxa"/>
        </w:tblCellMar>
        <w:tblLook w:val="0000"/>
      </w:tblPr>
      <w:tblGrid>
        <w:gridCol w:w="426"/>
        <w:gridCol w:w="2410"/>
        <w:gridCol w:w="567"/>
        <w:gridCol w:w="17"/>
        <w:gridCol w:w="5760"/>
      </w:tblGrid>
      <w:tr w:rsidTr="0056422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B0B7C" w:rsidP="004B0B7C">
            <w:pPr>
              <w:pStyle w:val="List"/>
            </w:pPr>
            <w:r w:rsidRPr="004B0B7C">
              <w:rPr>
                <w:rStyle w:val="SpecialBold"/>
              </w:rPr>
              <w:t>ELEMENT</w:t>
            </w:r>
          </w:p>
        </w:tc>
        <w:tc>
          <w:tcPr>
            <w:tcW w:w="6344" w:type="dxa"/>
            <w:gridSpan w:val="3"/>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rPr>
                <w:rStyle w:val="SpecialBold"/>
              </w:rPr>
              <w:t>PERFORMANCE CRITERIA</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1</w:t>
            </w:r>
          </w:p>
        </w:tc>
        <w:tc>
          <w:tcPr>
            <w:tcW w:w="2410" w:type="dxa"/>
            <w:vMerge w:val="restart"/>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Prepare and present foods to meet basic nutritional needs.</w:t>
            </w:r>
          </w:p>
        </w:tc>
        <w:tc>
          <w:tcPr>
            <w:tcW w:w="584"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1.1</w:t>
            </w:r>
          </w:p>
        </w:tc>
        <w:tc>
          <w:tcPr>
            <w:tcW w:w="5760"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Select appropriate ingredients to ensure optimum quality of end products, including raw foods and convenience food products.</w:t>
            </w:r>
          </w:p>
        </w:tc>
      </w:tr>
      <w:tr w:rsidTr="0056422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1.2</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Employ suitable preparation and cooking techniques to retain optimum nutritional values.</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1.3</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Present a variety of nutritionally-balanced food in an appetising and attractive manner.</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2</w:t>
            </w:r>
          </w:p>
        </w:tc>
        <w:tc>
          <w:tcPr>
            <w:tcW w:w="2410" w:type="dxa"/>
            <w:vMerge w:val="restart"/>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Prepare and present foods to meet special dietary requirements.</w:t>
            </w: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2.1</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 xml:space="preserve">Identify the requirements for special diets according to instructions from </w:t>
            </w:r>
            <w:r w:rsidRPr="004B0B7C">
              <w:rPr>
                <w:rStyle w:val="BoldandItalics"/>
              </w:rPr>
              <w:t>relevant persons</w:t>
            </w:r>
            <w:r w:rsidRPr="004B0B7C">
              <w:t>.</w:t>
            </w:r>
          </w:p>
        </w:tc>
      </w:tr>
      <w:tr w:rsidTr="0056422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2.2</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 xml:space="preserve">Select ingredients essential for </w:t>
            </w:r>
            <w:r w:rsidRPr="004B0B7C">
              <w:rPr>
                <w:rStyle w:val="BoldandItalics"/>
              </w:rPr>
              <w:t>special dietary requirements</w:t>
            </w:r>
            <w:r w:rsidRPr="004B0B7C">
              <w:t>.</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2.3</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Modify food texture where appropriate to suit specific requirements.</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2.4</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Present food in an appetising and attractive manner.</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3</w:t>
            </w:r>
          </w:p>
        </w:tc>
        <w:tc>
          <w:tcPr>
            <w:tcW w:w="2410" w:type="dxa"/>
            <w:vMerge w:val="restart"/>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Prepare foods to satisfy specific cultural or religious needs.</w:t>
            </w: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3.1</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 xml:space="preserve">Identify and meet requirements for specific </w:t>
            </w:r>
            <w:r w:rsidRPr="004B0B7C">
              <w:rPr>
                <w:rStyle w:val="BoldandItalics"/>
              </w:rPr>
              <w:t>cultural groups</w:t>
            </w:r>
            <w:r w:rsidRPr="004B0B7C">
              <w:t xml:space="preserve"> or special customer requests, according to instructions from relevant persons.</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B0B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3.2</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Employ appropriate equipment and cooking techniques for specific diets.</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3.3</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Prepare and serve food taking into account specified or requested cultural or religious considerations.</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3.4</w:t>
            </w:r>
          </w:p>
        </w:tc>
        <w:tc>
          <w:tcPr>
            <w:tcW w:w="5777" w:type="dxa"/>
            <w:gridSpan w:val="2"/>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Present an adequate range of nutritionally balanced food in an appetising and attractive manner.</w:t>
            </w:r>
          </w:p>
        </w:tc>
      </w:tr>
      <w:tr w:rsidTr="0056422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B0B7C">
            <w:pPr>
              <w:pStyle w:val="List"/>
              <w:rPr>
                <w:lang w:val="en-NZ"/>
              </w:rPr>
            </w:pPr>
            <w:r w:rsidRPr="004B0B7C">
              <w:t>3.5</w:t>
            </w:r>
          </w:p>
        </w:tc>
        <w:tc>
          <w:tcPr>
            <w:tcW w:w="5777" w:type="dxa"/>
            <w:gridSpan w:val="2"/>
            <w:tcBorders>
              <w:top w:val="nil"/>
              <w:left w:val="nil"/>
              <w:bottom w:val="nil"/>
              <w:right w:val="nil"/>
            </w:tcBorders>
            <w:tcMar>
              <w:top w:w="0" w:type="dxa"/>
              <w:left w:w="62" w:type="dxa"/>
              <w:bottom w:w="0" w:type="dxa"/>
              <w:right w:w="62" w:type="dxa"/>
            </w:tcMar>
          </w:tcPr>
          <w:p w:rsidR="00000000" w:rsidRPr="004B0B7C" w:rsidP="004B0B7C">
            <w:pPr>
              <w:pStyle w:val="List"/>
            </w:pPr>
            <w:r w:rsidRPr="004B0B7C">
              <w:t>Communicate specific cultural or religious requirements to be addressed in food preparation to other team members and customers as appropriate.</w:t>
            </w:r>
          </w:p>
        </w:tc>
      </w:tr>
    </w:tbl>
    <w:p w:rsidR="00000000" w:rsidRPr="004B0B7C" w:rsidP="004B0B7C">
      <w:pPr>
        <w:pStyle w:val="BodyText"/>
      </w:pPr>
    </w:p>
    <w:p w:rsidR="00000000" w:rsidRPr="004B0B7C" w:rsidP="004B0B7C">
      <w:pPr>
        <w:pStyle w:val="AllowPageBreak"/>
      </w:pPr>
    </w:p>
    <w:p w:rsidR="00000000" w:rsidRPr="004B0B7C" w:rsidP="004B0B7C">
      <w:pPr>
        <w:pStyle w:val="Heading1"/>
      </w:pPr>
      <w:bookmarkStart w:id="9" w:name="O_146555"/>
      <w:bookmarkEnd w:id="9"/>
      <w:r w:rsidRPr="004B0B7C">
        <w:t>Required Skills and Knowledge</w:t>
      </w:r>
    </w:p>
    <w:tbl>
      <w:tblPr>
        <w:tblW w:w="0" w:type="auto"/>
        <w:tblLayout w:type="fixed"/>
        <w:tblCellMar>
          <w:left w:w="62" w:type="dxa"/>
          <w:right w:w="62" w:type="dxa"/>
        </w:tblCellMar>
        <w:tblLook w:val="0000"/>
      </w:tblPr>
      <w:tblGrid>
        <w:gridCol w:w="9180"/>
      </w:tblGrid>
      <w:tr w:rsidTr="0056422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REQUIRED SKILLS AND KNOWLEDGE</w:t>
            </w:r>
          </w:p>
        </w:tc>
      </w:tr>
      <w:tr w:rsidTr="0056422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This section describes the essen</w:t>
            </w:r>
            <w:r w:rsidRPr="004B0B7C">
              <w:t>tial skills and knowledge and their level, required for this unit.</w:t>
            </w:r>
          </w:p>
        </w:tc>
      </w:tr>
      <w:tr w:rsidTr="0056422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The following skills must be assessed as part of this unit:</w:t>
            </w:r>
          </w:p>
          <w:p w:rsidR="00000000" w:rsidRPr="004B0B7C" w:rsidP="004B0B7C">
            <w:pPr>
              <w:pStyle w:val="ListBullet"/>
            </w:pPr>
            <w:r w:rsidRPr="004B0B7C">
              <w:t>a variety of cooking techniques and recipe modification to suit special dietary requirements</w:t>
            </w:r>
          </w:p>
          <w:p w:rsidR="00000000" w:rsidRPr="004B0B7C" w:rsidP="004B0B7C">
            <w:pPr>
              <w:pStyle w:val="ListBullet"/>
            </w:pPr>
            <w:r w:rsidRPr="004B0B7C">
              <w:t xml:space="preserve">logical and time-efficient work flow </w:t>
            </w:r>
          </w:p>
          <w:p w:rsidR="00000000" w:rsidRPr="004B0B7C" w:rsidP="004B0B7C">
            <w:pPr>
              <w:pStyle w:val="ListBullet"/>
            </w:pPr>
            <w:r w:rsidRPr="004B0B7C">
              <w:t>presentation techniques for food</w:t>
            </w:r>
          </w:p>
          <w:p w:rsidR="00000000" w:rsidRPr="004B0B7C" w:rsidP="004B0B7C">
            <w:pPr>
              <w:pStyle w:val="ListBullet"/>
            </w:pPr>
            <w:r w:rsidRPr="004B0B7C">
              <w:t>problem-solving skills to consider and respond to special customer needs and requests</w:t>
            </w:r>
          </w:p>
          <w:p w:rsidR="00000000" w:rsidRPr="004B0B7C" w:rsidP="004B0B7C">
            <w:pPr>
              <w:pStyle w:val="ListBullet"/>
            </w:pPr>
            <w:r w:rsidRPr="004B0B7C">
              <w:t>literacy skills to read menu options for customers with special dietary needs and preferences</w:t>
            </w:r>
          </w:p>
          <w:p w:rsidR="00000000" w:rsidRPr="004B0B7C" w:rsidP="004B0B7C">
            <w:pPr>
              <w:pStyle w:val="ListBullet"/>
            </w:pPr>
            <w:r w:rsidRPr="004B0B7C">
              <w:t>commu</w:t>
            </w:r>
            <w:r w:rsidRPr="004B0B7C">
              <w:t>nication skills to liaise with other team members, clarify requirements, provide information and listen to and interpret information and non-verbal communication</w:t>
            </w:r>
          </w:p>
          <w:p w:rsidR="00000000" w:rsidP="004B0B7C">
            <w:pPr>
              <w:pStyle w:val="ListBullet"/>
              <w:rPr>
                <w:lang w:val="en-NZ"/>
              </w:rPr>
            </w:pPr>
            <w:r w:rsidRPr="004B0B7C">
              <w:t>numeracy skills to calculate quantities, portions and kilojoules for given foods and quantitie</w:t>
            </w:r>
            <w:r w:rsidRPr="004B0B7C">
              <w:t>s.</w:t>
            </w:r>
          </w:p>
        </w:tc>
      </w:tr>
      <w:tr w:rsidTr="0056422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The following knowledge must be assessed as part of this unit:</w:t>
            </w:r>
          </w:p>
          <w:p w:rsidR="00000000" w:rsidRPr="004B0B7C" w:rsidP="004B0B7C">
            <w:pPr>
              <w:pStyle w:val="ListBullet"/>
            </w:pPr>
            <w:r w:rsidRPr="004B0B7C">
              <w:t>cultural, dietary and special requirements that may apply in different contexts</w:t>
            </w:r>
          </w:p>
          <w:p w:rsidR="00000000" w:rsidRPr="004B0B7C" w:rsidP="004B0B7C">
            <w:pPr>
              <w:pStyle w:val="ListBullet"/>
            </w:pPr>
            <w:r w:rsidRPr="004B0B7C">
              <w:t>basic principles and practices of nutrition, including:</w:t>
            </w:r>
          </w:p>
          <w:p w:rsidR="00000000" w:rsidRPr="004B0B7C" w:rsidP="004B0B7C">
            <w:pPr>
              <w:pStyle w:val="ListBullet2"/>
            </w:pPr>
            <w:r w:rsidRPr="004B0B7C">
              <w:t>nutrients and their food sources</w:t>
            </w:r>
          </w:p>
          <w:p w:rsidR="00000000" w:rsidRPr="004B0B7C" w:rsidP="004B0B7C">
            <w:pPr>
              <w:pStyle w:val="ListBullet2"/>
            </w:pPr>
            <w:r w:rsidRPr="004B0B7C">
              <w:t>influences on food choice</w:t>
            </w:r>
          </w:p>
          <w:p w:rsidR="00000000" w:rsidRPr="004B0B7C" w:rsidP="004B0B7C">
            <w:pPr>
              <w:pStyle w:val="ListBullet2"/>
            </w:pPr>
            <w:r w:rsidRPr="004B0B7C">
              <w:t>food and beverage selection influences</w:t>
            </w:r>
          </w:p>
          <w:p w:rsidR="00000000" w:rsidRPr="004B0B7C" w:rsidP="004B0B7C">
            <w:pPr>
              <w:pStyle w:val="ListBullet2"/>
            </w:pPr>
            <w:r w:rsidRPr="004B0B7C">
              <w:t>food labelling and interpretation</w:t>
            </w:r>
          </w:p>
          <w:p w:rsidR="00000000" w:rsidRPr="004B0B7C" w:rsidP="004B0B7C">
            <w:pPr>
              <w:pStyle w:val="ListBullet2"/>
            </w:pPr>
            <w:r w:rsidRPr="004B0B7C">
              <w:t>identification of food additives and preservatives</w:t>
            </w:r>
          </w:p>
          <w:p w:rsidR="00000000" w:rsidRPr="004B0B7C" w:rsidP="004B0B7C">
            <w:pPr>
              <w:pStyle w:val="ListBullet2"/>
            </w:pPr>
            <w:r w:rsidRPr="004B0B7C">
              <w:t>health implications of food choices</w:t>
            </w:r>
          </w:p>
          <w:p w:rsidR="00000000" w:rsidRPr="004B0B7C" w:rsidP="004B0B7C">
            <w:pPr>
              <w:pStyle w:val="ListBullet"/>
            </w:pPr>
            <w:r w:rsidRPr="004B0B7C">
              <w:t>Dietary Guidelines for Australians, their role and general content</w:t>
            </w:r>
          </w:p>
          <w:p w:rsidR="00000000" w:rsidRPr="004B0B7C" w:rsidP="004B0B7C">
            <w:pPr>
              <w:pStyle w:val="ListBullet"/>
            </w:pPr>
            <w:r w:rsidRPr="004B0B7C">
              <w:t>ma</w:t>
            </w:r>
            <w:r w:rsidRPr="004B0B7C">
              <w:t>in types and characteristics of special diets that are part of contemporary Australian society</w:t>
            </w:r>
          </w:p>
          <w:p w:rsidR="00000000" w:rsidRPr="004B0B7C" w:rsidP="004B0B7C">
            <w:pPr>
              <w:pStyle w:val="ListBullet"/>
            </w:pPr>
            <w:r w:rsidRPr="004B0B7C">
              <w:t>common dietary sensitivities, including food allergies and intolerance, diabetes and other medical conditions</w:t>
            </w:r>
          </w:p>
          <w:p w:rsidR="00000000" w:rsidRPr="004B0B7C" w:rsidP="004B0B7C">
            <w:pPr>
              <w:pStyle w:val="ListBullet"/>
            </w:pPr>
            <w:r w:rsidRPr="004B0B7C">
              <w:t xml:space="preserve">existence of drug-food interactions and the health </w:t>
            </w:r>
            <w:r w:rsidRPr="004B0B7C">
              <w:t>and legal consequences of failing to address special requirements</w:t>
            </w:r>
          </w:p>
          <w:p w:rsidR="00000000" w:rsidRPr="004B0B7C" w:rsidP="004B0B7C">
            <w:pPr>
              <w:pStyle w:val="ListBullet"/>
            </w:pPr>
            <w:r w:rsidRPr="004B0B7C">
              <w:t>commodity knowledge of ingredients suitable for meeting basic nutritional and special dietary needs</w:t>
            </w:r>
          </w:p>
          <w:p w:rsidR="00000000" w:rsidRPr="004B0B7C" w:rsidP="004B0B7C">
            <w:pPr>
              <w:pStyle w:val="ListBullet"/>
            </w:pPr>
            <w:r w:rsidRPr="004B0B7C">
              <w:t>effects of various cooking methods and food storage on nutrients</w:t>
            </w:r>
          </w:p>
          <w:p w:rsidR="00000000" w:rsidRPr="004B0B7C" w:rsidP="004B0B7C">
            <w:pPr>
              <w:pStyle w:val="ListBullet"/>
            </w:pPr>
            <w:r w:rsidRPr="004B0B7C">
              <w:t>principles and practices of hygiene and legislation on food safety, including national Food Safety Standard 1.2.3.</w:t>
            </w:r>
          </w:p>
        </w:tc>
      </w:tr>
    </w:tbl>
    <w:p w:rsidR="0056422B" w:rsidP="004B0B7C">
      <w:pPr>
        <w:pStyle w:val="BodyText"/>
      </w:pPr>
    </w:p>
    <w:p w:rsidR="0056422B" w:rsidP="004B0B7C">
      <w:pPr>
        <w:pStyle w:val="BodyText"/>
      </w:pPr>
    </w:p>
    <w:p w:rsidR="00000000" w:rsidRPr="004B0B7C" w:rsidP="004B0B7C">
      <w:pPr>
        <w:pStyle w:val="Heading1"/>
      </w:pPr>
      <w:bookmarkStart w:id="10" w:name="O_146556"/>
      <w:bookmarkEnd w:id="10"/>
      <w:r w:rsidRPr="004B0B7C">
        <w:t>Evidence Guide</w:t>
      </w:r>
    </w:p>
    <w:tbl>
      <w:tblPr>
        <w:tblW w:w="0" w:type="auto"/>
        <w:tblLayout w:type="fixed"/>
        <w:tblCellMar>
          <w:left w:w="62" w:type="dxa"/>
          <w:right w:w="62" w:type="dxa"/>
        </w:tblCellMar>
        <w:tblLook w:val="0000"/>
      </w:tblPr>
      <w:tblGrid>
        <w:gridCol w:w="3345"/>
        <w:gridCol w:w="5835"/>
      </w:tblGrid>
      <w:tr w:rsidTr="0056422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EVIDENCE GUIDE</w:t>
            </w:r>
          </w:p>
        </w:tc>
      </w:tr>
      <w:tr w:rsidTr="0056422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The evidence guide provides advice on assessment and must be read in conjunction with the performance criteria, required skills and knowledge, the range statement and the Assessment Guidelines for this Training Package.</w:t>
            </w: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Critical aspects for assessment an</w:t>
            </w:r>
            <w:r w:rsidRPr="004B0B7C">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Evidence of the following is essential:</w:t>
            </w:r>
          </w:p>
          <w:p w:rsidR="00000000" w:rsidRPr="004B0B7C" w:rsidP="004B0B7C">
            <w:pPr>
              <w:pStyle w:val="ListBullet"/>
            </w:pPr>
            <w:r w:rsidRPr="004B0B7C">
              <w:t>ability to prepare or modify a range of dishes to meet different dietary requirements</w:t>
            </w:r>
          </w:p>
          <w:p w:rsidR="00000000" w:rsidRPr="004B0B7C" w:rsidP="004B0B7C">
            <w:pPr>
              <w:pStyle w:val="ListBullet"/>
            </w:pPr>
            <w:r w:rsidRPr="004B0B7C">
              <w:t>knowledge of the dietary requirements of major cultural groups in Australia</w:t>
            </w:r>
          </w:p>
          <w:p w:rsidR="00000000" w:rsidRPr="004B0B7C" w:rsidP="004B0B7C">
            <w:pPr>
              <w:pStyle w:val="ListBullet"/>
            </w:pPr>
            <w:r w:rsidRPr="004B0B7C">
              <w:t>knowled</w:t>
            </w:r>
            <w:r w:rsidRPr="004B0B7C">
              <w:t>ge of the consequences of failing to address special requirements for food allergies, diabetes and other medical conditions and customer-identified drug-food interaction</w:t>
            </w:r>
          </w:p>
          <w:p w:rsidR="00000000" w:rsidRPr="004B0B7C" w:rsidP="004B0B7C">
            <w:pPr>
              <w:pStyle w:val="ListBullet"/>
            </w:pPr>
            <w:r w:rsidRPr="004B0B7C">
              <w:t>industry-realistic ratios of kitchen staff to customers</w:t>
            </w:r>
          </w:p>
          <w:p w:rsidR="00000000" w:rsidP="004B0B7C">
            <w:pPr>
              <w:pStyle w:val="ListBullet"/>
              <w:rPr>
                <w:lang w:val="en-NZ"/>
              </w:rPr>
            </w:pPr>
            <w:r w:rsidRPr="004B0B7C">
              <w:t>preparation of dishes for customers with particular dietary needs within typical workplace time constraints.</w:t>
            </w: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Context of and specific resources for assessment</w:t>
            </w:r>
            <w:r w:rsidRPr="004B0B7C">
              <w:t xml:space="preserve"> </w:t>
            </w: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Assessment must ensure:</w:t>
            </w:r>
          </w:p>
          <w:p w:rsidR="00000000" w:rsidRPr="004B0B7C" w:rsidP="004B0B7C">
            <w:pPr>
              <w:pStyle w:val="ListBullet"/>
            </w:pPr>
            <w:r w:rsidRPr="004B0B7C">
              <w:t>demonstration of skills within a fully equipped operational commerci</w:t>
            </w:r>
            <w:r w:rsidRPr="004B0B7C">
              <w:t>al kitchen, including industry-current equipment, as defined in the Assessment Guidelines</w:t>
            </w:r>
          </w:p>
          <w:p w:rsidR="00000000" w:rsidRPr="004B0B7C" w:rsidP="004B0B7C">
            <w:pPr>
              <w:pStyle w:val="ListBullet"/>
            </w:pPr>
            <w:r w:rsidRPr="004B0B7C">
              <w:t>access to specific equipment required for dietary and cultural needs, such as bulk cookery equipment used within the industry sector</w:t>
            </w:r>
          </w:p>
          <w:p w:rsidR="00000000" w:rsidP="004B0B7C">
            <w:pPr>
              <w:pStyle w:val="ListBullet"/>
              <w:rPr>
                <w:lang w:val="en-NZ"/>
              </w:rPr>
            </w:pPr>
            <w:r w:rsidRPr="004B0B7C">
              <w:t xml:space="preserve">use of authentic ingredients and </w:t>
            </w:r>
            <w:r w:rsidRPr="004B0B7C">
              <w:t>food items.</w:t>
            </w: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Methods of assessment</w:t>
            </w:r>
            <w:r w:rsidRPr="004B0B7C">
              <w:t xml:space="preserve"> </w:t>
            </w: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 xml:space="preserve">A range of assessment methods should be used to assess practical skills and knowledge. The following examples are appropriate for this unit: </w:t>
            </w:r>
          </w:p>
          <w:p w:rsidR="00000000" w:rsidRPr="004B0B7C" w:rsidP="004B0B7C">
            <w:pPr>
              <w:pStyle w:val="ListBullet"/>
            </w:pPr>
            <w:r w:rsidRPr="004B0B7C">
              <w:t>direct observation of the candidate preparing dishes to meet dietary, cultural and medical needs and preferences</w:t>
            </w:r>
          </w:p>
          <w:p w:rsidR="00000000" w:rsidRPr="004B0B7C" w:rsidP="004B0B7C">
            <w:pPr>
              <w:pStyle w:val="ListBullet"/>
            </w:pPr>
            <w:r w:rsidRPr="004B0B7C">
              <w:t>sampling of dishes prepared by the candidate</w:t>
            </w:r>
          </w:p>
          <w:p w:rsidR="00000000" w:rsidRPr="004B0B7C" w:rsidP="004B0B7C">
            <w:pPr>
              <w:pStyle w:val="ListBullet"/>
            </w:pPr>
            <w:r w:rsidRPr="004B0B7C">
              <w:t>evaluation of the suitability of dishes prepared by the candidate</w:t>
            </w:r>
          </w:p>
          <w:p w:rsidR="00000000" w:rsidRPr="004B0B7C" w:rsidP="004B0B7C">
            <w:pPr>
              <w:pStyle w:val="ListBullet"/>
            </w:pPr>
            <w:r w:rsidRPr="004B0B7C">
              <w:t>oral or written questions to ass</w:t>
            </w:r>
            <w:r w:rsidRPr="004B0B7C">
              <w:t>ess knowledge of dietary constraints and consequences resulting from cultural, preferential or medical needs</w:t>
            </w:r>
          </w:p>
          <w:p w:rsidR="00000000" w:rsidP="004B0B7C">
            <w:pPr>
              <w:pStyle w:val="ListBullet"/>
              <w:rPr>
                <w:lang w:val="en-NZ"/>
              </w:rPr>
            </w:pPr>
            <w:r w:rsidRPr="004B0B7C">
              <w:t>review of portfolios of evidence and third-party workplace reports of on-the-job performance by the candidate.</w:t>
            </w: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Holistic assessment with other uni</w:t>
            </w:r>
            <w:r w:rsidRPr="004B0B7C">
              <w:t>ts relevant to the industry sector, workplace and job role is recommended, for example:</w:t>
            </w:r>
          </w:p>
          <w:p w:rsidR="00000000" w:rsidP="004B0B7C">
            <w:pPr>
              <w:pStyle w:val="ListBullet"/>
              <w:rPr>
                <w:lang w:val="en-NZ"/>
              </w:rPr>
            </w:pPr>
            <w:r w:rsidRPr="004B0B7C">
              <w:t>SITHCCC035A Develop menus to meet special dietary and cultural needs.</w:t>
            </w: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4B0B7C" w:rsidP="004B0B7C">
            <w:pPr>
              <w:pStyle w:val="BodyText"/>
            </w:pPr>
            <w:r w:rsidRPr="004B0B7C">
              <w:t>Emp</w:t>
            </w:r>
            <w:r w:rsidRPr="004B0B7C">
              <w:t>loyability skills embedded in this unit should be assessed holistically with other relevant units that make up the skill set or qualification and in the context of the job role.</w:t>
            </w:r>
          </w:p>
        </w:tc>
      </w:tr>
    </w:tbl>
    <w:p w:rsidR="0056422B" w:rsidP="004B0B7C">
      <w:pPr>
        <w:pStyle w:val="BodyText"/>
      </w:pPr>
    </w:p>
    <w:p w:rsidR="0056422B" w:rsidP="004B0B7C">
      <w:pPr>
        <w:pStyle w:val="BodyText"/>
      </w:pPr>
    </w:p>
    <w:p w:rsidR="00000000" w:rsidRPr="004B0B7C" w:rsidP="004B0B7C">
      <w:pPr>
        <w:pStyle w:val="Heading1"/>
      </w:pPr>
      <w:bookmarkStart w:id="11" w:name="O_146557"/>
      <w:bookmarkEnd w:id="11"/>
      <w:r w:rsidRPr="004B0B7C">
        <w:t>Range Statement</w:t>
      </w:r>
    </w:p>
    <w:tbl>
      <w:tblPr>
        <w:tblW w:w="0" w:type="auto"/>
        <w:tblLayout w:type="fixed"/>
        <w:tblCellMar>
          <w:left w:w="62" w:type="dxa"/>
          <w:right w:w="62" w:type="dxa"/>
        </w:tblCellMar>
        <w:tblLook w:val="0000"/>
      </w:tblPr>
      <w:tblGrid>
        <w:gridCol w:w="3345"/>
        <w:gridCol w:w="5835"/>
      </w:tblGrid>
      <w:tr w:rsidTr="0056422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RANGE STATEMENT</w:t>
            </w:r>
          </w:p>
        </w:tc>
      </w:tr>
      <w:tr w:rsidTr="0056422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The range statement relates to the unit of competency as a whole. It allows for different work environments and situations that may affect performance. Bold italicised wording in the performance criteria is detailed below.</w:t>
            </w:r>
          </w:p>
        </w:tc>
      </w:tr>
      <w:tr w:rsidTr="0056422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BoldandItalics"/>
              </w:rPr>
              <w:t>Relevant persons</w:t>
            </w:r>
            <w:r w:rsidRPr="004B0B7C">
              <w:t xml:space="preserve"> who give in</w:t>
            </w:r>
            <w:r w:rsidRPr="004B0B7C">
              <w:t>structions or requests for special dietary requirements may include:</w:t>
            </w: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ListBullet"/>
            </w:pPr>
            <w:r w:rsidRPr="004B0B7C">
              <w:t>customers or family members</w:t>
            </w:r>
          </w:p>
          <w:p w:rsidR="00000000" w:rsidRPr="004B0B7C" w:rsidP="004B0B7C">
            <w:pPr>
              <w:pStyle w:val="ListBullet"/>
            </w:pPr>
            <w:r w:rsidRPr="004B0B7C">
              <w:t>supervisors and managers</w:t>
            </w:r>
          </w:p>
          <w:p w:rsidR="00000000" w:rsidRPr="004B0B7C" w:rsidP="004B0B7C">
            <w:pPr>
              <w:pStyle w:val="ListBullet"/>
            </w:pPr>
            <w:r w:rsidRPr="004B0B7C">
              <w:t>dieticians</w:t>
            </w:r>
          </w:p>
          <w:p w:rsidR="00000000" w:rsidRPr="004B0B7C" w:rsidP="004B0B7C">
            <w:pPr>
              <w:pStyle w:val="ListBullet"/>
            </w:pPr>
            <w:r w:rsidRPr="004B0B7C">
              <w:t>diet technicians</w:t>
            </w:r>
          </w:p>
          <w:p w:rsidR="00000000" w:rsidRPr="004B0B7C" w:rsidP="004B0B7C">
            <w:pPr>
              <w:pStyle w:val="ListBullet"/>
            </w:pPr>
            <w:r w:rsidRPr="004B0B7C">
              <w:t>health and medical personnel</w:t>
            </w:r>
          </w:p>
          <w:p w:rsidR="00000000" w:rsidP="004B0B7C">
            <w:pPr>
              <w:pStyle w:val="ListBullet"/>
              <w:rPr>
                <w:lang w:val="en-NZ"/>
              </w:rPr>
            </w:pPr>
            <w:r w:rsidRPr="004B0B7C">
              <w:t>religious personnel.</w:t>
            </w: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BoldandItalics"/>
              </w:rPr>
              <w:t>Special dietary requirements</w:t>
            </w:r>
            <w:r w:rsidRPr="004B0B7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ListBullet"/>
            </w:pPr>
            <w:r w:rsidRPr="004B0B7C">
              <w:t>vegetarian</w:t>
            </w:r>
          </w:p>
          <w:p w:rsidR="00000000" w:rsidRPr="004B0B7C" w:rsidP="004B0B7C">
            <w:pPr>
              <w:pStyle w:val="ListBullet"/>
            </w:pPr>
            <w:r w:rsidRPr="004B0B7C">
              <w:t>vegan</w:t>
            </w:r>
          </w:p>
          <w:p w:rsidR="00000000" w:rsidRPr="004B0B7C" w:rsidP="004B0B7C">
            <w:pPr>
              <w:pStyle w:val="ListBullet"/>
            </w:pPr>
            <w:r w:rsidRPr="004B0B7C">
              <w:t>modified sodium or potassium</w:t>
            </w:r>
          </w:p>
          <w:p w:rsidR="00000000" w:rsidRPr="004B0B7C" w:rsidP="004B0B7C">
            <w:pPr>
              <w:pStyle w:val="ListBullet"/>
            </w:pPr>
            <w:r w:rsidRPr="004B0B7C">
              <w:t>low-fat or low-cholesterol</w:t>
            </w:r>
          </w:p>
          <w:p w:rsidR="00000000" w:rsidRPr="004B0B7C" w:rsidP="004B0B7C">
            <w:pPr>
              <w:pStyle w:val="ListBullet"/>
            </w:pPr>
            <w:r w:rsidRPr="004B0B7C">
              <w:t>lacto-ovo</w:t>
            </w:r>
          </w:p>
          <w:p w:rsidR="00000000" w:rsidRPr="004B0B7C" w:rsidP="004B0B7C">
            <w:pPr>
              <w:pStyle w:val="ListBullet"/>
            </w:pPr>
            <w:r w:rsidRPr="004B0B7C">
              <w:t>high-fibre</w:t>
            </w:r>
          </w:p>
          <w:p w:rsidR="00000000" w:rsidRPr="004B0B7C" w:rsidP="004B0B7C">
            <w:pPr>
              <w:pStyle w:val="ListBullet"/>
            </w:pPr>
            <w:r w:rsidRPr="004B0B7C">
              <w:t>gluten-free</w:t>
            </w:r>
          </w:p>
          <w:p w:rsidR="00000000" w:rsidRPr="004B0B7C" w:rsidP="004B0B7C">
            <w:pPr>
              <w:pStyle w:val="ListBullet"/>
            </w:pPr>
            <w:r w:rsidRPr="004B0B7C">
              <w:t>high or low-energy</w:t>
            </w:r>
          </w:p>
          <w:p w:rsidR="00000000" w:rsidRPr="004B0B7C" w:rsidP="004B0B7C">
            <w:pPr>
              <w:pStyle w:val="ListBullet"/>
            </w:pPr>
            <w:r w:rsidRPr="004B0B7C">
              <w:t>diabetic</w:t>
            </w:r>
          </w:p>
          <w:p w:rsidR="00000000" w:rsidRPr="004B0B7C" w:rsidP="004B0B7C">
            <w:pPr>
              <w:pStyle w:val="ListBullet"/>
            </w:pPr>
            <w:r w:rsidRPr="004B0B7C">
              <w:t>modified texture</w:t>
            </w:r>
          </w:p>
          <w:p w:rsidR="00000000" w:rsidRPr="004B0B7C" w:rsidP="004B0B7C">
            <w:pPr>
              <w:pStyle w:val="ListBullet"/>
            </w:pPr>
            <w:r w:rsidRPr="004B0B7C">
              <w:t>high or low-protein</w:t>
            </w:r>
          </w:p>
          <w:p w:rsidR="00000000" w:rsidRPr="004B0B7C" w:rsidP="004B0B7C">
            <w:pPr>
              <w:pStyle w:val="ListBullet"/>
            </w:pPr>
            <w:r w:rsidRPr="004B0B7C">
              <w:t>fluids</w:t>
            </w:r>
          </w:p>
          <w:p w:rsidR="00000000" w:rsidRPr="004B0B7C" w:rsidP="004B0B7C">
            <w:pPr>
              <w:pStyle w:val="ListBullet"/>
            </w:pPr>
            <w:r w:rsidRPr="004B0B7C">
              <w:t>food exclusions for allergies and food intolerance</w:t>
            </w:r>
          </w:p>
          <w:p w:rsidR="00000000" w:rsidRPr="004B0B7C" w:rsidP="004B0B7C">
            <w:pPr>
              <w:pStyle w:val="ListBullet"/>
            </w:pPr>
            <w:r w:rsidRPr="004B0B7C">
              <w:t>food exclusions related to specific medications</w:t>
            </w:r>
          </w:p>
          <w:p w:rsidR="00000000" w:rsidRPr="004B0B7C" w:rsidP="004B0B7C">
            <w:pPr>
              <w:pStyle w:val="ListBullet"/>
            </w:pPr>
            <w:r w:rsidRPr="004B0B7C">
              <w:t>contemporary eating regimes and trends, such as macrobiotic, liver cleansing and elimination</w:t>
            </w:r>
          </w:p>
          <w:p w:rsidR="00000000" w:rsidP="004B0B7C">
            <w:pPr>
              <w:pStyle w:val="ListBullet"/>
              <w:rPr>
                <w:lang w:val="en-NZ"/>
              </w:rPr>
            </w:pPr>
            <w:r w:rsidRPr="004B0B7C">
              <w:t>high or low carbohydrate.</w:t>
            </w: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p>
        </w:tc>
      </w:tr>
      <w:tr w:rsidTr="0056422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 xml:space="preserve">Special </w:t>
            </w:r>
            <w:r w:rsidRPr="004B0B7C">
              <w:rPr>
                <w:rStyle w:val="BoldandItalics"/>
              </w:rPr>
              <w:t>cultural groups</w:t>
            </w:r>
            <w:r w:rsidRPr="004B0B7C">
              <w:t xml:space="preserve"> may include any ethnic, cultural or religious </w:t>
            </w:r>
            <w:r w:rsidRPr="004B0B7C">
              <w:t>groups with special dietary requirements or sanctions, such as:</w:t>
            </w:r>
          </w:p>
        </w:tc>
        <w:tc>
          <w:tcPr>
            <w:tcW w:w="5835" w:type="dxa"/>
            <w:tcBorders>
              <w:top w:val="nil"/>
              <w:left w:val="nil"/>
              <w:bottom w:val="nil"/>
              <w:right w:val="nil"/>
            </w:tcBorders>
            <w:tcMar>
              <w:top w:w="0" w:type="dxa"/>
              <w:left w:w="62" w:type="dxa"/>
              <w:bottom w:w="0" w:type="dxa"/>
              <w:right w:w="62" w:type="dxa"/>
            </w:tcMar>
          </w:tcPr>
          <w:p w:rsidR="00000000" w:rsidRPr="004B0B7C" w:rsidP="004B0B7C">
            <w:pPr>
              <w:pStyle w:val="ListBullet"/>
            </w:pPr>
            <w:r w:rsidRPr="004B0B7C">
              <w:t>kosher</w:t>
            </w:r>
          </w:p>
          <w:p w:rsidR="00000000" w:rsidRPr="004B0B7C" w:rsidP="004B0B7C">
            <w:pPr>
              <w:pStyle w:val="ListBullet"/>
            </w:pPr>
            <w:r w:rsidRPr="004B0B7C">
              <w:t>halal</w:t>
            </w:r>
          </w:p>
          <w:p w:rsidR="00000000" w:rsidRPr="004B0B7C" w:rsidP="004B0B7C">
            <w:pPr>
              <w:pStyle w:val="ListBullet"/>
            </w:pPr>
            <w:r w:rsidRPr="004B0B7C">
              <w:t>vegetarian</w:t>
            </w:r>
          </w:p>
          <w:p w:rsidR="00000000" w:rsidRPr="004B0B7C" w:rsidP="004B0B7C">
            <w:pPr>
              <w:pStyle w:val="ListBullet"/>
            </w:pPr>
            <w:r w:rsidRPr="004B0B7C">
              <w:t>Hindu.</w:t>
            </w:r>
          </w:p>
        </w:tc>
      </w:tr>
    </w:tbl>
    <w:p w:rsidR="0056422B" w:rsidP="004B0B7C">
      <w:pPr>
        <w:pStyle w:val="BodyText"/>
      </w:pPr>
    </w:p>
    <w:p w:rsidR="0056422B" w:rsidP="004B0B7C">
      <w:pPr>
        <w:pStyle w:val="BodyText"/>
      </w:pPr>
    </w:p>
    <w:p w:rsidR="00000000" w:rsidRPr="004B0B7C" w:rsidP="004B0B7C">
      <w:pPr>
        <w:pStyle w:val="Heading1"/>
      </w:pPr>
      <w:bookmarkStart w:id="12" w:name="O_146558"/>
      <w:bookmarkEnd w:id="12"/>
      <w:r w:rsidRPr="004B0B7C">
        <w:t>Unit Sector(s)</w:t>
      </w:r>
    </w:p>
    <w:tbl>
      <w:tblPr>
        <w:tblW w:w="0" w:type="auto"/>
        <w:tblLayout w:type="fixed"/>
        <w:tblCellMar>
          <w:left w:w="62" w:type="dxa"/>
          <w:right w:w="62" w:type="dxa"/>
        </w:tblCellMar>
        <w:tblLook w:val="0000"/>
      </w:tblPr>
      <w:tblGrid>
        <w:gridCol w:w="2836"/>
        <w:gridCol w:w="6344"/>
      </w:tblGrid>
      <w:tr w:rsidTr="0056422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r w:rsidRPr="004B0B7C">
              <w:t>Hospitality</w:t>
            </w:r>
          </w:p>
        </w:tc>
      </w:tr>
    </w:tbl>
    <w:p w:rsidR="00000000" w:rsidRPr="004B0B7C" w:rsidP="004B0B7C">
      <w:pPr>
        <w:pStyle w:val="BodyText"/>
      </w:pPr>
    </w:p>
    <w:p w:rsidR="00000000" w:rsidRPr="004B0B7C" w:rsidP="004B0B7C">
      <w:pPr>
        <w:pStyle w:val="AllowPageBreak"/>
      </w:pPr>
    </w:p>
    <w:p w:rsidR="00000000" w:rsidRPr="004B0B7C" w:rsidP="004B0B7C">
      <w:pPr>
        <w:pStyle w:val="Heading1"/>
      </w:pPr>
      <w:bookmarkStart w:id="13" w:name="O_163297"/>
      <w:bookmarkEnd w:id="13"/>
      <w:r w:rsidRPr="004B0B7C">
        <w:t>Competency field</w:t>
      </w:r>
    </w:p>
    <w:tbl>
      <w:tblPr>
        <w:tblW w:w="0" w:type="auto"/>
        <w:tblLayout w:type="fixed"/>
        <w:tblCellMar>
          <w:left w:w="62" w:type="dxa"/>
          <w:right w:w="62" w:type="dxa"/>
        </w:tblCellMar>
        <w:tblLook w:val="0000"/>
      </w:tblPr>
      <w:tblGrid>
        <w:gridCol w:w="2836"/>
        <w:gridCol w:w="6344"/>
      </w:tblGrid>
      <w:tr w:rsidTr="0056422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B0B7C">
            <w:pPr>
              <w:pStyle w:val="BodyText"/>
              <w:rPr>
                <w:lang w:val="en-NZ"/>
              </w:rPr>
            </w:pPr>
            <w:r w:rsidRPr="004B0B7C">
              <w:t>Commercial Cookery and Catering</w:t>
            </w:r>
          </w:p>
        </w:tc>
      </w:tr>
      <w:tr w:rsidTr="0056422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B0B7C" w:rsidP="004B0B7C">
            <w:pPr>
              <w:pStyle w:val="BodyText"/>
            </w:pPr>
          </w:p>
        </w:tc>
      </w:tr>
    </w:tbl>
    <w:p w:rsidR="00000000" w:rsidRPr="004B0B7C" w:rsidP="004B0B7C">
      <w:pPr>
        <w:pStyle w:val="BodyText"/>
      </w:pPr>
    </w:p>
    <w:p w:rsidR="00000000" w:rsidRPr="004B0B7C" w:rsidP="004B0B7C"/>
    <w:sectPr w:rsidSect="004B0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22B" w:rsidP="00564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2B" w:rsidP="004B0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422B" w:rsidP="004B0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6422B" w:rsidP="004B0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422B" w:rsidP="0056422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2B" w:rsidP="004B0B7C">
    <w:pPr>
      <w:pStyle w:val="Header"/>
      <w:framePr w:wrap="around"/>
    </w:pPr>
    <w:r>
      <w:fldChar w:fldCharType="begin"/>
    </w:r>
    <w:r>
      <w:instrText xml:space="preserve"> TITLE   \* MERGEFORMAT </w:instrText>
    </w:r>
    <w:r>
      <w:fldChar w:fldCharType="separate"/>
    </w:r>
    <w:r>
      <w:t>SITHCCC029A Prepare foods according to dietary and cultural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422B" w:rsidP="004B0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84E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619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061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B7C"/>
    <w:pPr>
      <w:spacing w:before="360" w:after="60"/>
      <w:outlineLvl w:val="0"/>
    </w:pPr>
    <w:rPr>
      <w:sz w:val="32"/>
    </w:rPr>
  </w:style>
  <w:style w:type="paragraph" w:styleId="Heading2">
    <w:name w:val="heading 2"/>
    <w:basedOn w:val="HeadingBase"/>
    <w:next w:val="BodyText"/>
    <w:link w:val="Heading2Char"/>
    <w:qFormat/>
    <w:rsid w:val="004B0B7C"/>
    <w:pPr>
      <w:keepLines/>
      <w:spacing w:before="240" w:after="120"/>
      <w:outlineLvl w:val="1"/>
    </w:pPr>
    <w:rPr>
      <w:sz w:val="28"/>
      <w:szCs w:val="40"/>
    </w:rPr>
  </w:style>
  <w:style w:type="paragraph" w:styleId="Heading3">
    <w:name w:val="heading 3"/>
    <w:basedOn w:val="HeadingBase"/>
    <w:next w:val="BodyText"/>
    <w:link w:val="Heading3Char"/>
    <w:qFormat/>
    <w:rsid w:val="004B0B7C"/>
    <w:pPr>
      <w:spacing w:before="180" w:after="120"/>
      <w:outlineLvl w:val="2"/>
    </w:pPr>
    <w:rPr>
      <w:spacing w:val="-10"/>
      <w:kern w:val="32"/>
    </w:rPr>
  </w:style>
  <w:style w:type="paragraph" w:styleId="Heading4">
    <w:name w:val="heading 4"/>
    <w:basedOn w:val="HeadingBase"/>
    <w:next w:val="BodyText"/>
    <w:link w:val="Heading4Char"/>
    <w:qFormat/>
    <w:rsid w:val="004B0B7C"/>
    <w:pPr>
      <w:spacing w:before="160" w:after="120"/>
      <w:outlineLvl w:val="3"/>
    </w:pPr>
    <w:rPr>
      <w:sz w:val="22"/>
    </w:rPr>
  </w:style>
  <w:style w:type="paragraph" w:styleId="Heading5">
    <w:name w:val="heading 5"/>
    <w:basedOn w:val="HeadingBase"/>
    <w:next w:val="Normal"/>
    <w:link w:val="Heading5Char"/>
    <w:qFormat/>
    <w:rsid w:val="004B0B7C"/>
    <w:pPr>
      <w:spacing w:before="80"/>
      <w:outlineLvl w:val="4"/>
    </w:pPr>
    <w:rPr>
      <w:color w:val="918585"/>
      <w:sz w:val="20"/>
    </w:rPr>
  </w:style>
  <w:style w:type="paragraph" w:styleId="Heading6">
    <w:name w:val="heading 6"/>
    <w:basedOn w:val="HeadingBase"/>
    <w:next w:val="Normal"/>
    <w:link w:val="Heading6Char"/>
    <w:qFormat/>
    <w:rsid w:val="004B0B7C"/>
    <w:pPr>
      <w:spacing w:before="60"/>
      <w:outlineLvl w:val="5"/>
    </w:pPr>
    <w:rPr>
      <w:color w:val="918585"/>
      <w:sz w:val="20"/>
    </w:rPr>
  </w:style>
  <w:style w:type="paragraph" w:styleId="Heading7">
    <w:name w:val="heading 7"/>
    <w:basedOn w:val="Normal"/>
    <w:next w:val="Normal"/>
    <w:link w:val="Heading7Char"/>
    <w:qFormat/>
    <w:rsid w:val="004B0B7C"/>
    <w:pPr>
      <w:ind w:left="720"/>
      <w:outlineLvl w:val="6"/>
    </w:pPr>
    <w:rPr>
      <w:i/>
    </w:rPr>
  </w:style>
  <w:style w:type="paragraph" w:styleId="Heading8">
    <w:name w:val="heading 8"/>
    <w:basedOn w:val="Normal"/>
    <w:next w:val="Normal"/>
    <w:link w:val="Heading8Char"/>
    <w:qFormat/>
    <w:rsid w:val="004B0B7C"/>
    <w:pPr>
      <w:ind w:left="720"/>
      <w:outlineLvl w:val="7"/>
    </w:pPr>
    <w:rPr>
      <w:i/>
    </w:rPr>
  </w:style>
  <w:style w:type="paragraph" w:styleId="Heading9">
    <w:name w:val="heading 9"/>
    <w:basedOn w:val="Normal"/>
    <w:next w:val="Normal"/>
    <w:link w:val="Heading9Char"/>
    <w:qFormat/>
    <w:rsid w:val="004B0B7C"/>
    <w:pPr>
      <w:ind w:left="720"/>
      <w:outlineLvl w:val="8"/>
    </w:pPr>
    <w:rPr>
      <w:i/>
    </w:rPr>
  </w:style>
  <w:style w:type="character" w:default="1" w:styleId="DefaultParagraphFont">
    <w:name w:val="Default Paragraph Font"/>
    <w:uiPriority w:val="1"/>
    <w:unhideWhenUsed/>
    <w:rsid w:val="004B0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B7C"/>
  </w:style>
  <w:style w:type="character" w:customStyle="1" w:styleId="Heading1Char">
    <w:name w:val="Heading 1 Char"/>
    <w:link w:val="Heading1"/>
    <w:rsid w:val="004B0B7C"/>
    <w:rPr>
      <w:rFonts w:ascii="Times New Roman" w:eastAsia="Times New Roman" w:hAnsi="Times New Roman" w:cs="Times New Roman"/>
      <w:b/>
      <w:sz w:val="32"/>
      <w:szCs w:val="20"/>
      <w:lang w:eastAsia="en-US"/>
    </w:rPr>
  </w:style>
  <w:style w:type="paragraph" w:styleId="BodyText">
    <w:name w:val="Body Text"/>
    <w:basedOn w:val="Normal"/>
    <w:link w:val="BodyTextChar"/>
    <w:rsid w:val="004B0B7C"/>
    <w:pPr>
      <w:spacing w:before="120" w:after="120"/>
      <w:contextualSpacing/>
    </w:pPr>
    <w:rPr>
      <w:rFonts w:ascii="Times New Roman" w:hAnsi="Times New Roman"/>
      <w:sz w:val="24"/>
      <w:szCs w:val="22"/>
    </w:rPr>
  </w:style>
  <w:style w:type="character" w:customStyle="1" w:styleId="BodyTextChar">
    <w:name w:val="Body Text Char"/>
    <w:link w:val="BodyText"/>
    <w:rsid w:val="004B0B7C"/>
    <w:rPr>
      <w:rFonts w:ascii="Times New Roman" w:eastAsia="Times New Roman" w:hAnsi="Times New Roman" w:cs="Times New Roman"/>
      <w:sz w:val="24"/>
      <w:lang w:val="en-US" w:eastAsia="en-US"/>
    </w:rPr>
  </w:style>
  <w:style w:type="paragraph" w:styleId="Footer">
    <w:name w:val="footer"/>
    <w:basedOn w:val="Normal"/>
    <w:link w:val="FooterChar"/>
    <w:rsid w:val="004B0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0B7C"/>
    <w:rPr>
      <w:rFonts w:ascii="Times New Roman" w:eastAsia="Times New Roman" w:hAnsi="Times New Roman" w:cs="Times New Roman"/>
      <w:sz w:val="16"/>
      <w:lang w:val="en-US" w:eastAsia="en-US"/>
    </w:rPr>
  </w:style>
  <w:style w:type="paragraph" w:styleId="List">
    <w:name w:val="List"/>
    <w:basedOn w:val="BodyText"/>
    <w:next w:val="BodyText"/>
    <w:rsid w:val="004B0B7C"/>
    <w:pPr>
      <w:tabs>
        <w:tab w:val="left" w:pos="340"/>
      </w:tabs>
      <w:spacing w:before="60" w:after="60"/>
      <w:ind w:left="340" w:hanging="340"/>
    </w:pPr>
  </w:style>
  <w:style w:type="paragraph" w:styleId="ListBullet">
    <w:name w:val="List Bullet"/>
    <w:basedOn w:val="List"/>
    <w:rsid w:val="004B0B7C"/>
    <w:pPr>
      <w:numPr>
        <w:numId w:val="13"/>
      </w:numPr>
      <w:tabs>
        <w:tab w:val="clear" w:pos="340"/>
      </w:tabs>
      <w:spacing w:before="40" w:after="40"/>
    </w:pPr>
  </w:style>
  <w:style w:type="character" w:customStyle="1" w:styleId="SpecialBold">
    <w:name w:val="Special Bold"/>
    <w:rsid w:val="004B0B7C"/>
    <w:rPr>
      <w:b/>
      <w:spacing w:val="0"/>
    </w:rPr>
  </w:style>
  <w:style w:type="paragraph" w:styleId="ListBullet2">
    <w:name w:val="List Bullet 2"/>
    <w:basedOn w:val="List2"/>
    <w:rsid w:val="004B0B7C"/>
    <w:pPr>
      <w:numPr>
        <w:numId w:val="14"/>
      </w:numPr>
      <w:tabs>
        <w:tab w:val="clear" w:pos="680"/>
      </w:tabs>
    </w:pPr>
  </w:style>
  <w:style w:type="paragraph" w:styleId="Header">
    <w:name w:val="header"/>
    <w:basedOn w:val="Normal"/>
    <w:link w:val="HeaderChar"/>
    <w:rsid w:val="004B0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0B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B7C"/>
    <w:pPr>
      <w:spacing w:before="240" w:after="120"/>
      <w:outlineLvl w:val="0"/>
    </w:pPr>
    <w:rPr>
      <w:rFonts w:ascii="Times New Roman" w:hAnsi="Times New Roman"/>
      <w:b/>
      <w:sz w:val="28"/>
    </w:rPr>
  </w:style>
  <w:style w:type="paragraph" w:customStyle="1" w:styleId="AllowPageBreak">
    <w:name w:val="AllowPageBreak"/>
    <w:rsid w:val="004B0B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0B7C"/>
    <w:rPr>
      <w:b/>
      <w:i/>
      <w:u w:val="none"/>
    </w:rPr>
  </w:style>
  <w:style w:type="character" w:customStyle="1" w:styleId="Heading2Char">
    <w:name w:val="Heading 2 Char"/>
    <w:link w:val="Heading2"/>
    <w:rsid w:val="004B0B7C"/>
    <w:rPr>
      <w:rFonts w:ascii="Times New Roman" w:eastAsia="Times New Roman" w:hAnsi="Times New Roman" w:cs="Times New Roman"/>
      <w:b/>
      <w:sz w:val="28"/>
      <w:szCs w:val="40"/>
      <w:lang w:eastAsia="en-US"/>
    </w:rPr>
  </w:style>
  <w:style w:type="character" w:customStyle="1" w:styleId="Heading3Char">
    <w:name w:val="Heading 3 Char"/>
    <w:link w:val="Heading3"/>
    <w:rsid w:val="004B0B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0B7C"/>
    <w:rPr>
      <w:rFonts w:ascii="Times New Roman" w:eastAsia="Times New Roman" w:hAnsi="Times New Roman" w:cs="Times New Roman"/>
      <w:b/>
      <w:szCs w:val="20"/>
      <w:lang w:eastAsia="en-US"/>
    </w:rPr>
  </w:style>
  <w:style w:type="character" w:customStyle="1" w:styleId="Heading5Char">
    <w:name w:val="Heading 5 Char"/>
    <w:link w:val="Heading5"/>
    <w:rsid w:val="004B0B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0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B7C"/>
    <w:rPr>
      <w:rFonts w:ascii="Courier New" w:eastAsia="Times New Roman" w:hAnsi="Courier New" w:cs="Times New Roman"/>
      <w:i/>
      <w:szCs w:val="20"/>
      <w:lang w:val="en-US" w:eastAsia="en-US"/>
    </w:rPr>
  </w:style>
  <w:style w:type="paragraph" w:customStyle="1" w:styleId="HeadingBase">
    <w:name w:val="Heading Base"/>
    <w:rsid w:val="004B0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B7C"/>
    <w:pPr>
      <w:tabs>
        <w:tab w:val="right" w:leader="dot" w:pos="9072"/>
      </w:tabs>
      <w:ind w:left="567"/>
    </w:pPr>
    <w:rPr>
      <w:szCs w:val="22"/>
    </w:rPr>
  </w:style>
  <w:style w:type="paragraph" w:customStyle="1" w:styleId="TOCBase">
    <w:name w:val="TOC Base"/>
    <w:rsid w:val="004B0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B7C"/>
    <w:pPr>
      <w:tabs>
        <w:tab w:val="right" w:leader="dot" w:pos="9072"/>
      </w:tabs>
      <w:spacing w:before="40" w:after="40"/>
      <w:ind w:left="284"/>
    </w:pPr>
    <w:rPr>
      <w:rFonts w:ascii="Times New Roman" w:hAnsi="Times New Roman"/>
    </w:rPr>
  </w:style>
  <w:style w:type="paragraph" w:styleId="TOC1">
    <w:name w:val="toc 1"/>
    <w:basedOn w:val="TOCBase"/>
    <w:next w:val="Normal"/>
    <w:rsid w:val="004B0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B7C"/>
    <w:pPr>
      <w:spacing w:before="5040"/>
      <w:jc w:val="center"/>
    </w:pPr>
    <w:rPr>
      <w:sz w:val="48"/>
      <w:szCs w:val="72"/>
      <w:lang w:val="en-US"/>
    </w:rPr>
  </w:style>
  <w:style w:type="character" w:customStyle="1" w:styleId="TitleChar">
    <w:name w:val="Title Char"/>
    <w:link w:val="Title"/>
    <w:rsid w:val="004B0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B7C"/>
    <w:pPr>
      <w:tabs>
        <w:tab w:val="left" w:pos="3600"/>
        <w:tab w:val="left" w:pos="3958"/>
      </w:tabs>
    </w:pPr>
  </w:style>
  <w:style w:type="paragraph" w:customStyle="1" w:styleId="Note">
    <w:name w:val="Note"/>
    <w:basedOn w:val="BodyText"/>
    <w:rsid w:val="004B0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B7C"/>
    <w:pPr>
      <w:framePr w:wrap="auto" w:hAnchor="text" w:y="6049"/>
    </w:pPr>
    <w:rPr>
      <w:color w:val="000000"/>
      <w:sz w:val="40"/>
    </w:rPr>
  </w:style>
  <w:style w:type="paragraph" w:customStyle="1" w:styleId="TOCTitle">
    <w:name w:val="TOCTitle"/>
    <w:basedOn w:val="Heading1"/>
    <w:rsid w:val="004B0B7C"/>
    <w:pPr>
      <w:spacing w:after="240"/>
      <w:jc w:val="center"/>
      <w:outlineLvl w:val="9"/>
    </w:pPr>
    <w:rPr>
      <w:caps/>
    </w:rPr>
  </w:style>
  <w:style w:type="paragraph" w:customStyle="1" w:styleId="Version">
    <w:name w:val="Version"/>
    <w:rsid w:val="004B0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B7C"/>
    <w:pPr>
      <w:keepNext w:val="0"/>
      <w:tabs>
        <w:tab w:val="right" w:pos="4176"/>
      </w:tabs>
      <w:ind w:left="198" w:hanging="198"/>
    </w:pPr>
    <w:rPr>
      <w:rFonts w:ascii="Garamond" w:hAnsi="Garamond"/>
    </w:rPr>
  </w:style>
  <w:style w:type="paragraph" w:styleId="IndexHeading">
    <w:name w:val="index heading"/>
    <w:basedOn w:val="Normal"/>
    <w:next w:val="Index1"/>
    <w:semiHidden/>
    <w:rsid w:val="004B0B7C"/>
    <w:pPr>
      <w:spacing w:before="120" w:after="120"/>
    </w:pPr>
    <w:rPr>
      <w:rFonts w:ascii="Arial" w:hAnsi="Arial"/>
      <w:b/>
      <w:color w:val="918585"/>
      <w:sz w:val="24"/>
    </w:rPr>
  </w:style>
  <w:style w:type="paragraph" w:customStyle="1" w:styleId="Chapter">
    <w:name w:val="Chapter"/>
    <w:basedOn w:val="Normal"/>
    <w:rsid w:val="004B0B7C"/>
    <w:pPr>
      <w:spacing w:before="240"/>
    </w:pPr>
    <w:rPr>
      <w:rFonts w:ascii="Times New Roman" w:hAnsi="Times New Roman"/>
      <w:smallCaps/>
      <w:spacing w:val="80"/>
      <w:sz w:val="28"/>
    </w:rPr>
  </w:style>
  <w:style w:type="paragraph" w:customStyle="1" w:styleId="InChapter">
    <w:name w:val="InChapter"/>
    <w:basedOn w:val="Heading3"/>
    <w:rsid w:val="004B0B7C"/>
    <w:pPr>
      <w:spacing w:after="240"/>
      <w:outlineLvl w:val="9"/>
    </w:pPr>
    <w:rPr>
      <w:noProof/>
    </w:rPr>
  </w:style>
  <w:style w:type="paragraph" w:styleId="Index2">
    <w:name w:val="index 2"/>
    <w:basedOn w:val="Normal"/>
    <w:next w:val="Normal"/>
    <w:semiHidden/>
    <w:rsid w:val="004B0B7C"/>
    <w:pPr>
      <w:tabs>
        <w:tab w:val="right" w:pos="4176"/>
      </w:tabs>
      <w:ind w:left="568" w:hanging="284"/>
    </w:pPr>
    <w:rPr>
      <w:rFonts w:ascii="Garamond" w:hAnsi="Garamond"/>
    </w:rPr>
  </w:style>
  <w:style w:type="paragraph" w:customStyle="1" w:styleId="Byline">
    <w:name w:val="Byline"/>
    <w:rsid w:val="004B0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B7C"/>
    <w:pPr>
      <w:tabs>
        <w:tab w:val="clear" w:pos="3600"/>
        <w:tab w:val="clear" w:pos="3958"/>
      </w:tabs>
      <w:jc w:val="right"/>
    </w:pPr>
  </w:style>
  <w:style w:type="character" w:styleId="Emphasis">
    <w:name w:val="Emphasis"/>
    <w:qFormat/>
    <w:rsid w:val="004B0B7C"/>
    <w:rPr>
      <w:i/>
    </w:rPr>
  </w:style>
  <w:style w:type="paragraph" w:styleId="Caption">
    <w:name w:val="caption"/>
    <w:basedOn w:val="BodyText"/>
    <w:next w:val="Normal"/>
    <w:qFormat/>
    <w:rsid w:val="004B0B7C"/>
    <w:pPr>
      <w:framePr w:w="2268" w:hSpace="181" w:vSpace="181" w:wrap="around" w:vAnchor="text" w:hAnchor="page" w:x="1135" w:y="285" w:anchorLock="1"/>
    </w:pPr>
    <w:rPr>
      <w:i/>
    </w:rPr>
  </w:style>
  <w:style w:type="paragraph" w:customStyle="1" w:styleId="MiniTOCTitle">
    <w:name w:val="MiniTOCTitle"/>
    <w:basedOn w:val="Heading4"/>
    <w:rsid w:val="004B0B7C"/>
    <w:pPr>
      <w:spacing w:before="240"/>
      <w:outlineLvl w:val="9"/>
    </w:pPr>
    <w:rPr>
      <w:noProof/>
      <w:sz w:val="24"/>
    </w:rPr>
  </w:style>
  <w:style w:type="paragraph" w:customStyle="1" w:styleId="MiniTOCItem">
    <w:name w:val="MiniTOCItem"/>
    <w:basedOn w:val="ListBullet"/>
    <w:rsid w:val="004B0B7C"/>
    <w:pPr>
      <w:numPr>
        <w:numId w:val="0"/>
      </w:numPr>
      <w:tabs>
        <w:tab w:val="right" w:leader="dot" w:pos="6521"/>
      </w:tabs>
      <w:spacing w:before="0" w:after="0"/>
    </w:pPr>
  </w:style>
  <w:style w:type="paragraph" w:customStyle="1" w:styleId="TOFTitle">
    <w:name w:val="TOFTitle"/>
    <w:basedOn w:val="TOCTitle"/>
    <w:rsid w:val="004B0B7C"/>
  </w:style>
  <w:style w:type="paragraph" w:styleId="TableofFigures">
    <w:name w:val="table of figures"/>
    <w:basedOn w:val="Normal"/>
    <w:next w:val="Normal"/>
    <w:semiHidden/>
    <w:rsid w:val="004B0B7C"/>
    <w:pPr>
      <w:tabs>
        <w:tab w:val="right" w:leader="dot" w:pos="9072"/>
      </w:tabs>
      <w:ind w:left="970" w:hanging="403"/>
    </w:pPr>
    <w:rPr>
      <w:rFonts w:ascii="Times New Roman" w:hAnsi="Times New Roman"/>
      <w:b/>
    </w:rPr>
  </w:style>
  <w:style w:type="paragraph" w:styleId="ListNumber">
    <w:name w:val="List Number"/>
    <w:basedOn w:val="List"/>
    <w:rsid w:val="004B0B7C"/>
    <w:pPr>
      <w:numPr>
        <w:numId w:val="11"/>
      </w:numPr>
    </w:pPr>
  </w:style>
  <w:style w:type="character" w:customStyle="1" w:styleId="WingdingSymbols">
    <w:name w:val="Wingding Symbols"/>
    <w:rsid w:val="004B0B7C"/>
    <w:rPr>
      <w:rFonts w:ascii="Wingdings" w:hAnsi="Wingdings"/>
    </w:rPr>
  </w:style>
  <w:style w:type="paragraph" w:customStyle="1" w:styleId="TableHeading">
    <w:name w:val="Table Heading"/>
    <w:basedOn w:val="HeadingBase"/>
    <w:rsid w:val="004B0B7C"/>
    <w:pPr>
      <w:keepLines/>
      <w:pBdr>
        <w:bottom w:val="single" w:sz="6" w:space="1" w:color="918585"/>
      </w:pBdr>
      <w:spacing w:before="240"/>
    </w:pPr>
  </w:style>
  <w:style w:type="character" w:customStyle="1" w:styleId="HotSpot">
    <w:name w:val="HotSpot"/>
    <w:rsid w:val="004B0B7C"/>
    <w:rPr>
      <w:color w:val="0033CC"/>
      <w:u w:val="none"/>
    </w:rPr>
  </w:style>
  <w:style w:type="paragraph" w:customStyle="1" w:styleId="BodyTextRight">
    <w:name w:val="Body Text Right"/>
    <w:basedOn w:val="BodyText"/>
    <w:rsid w:val="004B0B7C"/>
    <w:pPr>
      <w:spacing w:before="0" w:after="0"/>
      <w:jc w:val="right"/>
    </w:pPr>
  </w:style>
  <w:style w:type="paragraph" w:styleId="Index3">
    <w:name w:val="index 3"/>
    <w:basedOn w:val="ListNumber2"/>
    <w:next w:val="Normal"/>
    <w:semiHidden/>
    <w:rsid w:val="004B0B7C"/>
    <w:pPr>
      <w:numPr>
        <w:numId w:val="0"/>
      </w:numPr>
      <w:tabs>
        <w:tab w:val="right" w:leader="dot" w:pos="4176"/>
      </w:tabs>
    </w:pPr>
  </w:style>
  <w:style w:type="paragraph" w:styleId="ListNumber2">
    <w:name w:val="List Number 2"/>
    <w:basedOn w:val="List2"/>
    <w:rsid w:val="004B0B7C"/>
    <w:pPr>
      <w:numPr>
        <w:numId w:val="10"/>
      </w:numPr>
      <w:tabs>
        <w:tab w:val="clear" w:pos="1060"/>
      </w:tabs>
    </w:pPr>
  </w:style>
  <w:style w:type="paragraph" w:customStyle="1" w:styleId="MarginNote">
    <w:name w:val="Margin Note"/>
    <w:basedOn w:val="BodyText"/>
    <w:rsid w:val="004B0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0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B7C"/>
    <w:rPr>
      <w:sz w:val="32"/>
    </w:rPr>
  </w:style>
  <w:style w:type="paragraph" w:customStyle="1" w:styleId="HeadingProcedure">
    <w:name w:val="Heading Procedure"/>
    <w:basedOn w:val="HeadingBase"/>
    <w:next w:val="Normal"/>
    <w:rsid w:val="004B0B7C"/>
    <w:pPr>
      <w:tabs>
        <w:tab w:val="left" w:pos="0"/>
      </w:tabs>
      <w:spacing w:before="120" w:after="60"/>
    </w:pPr>
    <w:rPr>
      <w:i/>
      <w:color w:val="918585"/>
      <w:sz w:val="22"/>
    </w:rPr>
  </w:style>
  <w:style w:type="paragraph" w:customStyle="1" w:styleId="TableBodyText">
    <w:name w:val="Table Body Text"/>
    <w:basedOn w:val="BodyText"/>
    <w:rsid w:val="004B0B7C"/>
    <w:pPr>
      <w:spacing w:before="60" w:after="60"/>
    </w:pPr>
  </w:style>
  <w:style w:type="paragraph" w:styleId="ListContinue">
    <w:name w:val="List Continue"/>
    <w:basedOn w:val="List"/>
    <w:rsid w:val="004B0B7C"/>
    <w:pPr>
      <w:ind w:firstLine="0"/>
    </w:pPr>
  </w:style>
  <w:style w:type="paragraph" w:customStyle="1" w:styleId="ListNote">
    <w:name w:val="List Note"/>
    <w:basedOn w:val="List"/>
    <w:rsid w:val="004B0B7C"/>
    <w:pPr>
      <w:pBdr>
        <w:top w:val="single" w:sz="6" w:space="2" w:color="918585"/>
        <w:bottom w:val="single" w:sz="6" w:space="2" w:color="918585"/>
      </w:pBdr>
      <w:tabs>
        <w:tab w:val="left" w:pos="1021"/>
      </w:tabs>
      <w:ind w:firstLine="0"/>
    </w:pPr>
  </w:style>
  <w:style w:type="paragraph" w:customStyle="1" w:styleId="Warning">
    <w:name w:val="Warning"/>
    <w:basedOn w:val="BodyText"/>
    <w:rsid w:val="004B0B7C"/>
    <w:pPr>
      <w:shd w:val="clear" w:color="auto" w:fill="D9D9D9"/>
      <w:tabs>
        <w:tab w:val="left" w:pos="992"/>
      </w:tabs>
      <w:ind w:left="119" w:right="119"/>
    </w:pPr>
    <w:rPr>
      <w:sz w:val="20"/>
    </w:rPr>
  </w:style>
  <w:style w:type="paragraph" w:customStyle="1" w:styleId="MarginIcons">
    <w:name w:val="Margin Icons"/>
    <w:basedOn w:val="BodyText"/>
    <w:rsid w:val="004B0B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0B7C"/>
    <w:rPr>
      <w:rFonts w:ascii="Courier New" w:hAnsi="Courier New"/>
    </w:rPr>
  </w:style>
  <w:style w:type="paragraph" w:customStyle="1" w:styleId="NoteBullet">
    <w:name w:val="Note Bullet"/>
    <w:basedOn w:val="Note"/>
    <w:rsid w:val="004B0B7C"/>
    <w:pPr>
      <w:tabs>
        <w:tab w:val="clear" w:pos="680"/>
      </w:tabs>
      <w:spacing w:before="60" w:after="60"/>
    </w:pPr>
  </w:style>
  <w:style w:type="paragraph" w:customStyle="1" w:styleId="SubHeading2">
    <w:name w:val="SubHeading2"/>
    <w:basedOn w:val="HeadingBase"/>
    <w:rsid w:val="004B0B7C"/>
    <w:pPr>
      <w:spacing w:before="240" w:after="60"/>
    </w:pPr>
    <w:rPr>
      <w:sz w:val="20"/>
    </w:rPr>
  </w:style>
  <w:style w:type="paragraph" w:customStyle="1" w:styleId="SubHeading1">
    <w:name w:val="SubHeading1"/>
    <w:basedOn w:val="HeadingBase"/>
    <w:rsid w:val="004B0B7C"/>
    <w:pPr>
      <w:spacing w:before="240" w:after="60"/>
    </w:pPr>
    <w:rPr>
      <w:color w:val="918585"/>
      <w:sz w:val="22"/>
    </w:rPr>
  </w:style>
  <w:style w:type="paragraph" w:customStyle="1" w:styleId="SideHeading">
    <w:name w:val="Side Heading"/>
    <w:basedOn w:val="HeadingBase"/>
    <w:rsid w:val="004B0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B7C"/>
    <w:pPr>
      <w:numPr>
        <w:numId w:val="12"/>
      </w:numPr>
    </w:pPr>
  </w:style>
  <w:style w:type="paragraph" w:styleId="PlainText">
    <w:name w:val="Plain Text"/>
    <w:basedOn w:val="Normal"/>
    <w:link w:val="PlainTextChar"/>
    <w:rsid w:val="004B0B7C"/>
    <w:rPr>
      <w:sz w:val="20"/>
    </w:rPr>
  </w:style>
  <w:style w:type="character" w:customStyle="1" w:styleId="PlainTextChar">
    <w:name w:val="Plain Text Char"/>
    <w:basedOn w:val="DefaultParagraphFont"/>
    <w:link w:val="PlainText"/>
    <w:rsid w:val="004B0B7C"/>
    <w:rPr>
      <w:rFonts w:ascii="Courier New" w:eastAsia="Times New Roman" w:hAnsi="Courier New" w:cs="Times New Roman"/>
      <w:sz w:val="20"/>
      <w:szCs w:val="20"/>
      <w:lang w:val="en-US" w:eastAsia="en-US"/>
    </w:rPr>
  </w:style>
  <w:style w:type="character" w:customStyle="1" w:styleId="MenuOption">
    <w:name w:val="Menu Option"/>
    <w:rsid w:val="004B0B7C"/>
    <w:rPr>
      <w:b/>
      <w:smallCaps/>
    </w:rPr>
  </w:style>
  <w:style w:type="paragraph" w:customStyle="1" w:styleId="TableListNumber">
    <w:name w:val="Table List Number"/>
    <w:basedOn w:val="ListNumber"/>
    <w:rsid w:val="004B0B7C"/>
    <w:pPr>
      <w:numPr>
        <w:numId w:val="0"/>
      </w:numPr>
    </w:pPr>
  </w:style>
  <w:style w:type="paragraph" w:styleId="TOC4">
    <w:name w:val="toc 4"/>
    <w:basedOn w:val="TOCBase"/>
    <w:next w:val="Normal"/>
    <w:semiHidden/>
    <w:rsid w:val="004B0B7C"/>
    <w:pPr>
      <w:tabs>
        <w:tab w:val="right" w:leader="dot" w:pos="9071"/>
      </w:tabs>
      <w:ind w:left="1701"/>
    </w:pPr>
  </w:style>
  <w:style w:type="paragraph" w:customStyle="1" w:styleId="ListAlpha">
    <w:name w:val="List Alpha"/>
    <w:basedOn w:val="List"/>
    <w:rsid w:val="004B0B7C"/>
    <w:pPr>
      <w:numPr>
        <w:numId w:val="9"/>
      </w:numPr>
    </w:pPr>
  </w:style>
  <w:style w:type="paragraph" w:customStyle="1" w:styleId="ListAlpha2">
    <w:name w:val="List Alpha 2"/>
    <w:basedOn w:val="List2"/>
    <w:rsid w:val="004B0B7C"/>
    <w:pPr>
      <w:numPr>
        <w:numId w:val="8"/>
      </w:numPr>
    </w:pPr>
  </w:style>
  <w:style w:type="paragraph" w:styleId="List2">
    <w:name w:val="List 2"/>
    <w:basedOn w:val="BodyText"/>
    <w:rsid w:val="004B0B7C"/>
    <w:pPr>
      <w:tabs>
        <w:tab w:val="left" w:pos="680"/>
      </w:tabs>
      <w:spacing w:before="60" w:after="60"/>
      <w:ind w:left="680" w:hanging="340"/>
    </w:pPr>
  </w:style>
  <w:style w:type="paragraph" w:styleId="List3">
    <w:name w:val="List 3"/>
    <w:basedOn w:val="BodyText"/>
    <w:rsid w:val="004B0B7C"/>
    <w:pPr>
      <w:tabs>
        <w:tab w:val="left" w:pos="1021"/>
      </w:tabs>
      <w:spacing w:before="60" w:after="60"/>
      <w:ind w:left="1020" w:hanging="340"/>
    </w:pPr>
  </w:style>
  <w:style w:type="paragraph" w:styleId="List4">
    <w:name w:val="List 4"/>
    <w:basedOn w:val="BodyText"/>
    <w:rsid w:val="004B0B7C"/>
    <w:pPr>
      <w:tabs>
        <w:tab w:val="left" w:pos="1361"/>
      </w:tabs>
      <w:spacing w:before="60" w:after="60"/>
      <w:ind w:left="1361" w:hanging="340"/>
    </w:pPr>
  </w:style>
  <w:style w:type="paragraph" w:styleId="List5">
    <w:name w:val="List 5"/>
    <w:basedOn w:val="BodyText"/>
    <w:rsid w:val="004B0B7C"/>
    <w:pPr>
      <w:tabs>
        <w:tab w:val="left" w:pos="1701"/>
      </w:tabs>
      <w:spacing w:before="60" w:after="60"/>
      <w:ind w:left="1701" w:hanging="340"/>
    </w:pPr>
  </w:style>
  <w:style w:type="paragraph" w:styleId="ListBullet3">
    <w:name w:val="List Bullet 3"/>
    <w:basedOn w:val="List3"/>
    <w:rsid w:val="004B0B7C"/>
    <w:pPr>
      <w:numPr>
        <w:numId w:val="15"/>
      </w:numPr>
      <w:tabs>
        <w:tab w:val="clear" w:pos="1021"/>
      </w:tabs>
      <w:ind w:left="1037" w:hanging="357"/>
    </w:pPr>
  </w:style>
  <w:style w:type="paragraph" w:styleId="ListBullet4">
    <w:name w:val="List Bullet 4"/>
    <w:basedOn w:val="List4"/>
    <w:rsid w:val="004B0B7C"/>
    <w:pPr>
      <w:numPr>
        <w:numId w:val="3"/>
      </w:numPr>
    </w:pPr>
  </w:style>
  <w:style w:type="paragraph" w:styleId="ListBullet5">
    <w:name w:val="List Bullet 5"/>
    <w:basedOn w:val="List5"/>
    <w:rsid w:val="004B0B7C"/>
    <w:pPr>
      <w:numPr>
        <w:numId w:val="4"/>
      </w:numPr>
    </w:pPr>
  </w:style>
  <w:style w:type="paragraph" w:styleId="ListContinue2">
    <w:name w:val="List Continue 2"/>
    <w:basedOn w:val="List2"/>
    <w:rsid w:val="004B0B7C"/>
    <w:pPr>
      <w:ind w:firstLine="0"/>
    </w:pPr>
  </w:style>
  <w:style w:type="paragraph" w:styleId="ListContinue3">
    <w:name w:val="List Continue 3"/>
    <w:basedOn w:val="List3"/>
    <w:rsid w:val="004B0B7C"/>
    <w:pPr>
      <w:ind w:left="1021" w:firstLine="0"/>
    </w:pPr>
  </w:style>
  <w:style w:type="paragraph" w:styleId="ListContinue4">
    <w:name w:val="List Continue 4"/>
    <w:basedOn w:val="List4"/>
    <w:rsid w:val="004B0B7C"/>
    <w:pPr>
      <w:ind w:firstLine="0"/>
    </w:pPr>
  </w:style>
  <w:style w:type="paragraph" w:styleId="ListContinue5">
    <w:name w:val="List Continue 5"/>
    <w:basedOn w:val="List5"/>
    <w:rsid w:val="004B0B7C"/>
    <w:pPr>
      <w:ind w:firstLine="0"/>
    </w:pPr>
  </w:style>
  <w:style w:type="paragraph" w:styleId="ListNumber3">
    <w:name w:val="List Number 3"/>
    <w:basedOn w:val="List3"/>
    <w:rsid w:val="004B0B7C"/>
    <w:pPr>
      <w:numPr>
        <w:numId w:val="5"/>
      </w:numPr>
    </w:pPr>
  </w:style>
  <w:style w:type="paragraph" w:styleId="ListNumber4">
    <w:name w:val="List Number 4"/>
    <w:basedOn w:val="List4"/>
    <w:rsid w:val="004B0B7C"/>
    <w:pPr>
      <w:numPr>
        <w:numId w:val="6"/>
      </w:numPr>
    </w:pPr>
  </w:style>
  <w:style w:type="paragraph" w:styleId="ListNumber5">
    <w:name w:val="List Number 5"/>
    <w:basedOn w:val="List5"/>
    <w:rsid w:val="004B0B7C"/>
    <w:pPr>
      <w:numPr>
        <w:numId w:val="7"/>
      </w:numPr>
    </w:pPr>
  </w:style>
  <w:style w:type="paragraph" w:styleId="BlockText">
    <w:name w:val="Block Text"/>
    <w:basedOn w:val="Normal"/>
    <w:rsid w:val="004B0B7C"/>
    <w:pPr>
      <w:spacing w:after="120"/>
      <w:ind w:left="1440" w:right="1440"/>
    </w:pPr>
  </w:style>
  <w:style w:type="character" w:customStyle="1" w:styleId="Subscript">
    <w:name w:val="Subscript"/>
    <w:rsid w:val="004B0B7C"/>
    <w:rPr>
      <w:sz w:val="16"/>
      <w:vertAlign w:val="subscript"/>
    </w:rPr>
  </w:style>
  <w:style w:type="character" w:customStyle="1" w:styleId="Superscript">
    <w:name w:val="Superscript"/>
    <w:rsid w:val="004B0B7C"/>
    <w:rPr>
      <w:sz w:val="16"/>
      <w:vertAlign w:val="superscript"/>
    </w:rPr>
  </w:style>
  <w:style w:type="character" w:customStyle="1" w:styleId="Symbols">
    <w:name w:val="Symbols"/>
    <w:rsid w:val="004B0B7C"/>
    <w:rPr>
      <w:rFonts w:ascii="Symbol" w:hAnsi="Symbol"/>
    </w:rPr>
  </w:style>
  <w:style w:type="character" w:customStyle="1" w:styleId="MenuOptions">
    <w:name w:val="Menu Options"/>
    <w:rsid w:val="004B0B7C"/>
    <w:rPr>
      <w:rFonts w:ascii="Arial Narrow" w:hAnsi="Arial Narrow"/>
      <w:smallCaps/>
    </w:rPr>
  </w:style>
  <w:style w:type="character" w:customStyle="1" w:styleId="Buttons">
    <w:name w:val="Buttons"/>
    <w:rsid w:val="004B0B7C"/>
    <w:rPr>
      <w:b/>
    </w:rPr>
  </w:style>
  <w:style w:type="character" w:customStyle="1" w:styleId="Underlined">
    <w:name w:val="Underlined"/>
    <w:rsid w:val="004B0B7C"/>
    <w:rPr>
      <w:u w:val="single"/>
    </w:rPr>
  </w:style>
  <w:style w:type="paragraph" w:customStyle="1" w:styleId="TableBodyTextRight">
    <w:name w:val="Table Body Text Right"/>
    <w:basedOn w:val="TableBodyText"/>
    <w:rsid w:val="004B0B7C"/>
    <w:pPr>
      <w:widowControl w:val="0"/>
      <w:autoSpaceDE w:val="0"/>
      <w:autoSpaceDN w:val="0"/>
      <w:adjustRightInd w:val="0"/>
      <w:jc w:val="right"/>
    </w:pPr>
    <w:rPr>
      <w:rFonts w:cs="Arial"/>
      <w:szCs w:val="18"/>
    </w:rPr>
  </w:style>
  <w:style w:type="paragraph" w:customStyle="1" w:styleId="CopyrightText">
    <w:name w:val="Copyright Text"/>
    <w:basedOn w:val="BodyText"/>
    <w:rsid w:val="004B0B7C"/>
    <w:rPr>
      <w:sz w:val="18"/>
    </w:rPr>
  </w:style>
  <w:style w:type="paragraph" w:customStyle="1" w:styleId="BodySmallRight">
    <w:name w:val="Body Small Right"/>
    <w:basedOn w:val="BodyTextRight"/>
    <w:rsid w:val="004B0B7C"/>
    <w:rPr>
      <w:sz w:val="18"/>
      <w:szCs w:val="18"/>
    </w:rPr>
  </w:style>
  <w:style w:type="paragraph" w:customStyle="1" w:styleId="MarginEdition">
    <w:name w:val="Margin Edition"/>
    <w:basedOn w:val="MarginNote"/>
    <w:rsid w:val="004B0B7C"/>
    <w:pPr>
      <w:spacing w:before="0" w:after="0"/>
    </w:pPr>
    <w:rPr>
      <w:rFonts w:ascii="Times New Roman" w:hAnsi="Times New Roman"/>
      <w:color w:val="999999"/>
    </w:rPr>
  </w:style>
  <w:style w:type="paragraph" w:customStyle="1" w:styleId="Spacer">
    <w:name w:val="Spacer"/>
    <w:basedOn w:val="Normal"/>
    <w:rsid w:val="004B0B7C"/>
    <w:rPr>
      <w:sz w:val="2"/>
      <w:szCs w:val="2"/>
    </w:rPr>
  </w:style>
  <w:style w:type="character" w:customStyle="1" w:styleId="Small">
    <w:name w:val="Small"/>
    <w:rsid w:val="004B0B7C"/>
    <w:rPr>
      <w:sz w:val="16"/>
    </w:rPr>
  </w:style>
  <w:style w:type="paragraph" w:customStyle="1" w:styleId="WideTable">
    <w:name w:val="Wide Table"/>
    <w:basedOn w:val="Normal"/>
    <w:rsid w:val="004B0B7C"/>
    <w:pPr>
      <w:ind w:left="-1418"/>
    </w:pPr>
    <w:rPr>
      <w:sz w:val="2"/>
      <w:szCs w:val="2"/>
    </w:rPr>
  </w:style>
  <w:style w:type="character" w:styleId="PageNumber">
    <w:name w:val="page number"/>
    <w:rsid w:val="004B0B7C"/>
  </w:style>
  <w:style w:type="paragraph" w:styleId="Quote">
    <w:name w:val="Quote"/>
    <w:basedOn w:val="Heading1"/>
    <w:link w:val="QuoteChar"/>
    <w:qFormat/>
    <w:rsid w:val="004B0B7C"/>
    <w:rPr>
      <w:b w:val="0"/>
      <w:sz w:val="72"/>
      <w:szCs w:val="72"/>
      <w:lang w:val="en-NZ"/>
    </w:rPr>
  </w:style>
  <w:style w:type="character" w:customStyle="1" w:styleId="QuoteChar">
    <w:name w:val="Quote Char"/>
    <w:link w:val="Quote"/>
    <w:rsid w:val="004B0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B7C"/>
    <w:pPr>
      <w:pageBreakBefore/>
    </w:pPr>
  </w:style>
  <w:style w:type="paragraph" w:customStyle="1" w:styleId="Border">
    <w:name w:val="Border"/>
    <w:basedOn w:val="Normal"/>
    <w:qFormat/>
    <w:rsid w:val="004B0B7C"/>
    <w:pPr>
      <w:pBdr>
        <w:top w:val="single" w:sz="18" w:space="1" w:color="auto"/>
      </w:pBdr>
    </w:pPr>
    <w:rPr>
      <w:rFonts w:ascii="Times New Roman" w:hAnsi="Times New Roman"/>
      <w:color w:val="FFFFFF"/>
      <w:sz w:val="2"/>
    </w:rPr>
  </w:style>
  <w:style w:type="character" w:styleId="IntenseEmphasis">
    <w:name w:val="Intense Emphasis"/>
    <w:uiPriority w:val="21"/>
    <w:qFormat/>
    <w:rsid w:val="004B0B7C"/>
    <w:rPr>
      <w:b/>
      <w:bCs/>
      <w:i/>
      <w:iCs/>
      <w:color w:val="auto"/>
    </w:rPr>
  </w:style>
  <w:style w:type="paragraph" w:styleId="IntenseQuote">
    <w:name w:val="Intense Quote"/>
    <w:basedOn w:val="Normal"/>
    <w:next w:val="Normal"/>
    <w:link w:val="IntenseQuoteChar"/>
    <w:uiPriority w:val="30"/>
    <w:qFormat/>
    <w:rsid w:val="004B0B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0B7C"/>
    <w:rPr>
      <w:rFonts w:ascii="Courier New" w:eastAsia="Times New Roman" w:hAnsi="Courier New" w:cs="Times New Roman"/>
      <w:b/>
      <w:bCs/>
      <w:i/>
      <w:iCs/>
      <w:szCs w:val="20"/>
      <w:lang w:val="en-US" w:eastAsia="en-US"/>
    </w:rPr>
  </w:style>
  <w:style w:type="character" w:styleId="SubtleReference">
    <w:name w:val="Subtle Reference"/>
    <w:uiPriority w:val="31"/>
    <w:qFormat/>
    <w:rsid w:val="004B0B7C"/>
    <w:rPr>
      <w:smallCaps/>
      <w:color w:val="auto"/>
      <w:u w:val="single"/>
    </w:rPr>
  </w:style>
  <w:style w:type="character" w:styleId="IntenseReference">
    <w:name w:val="Intense Reference"/>
    <w:uiPriority w:val="32"/>
    <w:qFormat/>
    <w:rsid w:val="004B0B7C"/>
    <w:rPr>
      <w:b/>
      <w:bCs/>
      <w:smallCaps/>
      <w:color w:val="auto"/>
      <w:spacing w:val="5"/>
      <w:u w:val="single"/>
    </w:rPr>
  </w:style>
  <w:style w:type="paragraph" w:customStyle="1" w:styleId="2ColumnHeading">
    <w:name w:val="2Column Heading"/>
    <w:basedOn w:val="BodyText"/>
    <w:qFormat/>
    <w:rsid w:val="004B0B7C"/>
    <w:pPr>
      <w:spacing w:after="60"/>
      <w:ind w:left="-2268"/>
    </w:pPr>
    <w:rPr>
      <w:b/>
    </w:rPr>
  </w:style>
  <w:style w:type="paragraph" w:customStyle="1" w:styleId="Heading1TOC">
    <w:name w:val="Heading1 TOC"/>
    <w:basedOn w:val="Normal"/>
    <w:qFormat/>
    <w:rsid w:val="004B0B7C"/>
    <w:pPr>
      <w:spacing w:before="240" w:after="120"/>
    </w:pPr>
    <w:rPr>
      <w:rFonts w:ascii="Times New Roman" w:hAnsi="Times New Roman"/>
      <w:b/>
      <w:sz w:val="32"/>
    </w:rPr>
  </w:style>
  <w:style w:type="paragraph" w:customStyle="1" w:styleId="Heading2TOC">
    <w:name w:val="Heading2 TOC"/>
    <w:basedOn w:val="Normal"/>
    <w:qFormat/>
    <w:rsid w:val="004B0B7C"/>
    <w:pPr>
      <w:spacing w:before="240" w:after="60"/>
    </w:pPr>
    <w:rPr>
      <w:rFonts w:ascii="Times New Roman" w:hAnsi="Times New Roman"/>
      <w:b/>
      <w:sz w:val="28"/>
    </w:rPr>
  </w:style>
  <w:style w:type="character" w:customStyle="1" w:styleId="Underline">
    <w:name w:val="Underline"/>
    <w:qFormat/>
    <w:rsid w:val="004B0B7C"/>
    <w:rPr>
      <w:u w:val="single"/>
    </w:rPr>
  </w:style>
  <w:style w:type="paragraph" w:styleId="BalloonText">
    <w:name w:val="Balloon Text"/>
    <w:basedOn w:val="Normal"/>
    <w:link w:val="BalloonTextChar"/>
    <w:rsid w:val="004B0B7C"/>
    <w:rPr>
      <w:rFonts w:ascii="Tahoma" w:hAnsi="Tahoma" w:cs="Tahoma"/>
      <w:sz w:val="16"/>
      <w:szCs w:val="16"/>
    </w:rPr>
  </w:style>
  <w:style w:type="character" w:customStyle="1" w:styleId="BalloonTextChar">
    <w:name w:val="Balloon Text Char"/>
    <w:link w:val="BalloonText"/>
    <w:rsid w:val="004B0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B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0B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1365</Words>
  <Characters>8621</Characters>
  <Application>Microsoft Office Word</Application>
  <DocSecurity>0</DocSecurity>
  <Lines>342</Lines>
  <Paragraphs>151</Paragraphs>
  <ScaleCrop>false</ScaleCrop>
  <Company>Author-it Software Corporation Ltd.</Company>
  <LinksUpToDate>false</LinksUpToDate>
  <CharactersWithSpaces>9901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SITHCCC029A Prepare foods according to dietary and cultural needs</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2012-05-26T10:20:00Z</dcterms:created>
  <dcterms:modified xsi:type="dcterms:W3CDTF">2012-05-26T10:20:00Z</dcterms:modified>
</cp:coreProperties>
</file>