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293" w:rsidP="00FA5293">
      <w:pPr>
        <w:pStyle w:val="Title"/>
      </w:pPr>
      <w:r>
        <w:fldChar w:fldCharType="begin"/>
      </w:r>
      <w:r>
        <w:instrText xml:space="preserve"> TITLE   \* MERGEFORMAT </w:instrText>
      </w:r>
      <w:r>
        <w:fldChar w:fldCharType="separate"/>
      </w:r>
      <w:r>
        <w:t>SITHCCC001A Organise and prepare food</w:t>
      </w:r>
      <w:r>
        <w:fldChar w:fldCharType="end"/>
      </w:r>
    </w:p>
    <w:p w:rsidR="00FA5293" w:rsidP="00FA5293">
      <w:pPr>
        <w:pStyle w:val="Version"/>
        <w:sectPr w:rsidSect="00CF1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A27" w:rsidP="00CF1A27">
      <w:pPr>
        <w:pStyle w:val="SuperHeading"/>
      </w:pPr>
      <w:r w:rsidRPr="00CF1A27">
        <w:t>SITHCCC001A Organise and prepare food</w:t>
      </w:r>
    </w:p>
    <w:p w:rsidR="00000000" w:rsidRPr="00CF1A27" w:rsidP="00CF1A27">
      <w:pPr>
        <w:pStyle w:val="Heading1"/>
      </w:pPr>
      <w:bookmarkStart w:id="1" w:name="O_319734"/>
      <w:bookmarkEnd w:id="1"/>
      <w:r w:rsidRPr="00CF1A27">
        <w:t>Modification History</w:t>
      </w:r>
    </w:p>
    <w:p w:rsidR="00000000" w:rsidRPr="00CF1A27" w:rsidP="00CF1A27">
      <w:pPr>
        <w:pStyle w:val="BodyText"/>
      </w:pPr>
      <w:r w:rsidRPr="00CF1A27">
        <w:t>Not applicable.</w:t>
      </w:r>
    </w:p>
    <w:p w:rsidR="00000000" w:rsidRPr="00CF1A27" w:rsidP="00CF1A27">
      <w:pPr>
        <w:pStyle w:val="AllowPageBreak"/>
      </w:pPr>
    </w:p>
    <w:p w:rsidR="00000000" w:rsidRPr="00CF1A27" w:rsidP="00CF1A27">
      <w:pPr>
        <w:pStyle w:val="Heading1"/>
      </w:pPr>
      <w:bookmarkStart w:id="2" w:name="O_319733"/>
      <w:bookmarkEnd w:id="2"/>
      <w:r w:rsidRPr="00CF1A27">
        <w:t>Unit Descriptor</w:t>
      </w:r>
    </w:p>
    <w:p w:rsidR="00000000" w:rsidRPr="00CF1A27" w:rsidP="00CF1A27">
      <w:pPr>
        <w:pStyle w:val="BodyText"/>
      </w:pPr>
      <w:r w:rsidRPr="00CF1A27">
        <w:t>This unit describes the performance outcomes, skills and knowledge required to organise and prepare a variety of foods for the k</w:t>
      </w:r>
      <w:r w:rsidRPr="00CF1A27">
        <w:t>itchen of a hospitality or catering operation. It focuses on general food preparation techniques.</w:t>
      </w:r>
    </w:p>
    <w:p w:rsidR="00000000" w:rsidRPr="00CF1A27" w:rsidP="00CF1A27">
      <w:pPr>
        <w:pStyle w:val="BodyText"/>
      </w:pPr>
      <w:r w:rsidRPr="00CF1A27">
        <w:t>The term organising and preparing food is also referred to as mise en place and includes basic preparation prior to serving food, which may involve cooking co</w:t>
      </w:r>
      <w:r w:rsidRPr="00CF1A27">
        <w:t>mponents of a dish but does not include the actual presentation.</w:t>
      </w:r>
    </w:p>
    <w:p w:rsidR="00000000" w:rsidRPr="00CF1A27" w:rsidP="00CF1A27">
      <w:pPr>
        <w:pStyle w:val="BodyText"/>
      </w:pPr>
      <w:r w:rsidRPr="00CF1A27">
        <w:t>No licensing, legislative, regulatory or certification requirements apply to this unit at the time of endorsement.</w:t>
      </w:r>
    </w:p>
    <w:p w:rsidR="00000000" w:rsidRPr="00CF1A27" w:rsidP="00CF1A27">
      <w:pPr>
        <w:pStyle w:val="AllowPageBreak"/>
      </w:pPr>
    </w:p>
    <w:p w:rsidR="00000000" w:rsidRPr="00CF1A27" w:rsidP="00CF1A27">
      <w:pPr>
        <w:pStyle w:val="Heading1"/>
      </w:pPr>
      <w:bookmarkStart w:id="3" w:name="O_319732"/>
      <w:bookmarkEnd w:id="3"/>
      <w:r w:rsidRPr="00CF1A27">
        <w:t>Application of the Unit</w:t>
      </w:r>
    </w:p>
    <w:p w:rsidR="00000000" w:rsidRPr="00CF1A27" w:rsidP="00CF1A27">
      <w:pPr>
        <w:pStyle w:val="BodyText"/>
      </w:pPr>
      <w:r w:rsidRPr="00CF1A27">
        <w:t>This unit applies to hospitality an</w:t>
      </w:r>
      <w:r w:rsidRPr="00CF1A27">
        <w:t>d catering operations where food is prepared and served, and may include the preparation of food for Asian cuisines.</w:t>
      </w:r>
    </w:p>
    <w:p w:rsidR="00000000" w:rsidRPr="00CF1A27" w:rsidP="00CF1A27">
      <w:pPr>
        <w:pStyle w:val="BodyText"/>
      </w:pPr>
      <w:r w:rsidRPr="00CF1A27">
        <w:t>Those undertaking this role work under supervision and usually as part of a team.</w:t>
      </w:r>
    </w:p>
    <w:p w:rsidR="00000000" w:rsidRPr="00CF1A27" w:rsidP="00CF1A27">
      <w:pPr>
        <w:pStyle w:val="AllowPageBreak"/>
      </w:pPr>
    </w:p>
    <w:p w:rsidR="00000000" w:rsidRPr="00CF1A27" w:rsidP="00CF1A27">
      <w:pPr>
        <w:pStyle w:val="Heading1"/>
      </w:pPr>
      <w:bookmarkStart w:id="4" w:name="O_319731"/>
      <w:bookmarkEnd w:id="4"/>
      <w:r w:rsidRPr="00CF1A27">
        <w:t>Licensing/Regulatory Information</w:t>
      </w:r>
    </w:p>
    <w:p w:rsidR="00000000" w:rsidRPr="00CF1A27" w:rsidP="00CF1A27">
      <w:pPr>
        <w:pStyle w:val="BodyText"/>
      </w:pPr>
      <w:r w:rsidRPr="00CF1A27">
        <w:t>Refer to Unit Descriptor</w:t>
      </w:r>
    </w:p>
    <w:p w:rsidR="00000000" w:rsidRPr="00CF1A27" w:rsidP="00CF1A27">
      <w:pPr>
        <w:pStyle w:val="AllowPageBreak"/>
      </w:pPr>
    </w:p>
    <w:p w:rsidR="00000000" w:rsidRPr="00CF1A27" w:rsidP="00CF1A27">
      <w:pPr>
        <w:pStyle w:val="Heading1"/>
      </w:pPr>
      <w:bookmarkStart w:id="5" w:name="O_319730"/>
      <w:bookmarkEnd w:id="5"/>
      <w:r w:rsidRPr="00CF1A27">
        <w:t>Pre-Requisites</w:t>
      </w:r>
    </w:p>
    <w:p w:rsidR="00000000" w:rsidRPr="00CF1A27" w:rsidP="00CF1A27">
      <w:pPr>
        <w:pStyle w:val="BodyText"/>
      </w:pPr>
      <w:r w:rsidRPr="00CF1A27">
        <w:t>This unit must be assessed after the following prerequisite unit:</w:t>
      </w:r>
    </w:p>
    <w:p w:rsidR="00000000" w:rsidRPr="00CF1A27" w:rsidP="00CF1A27">
      <w:pPr>
        <w:pStyle w:val="BodyText"/>
      </w:pPr>
      <w:r w:rsidRPr="00CF1A27">
        <w:t>SITXOHS002A Follow workplace hygiene procedures.</w:t>
      </w:r>
    </w:p>
    <w:p w:rsidR="00000000" w:rsidRPr="00CF1A27" w:rsidP="00CF1A27">
      <w:pPr>
        <w:pStyle w:val="AllowPageBreak"/>
      </w:pPr>
    </w:p>
    <w:p w:rsidR="00000000" w:rsidRPr="00CF1A27" w:rsidP="00CF1A27">
      <w:pPr>
        <w:pStyle w:val="Heading1"/>
      </w:pPr>
      <w:bookmarkStart w:id="6" w:name="O_319723"/>
      <w:bookmarkEnd w:id="6"/>
      <w:r w:rsidRPr="00CF1A27">
        <w:t>Employability Skills Information</w:t>
      </w:r>
    </w:p>
    <w:p w:rsidR="00000000" w:rsidRPr="00CF1A27" w:rsidP="00CF1A27">
      <w:pPr>
        <w:pStyle w:val="BodyText"/>
      </w:pPr>
      <w:r w:rsidRPr="00CF1A27">
        <w:t>The required outcomes described in</w:t>
      </w:r>
      <w:r w:rsidRPr="00CF1A27">
        <w:t xml:space="preserve"> this unit of competency contain applicable facets of employability skills. The Employability Skills Summary of the qualification in which this unit is packaged will assist in identifying employability skills requirements.</w:t>
      </w:r>
    </w:p>
    <w:p w:rsidR="00000000" w:rsidRPr="00CF1A27" w:rsidP="00CF1A27">
      <w:pPr>
        <w:pStyle w:val="AllowPageBreak"/>
      </w:pPr>
    </w:p>
    <w:p w:rsidR="00000000" w:rsidRPr="00CF1A27" w:rsidP="00CF1A27">
      <w:pPr>
        <w:pStyle w:val="Heading1"/>
      </w:pPr>
      <w:bookmarkStart w:id="7" w:name="O_319729"/>
      <w:bookmarkEnd w:id="7"/>
      <w:r w:rsidRPr="00CF1A27">
        <w:t>Elements and Performance Criteria Pre-Content</w:t>
      </w:r>
    </w:p>
    <w:p w:rsidR="00000000" w:rsidRPr="00CF1A27" w:rsidP="00CF1A27">
      <w:pPr>
        <w:pStyle w:val="BodyText"/>
      </w:pPr>
      <w:r w:rsidRPr="00CF1A27">
        <w:t>Elements describe the essential outcomes of a unit of competency.</w:t>
      </w:r>
    </w:p>
    <w:p w:rsidR="00000000" w:rsidRPr="00CF1A27" w:rsidP="00CF1A27">
      <w:pPr>
        <w:pStyle w:val="BodyText"/>
      </w:pPr>
      <w:r w:rsidRPr="00CF1A27">
        <w:t xml:space="preserve">Performance criteria describe the required performance needed to demonstrate achievement of the element. Where </w:t>
      </w:r>
      <w:r w:rsidRPr="00CF1A27">
        <w:rPr>
          <w:rStyle w:val="SpecialBold"/>
        </w:rPr>
        <w:t xml:space="preserve">bold italicised </w:t>
      </w:r>
      <w:r w:rsidRPr="00CF1A27">
        <w:t>text is used, fur</w:t>
      </w:r>
      <w:r w:rsidRPr="00CF1A27">
        <w:t>ther information is detailed in the required skills and knowledge and/or the range statement. Assessment of performance is to be consistent with the evidence guide.</w:t>
      </w:r>
    </w:p>
    <w:p w:rsidR="00000000" w:rsidRPr="00CF1A27" w:rsidP="00CF1A27">
      <w:pPr>
        <w:pStyle w:val="AllowPageBreak"/>
      </w:pPr>
    </w:p>
    <w:p w:rsidR="00000000" w:rsidRPr="00CF1A27" w:rsidP="00CF1A27">
      <w:pPr>
        <w:pStyle w:val="Heading1"/>
      </w:pPr>
      <w:bookmarkStart w:id="8" w:name="O_319735"/>
      <w:bookmarkEnd w:id="8"/>
      <w:r w:rsidRPr="00CF1A2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529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Elements and Performance Criteria</w:t>
            </w:r>
          </w:p>
        </w:tc>
      </w:tr>
      <w:tr w:rsidTr="00FA529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Performance Criteria</w:t>
            </w:r>
          </w:p>
        </w:tc>
      </w:tr>
      <w:tr w:rsidTr="00FA529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1</w:t>
            </w:r>
          </w:p>
        </w:tc>
        <w:tc>
          <w:tcPr>
            <w:tcW w:w="30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and use equipment.</w:t>
            </w: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1.1</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 xml:space="preserve">Select </w:t>
            </w:r>
            <w:r w:rsidRPr="00CF1A27">
              <w:rPr>
                <w:rStyle w:val="SpecialBold"/>
              </w:rPr>
              <w:t xml:space="preserve">equipment </w:t>
            </w:r>
            <w:r w:rsidRPr="00CF1A27">
              <w:t>of the correct type and size for the job, and ensure that it is clean, safely assembled and ready before use.</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1.2</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Use equipment correctly, safely and hygienically.</w:t>
            </w:r>
          </w:p>
        </w:tc>
      </w:tr>
      <w:tr w:rsidTr="00FA529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2</w:t>
            </w:r>
          </w:p>
        </w:tc>
        <w:tc>
          <w:tcPr>
            <w:tcW w:w="30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Assemble and prepare ingredients for menu items.</w:t>
            </w: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2.1</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Identify ingredients according to standard recipes, recipe cards or enterprise requirements.</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2.2</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Assemble ingredients according to the correct quantity, type and quality required.</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2.3</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ingredients in the required form and timeframe.</w:t>
            </w:r>
          </w:p>
        </w:tc>
      </w:tr>
      <w:tr w:rsidTr="00FA529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3</w:t>
            </w:r>
          </w:p>
        </w:tc>
        <w:tc>
          <w:tcPr>
            <w:tcW w:w="30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dairy, dry goods, fruits and vegetables.</w:t>
            </w: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3.1</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food according to correct weight, amount and number of portions.</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3.2</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Clean, peel and prepare vegetables and fruit as r</w:t>
            </w:r>
            <w:r w:rsidRPr="00CF1A27">
              <w:t>equired for menu items.</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3.3</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dairy products as required for menu items, ensuring they are correctly handled.</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3.4</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Measure, sift where appropriate, and use dry goods as required for menu items.</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3.5</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 xml:space="preserve">Prepare general </w:t>
            </w:r>
            <w:r w:rsidRPr="00CF1A27">
              <w:rPr>
                <w:rStyle w:val="SpecialBold"/>
              </w:rPr>
              <w:t xml:space="preserve">food items </w:t>
            </w:r>
            <w:r w:rsidRPr="00CF1A27">
              <w:t>as required for m</w:t>
            </w:r>
            <w:r w:rsidRPr="00CF1A27">
              <w:t>enus.</w:t>
            </w:r>
          </w:p>
        </w:tc>
      </w:tr>
      <w:tr w:rsidTr="00FA529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4</w:t>
            </w:r>
          </w:p>
        </w:tc>
        <w:tc>
          <w:tcPr>
            <w:tcW w:w="3000" w:type="dxa"/>
            <w:vMerge w:val="restart"/>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meat, seafood and poultry.</w:t>
            </w: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4.1</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Prepare and portion meat, seafood and poultry accurately, according to size, weight and required menu items.</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4.2</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Trim, mince or slice and prepare meat correctly.</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4.3</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Clean, prepare and fillet fish and seafood correctly.</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4.4</w:t>
            </w:r>
          </w:p>
        </w:tc>
        <w:tc>
          <w:tcPr>
            <w:tcW w:w="51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Trim and prepare poultry correctly.</w:t>
            </w:r>
          </w:p>
        </w:tc>
      </w:tr>
      <w:tr w:rsidTr="00FA529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4.5</w:t>
            </w:r>
          </w:p>
        </w:tc>
        <w:tc>
          <w:tcPr>
            <w:tcW w:w="51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Store meat, seafood and poultry hygienically.</w:t>
            </w:r>
          </w:p>
        </w:tc>
      </w:tr>
    </w:tbl>
    <w:p w:rsidR="00000000" w:rsidRPr="00CF1A27" w:rsidP="00CF1A27">
      <w:pPr>
        <w:pStyle w:val="BodyText"/>
      </w:pPr>
    </w:p>
    <w:p w:rsidR="00000000" w:rsidRPr="00CF1A27" w:rsidP="00CF1A27">
      <w:pPr>
        <w:pStyle w:val="AllowPageBreak"/>
      </w:pPr>
    </w:p>
    <w:p w:rsidR="00000000" w:rsidRPr="00CF1A27" w:rsidP="00CF1A27">
      <w:pPr>
        <w:pStyle w:val="Heading1"/>
      </w:pPr>
      <w:bookmarkStart w:id="9" w:name="O_319728"/>
      <w:bookmarkEnd w:id="9"/>
      <w:r w:rsidRPr="00CF1A27">
        <w:t>Required Skills and Knowledge</w:t>
      </w:r>
    </w:p>
    <w:tbl>
      <w:tblPr>
        <w:tblW w:w="0" w:type="auto"/>
        <w:tblLayout w:type="fixed"/>
        <w:tblCellMar>
          <w:left w:w="62" w:type="dxa"/>
          <w:right w:w="62" w:type="dxa"/>
        </w:tblCellMar>
        <w:tblLook w:val="0000"/>
      </w:tblPr>
      <w:tblGrid>
        <w:gridCol w:w="9000"/>
      </w:tblGrid>
      <w:tr w:rsidTr="00FA529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This section describes the essential skills and knowledge and their level, required for this unit.</w:t>
            </w:r>
          </w:p>
        </w:tc>
      </w:tr>
      <w:tr w:rsidTr="00FA529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The following skills must be assessed as part of this unit:    </w:t>
            </w:r>
          </w:p>
          <w:p w:rsidR="00000000" w:rsidRPr="00CF1A27" w:rsidP="00CF1A27">
            <w:pPr>
              <w:pStyle w:val="BodyText"/>
            </w:pPr>
            <w:r w:rsidRPr="00CF1A27">
              <w:t xml:space="preserve">logical and time-efficient work flow </w:t>
            </w:r>
          </w:p>
          <w:p w:rsidR="00000000" w:rsidRPr="00CF1A27" w:rsidP="00CF1A27">
            <w:pPr>
              <w:pStyle w:val="BodyText"/>
            </w:pPr>
            <w:r w:rsidRPr="00CF1A27">
              <w:t xml:space="preserve">knife handling techniques </w:t>
            </w:r>
          </w:p>
          <w:p w:rsidR="00000000" w:rsidRPr="00CF1A27" w:rsidP="00CF1A27">
            <w:pPr>
              <w:pStyle w:val="BodyText"/>
            </w:pPr>
            <w:r w:rsidRPr="00CF1A27">
              <w:t xml:space="preserve">cutting techniques for foods as required for menu items </w:t>
            </w:r>
          </w:p>
          <w:p w:rsidR="00000000" w:rsidRPr="00CF1A27" w:rsidP="00CF1A27">
            <w:pPr>
              <w:pStyle w:val="BodyText"/>
            </w:pPr>
            <w:r w:rsidRPr="00CF1A27">
              <w:t xml:space="preserve">hygienic handling of food and equipment according to local, state or territory and national regulatory requirements </w:t>
            </w:r>
          </w:p>
          <w:p w:rsidR="00000000" w:rsidRPr="00CF1A27" w:rsidP="00CF1A27">
            <w:pPr>
              <w:pStyle w:val="BodyText"/>
            </w:pPr>
            <w:r w:rsidRPr="00CF1A27">
              <w:t xml:space="preserve">safe work practices according to OHS principles and procedures, particularly with </w:t>
            </w:r>
            <w:r w:rsidRPr="00CF1A27">
              <w:t xml:space="preserve">regard to using knives </w:t>
            </w:r>
          </w:p>
          <w:p w:rsidR="00000000" w:rsidRPr="00CF1A27" w:rsidP="00CF1A27">
            <w:pPr>
              <w:pStyle w:val="BodyText"/>
            </w:pPr>
            <w:r w:rsidRPr="00CF1A27">
              <w:t xml:space="preserve">waste minimisation techniques and environmental considerations in relation to food preparation </w:t>
            </w:r>
          </w:p>
          <w:p w:rsidR="00000000" w:rsidRPr="00CF1A27" w:rsidP="00CF1A27">
            <w:pPr>
              <w:pStyle w:val="BodyText"/>
            </w:pPr>
            <w:r w:rsidRPr="00CF1A27">
              <w:t xml:space="preserve">problem-solving skills to deal with minor problems, such as shortages of ingredients </w:t>
            </w:r>
          </w:p>
          <w:p w:rsidR="00000000" w:rsidRPr="00CF1A27" w:rsidP="00CF1A27">
            <w:pPr>
              <w:pStyle w:val="BodyText"/>
            </w:pPr>
            <w:r w:rsidRPr="00CF1A27">
              <w:t>literacy skills to read recipes, menus, instructio</w:t>
            </w:r>
            <w:r w:rsidRPr="00CF1A27">
              <w:t xml:space="preserve">ns and orders </w:t>
            </w:r>
          </w:p>
          <w:p w:rsidR="00000000" w:rsidP="00CF1A27">
            <w:pPr>
              <w:pStyle w:val="BodyText"/>
              <w:rPr>
                <w:lang w:val="en-NZ"/>
              </w:rPr>
            </w:pPr>
            <w:r w:rsidRPr="00CF1A27">
              <w:t>numeracy skills to calculate portions, and weigh and measure quantities of ingredients.</w:t>
            </w:r>
          </w:p>
        </w:tc>
      </w:tr>
      <w:tr w:rsidTr="00FA529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The following knowledge must be assessed as part of this unit:    </w:t>
            </w:r>
          </w:p>
          <w:p w:rsidR="00000000" w:rsidRPr="00CF1A27" w:rsidP="00CF1A27">
            <w:pPr>
              <w:pStyle w:val="BodyText"/>
            </w:pPr>
            <w:r w:rsidRPr="00CF1A27">
              <w:t>uses and characteristics of basic food products and types of menus as required.</w:t>
            </w:r>
          </w:p>
        </w:tc>
      </w:tr>
    </w:tbl>
    <w:p w:rsidR="00000000" w:rsidRPr="00CF1A27" w:rsidP="00CF1A27">
      <w:pPr>
        <w:pStyle w:val="BodyText"/>
      </w:pPr>
    </w:p>
    <w:p w:rsidR="00000000" w:rsidRPr="00CF1A27" w:rsidP="00CF1A27">
      <w:pPr>
        <w:pStyle w:val="AllowPageBreak"/>
      </w:pPr>
    </w:p>
    <w:p w:rsidR="00000000" w:rsidRPr="00CF1A27" w:rsidP="00CF1A27">
      <w:pPr>
        <w:pStyle w:val="Heading1"/>
      </w:pPr>
      <w:bookmarkStart w:id="10" w:name="O_319727"/>
      <w:bookmarkEnd w:id="10"/>
      <w:r w:rsidRPr="00CF1A27">
        <w:t>Evidence Guide</w:t>
      </w:r>
    </w:p>
    <w:tbl>
      <w:tblPr>
        <w:tblW w:w="0" w:type="auto"/>
        <w:tblLayout w:type="fixed"/>
        <w:tblCellMar>
          <w:left w:w="62" w:type="dxa"/>
          <w:right w:w="62" w:type="dxa"/>
        </w:tblCellMar>
        <w:tblLook w:val="0000"/>
      </w:tblPr>
      <w:tblGrid>
        <w:gridCol w:w="4500"/>
        <w:gridCol w:w="4500"/>
      </w:tblGrid>
      <w:tr w:rsidTr="00FA529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The evidence guide provides advice on assessment and must be read in conjunction with the performance criteria, required skills and knowledge, the range statement and the Assessment Guidelines for this Training Package.</w:t>
            </w: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Critical aspects for assessment and evidence required to demonstrate competency</w:t>
            </w:r>
          </w:p>
        </w:tc>
        <w:tc>
          <w:tcPr>
            <w:tcW w:w="45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Evidence of the following is essential:    </w:t>
            </w:r>
          </w:p>
          <w:p w:rsidR="00000000" w:rsidRPr="00CF1A27" w:rsidP="00CF1A27">
            <w:pPr>
              <w:pStyle w:val="BodyText"/>
            </w:pPr>
            <w:r w:rsidRPr="00CF1A27">
              <w:t xml:space="preserve">application of hygiene and safety principles and procedures </w:t>
            </w:r>
          </w:p>
          <w:p w:rsidR="00000000" w:rsidP="00CF1A27">
            <w:pPr>
              <w:pStyle w:val="BodyText"/>
              <w:rPr>
                <w:lang w:val="en-NZ"/>
              </w:rPr>
            </w:pPr>
            <w:r w:rsidRPr="00CF1A27">
              <w:t>ability to organise and prepare a wide variety of general food items wi</w:t>
            </w:r>
            <w:r w:rsidRPr="00CF1A27">
              <w:t>thin realistic workplace time constraints.</w:t>
            </w: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Assessment must ensure:    </w:t>
            </w:r>
          </w:p>
          <w:p w:rsidR="00000000" w:rsidRPr="00CF1A27" w:rsidP="00CF1A27">
            <w:pPr>
              <w:pStyle w:val="BodyText"/>
            </w:pPr>
            <w:r w:rsidRPr="00CF1A27">
              <w:t>demonstration of skills within normal operating conditions of a fully equipped commercial kitchen including industry-current equipme</w:t>
            </w:r>
            <w:r w:rsidRPr="00CF1A27">
              <w:t xml:space="preserve">nt </w:t>
            </w:r>
          </w:p>
          <w:p w:rsidR="00000000" w:rsidP="00CF1A27">
            <w:pPr>
              <w:pStyle w:val="BodyText"/>
              <w:rPr>
                <w:lang w:val="en-NZ"/>
              </w:rPr>
            </w:pPr>
            <w:r w:rsidRPr="00CF1A27">
              <w:t>industry-realistic ratios of kitchen staff to customers.</w:t>
            </w: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Methods of assessment</w:t>
            </w:r>
          </w:p>
        </w:tc>
        <w:tc>
          <w:tcPr>
            <w:tcW w:w="45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A range of assessment methods should be used to assess practical skills and knowledge. The following examples are appropriate for this unit:     </w:t>
            </w:r>
          </w:p>
          <w:p w:rsidR="00000000" w:rsidRPr="00CF1A27" w:rsidP="00CF1A27">
            <w:pPr>
              <w:pStyle w:val="BodyText"/>
            </w:pPr>
            <w:r w:rsidRPr="00CF1A27">
              <w:t xml:space="preserve">direct observation of the candidate preparing food </w:t>
            </w:r>
          </w:p>
          <w:p w:rsidR="00000000" w:rsidRPr="00CF1A27" w:rsidP="00CF1A27">
            <w:pPr>
              <w:pStyle w:val="BodyText"/>
            </w:pPr>
            <w:r w:rsidRPr="00CF1A27">
              <w:t xml:space="preserve">inspection of food items prepared by the candidate </w:t>
            </w:r>
          </w:p>
          <w:p w:rsidR="00000000" w:rsidRPr="00CF1A27" w:rsidP="00CF1A27">
            <w:pPr>
              <w:pStyle w:val="BodyText"/>
            </w:pPr>
            <w:r w:rsidRPr="00CF1A27">
              <w:t xml:space="preserve">written or oral questions to assess knowledge of preparation techniques for various food types </w:t>
            </w:r>
          </w:p>
          <w:p w:rsidR="00000000" w:rsidRPr="00CF1A27" w:rsidP="00CF1A27">
            <w:pPr>
              <w:pStyle w:val="BodyText"/>
            </w:pPr>
            <w:r w:rsidRPr="00CF1A27">
              <w:t>review of portfolios of evidence and third-party workpla</w:t>
            </w:r>
            <w:r w:rsidRPr="00CF1A27">
              <w:t>ce reports of on-the-job performance by the candidate.</w:t>
            </w:r>
          </w:p>
          <w:p w:rsidR="00000000" w:rsidRPr="00CF1A27" w:rsidP="00CF1A27">
            <w:pPr>
              <w:pStyle w:val="BodyText"/>
            </w:pPr>
            <w:r w:rsidRPr="00CF1A27">
              <w:t xml:space="preserve">Holistic assessment with other units relevant to the industry sector, workplace and job role is recommended, for example:    </w:t>
            </w:r>
          </w:p>
          <w:p w:rsidR="00000000" w:rsidRPr="00CF1A27" w:rsidP="00CF1A27">
            <w:pPr>
              <w:pStyle w:val="BodyText"/>
            </w:pPr>
            <w:r w:rsidRPr="00CF1A27">
              <w:t xml:space="preserve">SITHCCC002A Present food </w:t>
            </w:r>
          </w:p>
          <w:p w:rsidR="00000000" w:rsidP="00CF1A27">
            <w:pPr>
              <w:pStyle w:val="BodyText"/>
              <w:rPr>
                <w:lang w:val="en-NZ"/>
              </w:rPr>
            </w:pPr>
            <w:r w:rsidRPr="00CF1A27">
              <w:t>SITHCCC007A Prepare sandwiches.</w:t>
            </w: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Assessing emp</w:t>
            </w:r>
            <w:r w:rsidRPr="00CF1A27">
              <w:rPr>
                <w:rStyle w:val="SpecialBold"/>
              </w:rPr>
              <w:t>loyability skills</w:t>
            </w:r>
          </w:p>
        </w:tc>
        <w:tc>
          <w:tcPr>
            <w:tcW w:w="45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Employability skills are integral to effective performance in the workplace and are broadly consistent across industry sectors. How these skills are applied varies between occupations and qualifications due to the different work functions</w:t>
            </w:r>
            <w:r w:rsidRPr="00CF1A27">
              <w:t xml:space="preserve"> and contexts.</w:t>
            </w:r>
            <w:r w:rsidRPr="00CF1A27">
              <w:br/>
              <w:t>Employability skills embedded in this unit should be assessed holistically with other relevant units that make up the skill set or qualification and in the context of the job role.</w:t>
            </w:r>
          </w:p>
        </w:tc>
      </w:tr>
    </w:tbl>
    <w:p w:rsidR="00000000" w:rsidRPr="00CF1A27" w:rsidP="00CF1A27">
      <w:pPr>
        <w:pStyle w:val="BodyText"/>
      </w:pPr>
    </w:p>
    <w:p w:rsidR="00000000" w:rsidRPr="00CF1A27" w:rsidP="00CF1A27">
      <w:pPr>
        <w:pStyle w:val="AllowPageBreak"/>
      </w:pPr>
    </w:p>
    <w:p w:rsidR="00000000" w:rsidRPr="00CF1A27" w:rsidP="00CF1A27">
      <w:pPr>
        <w:pStyle w:val="Heading1"/>
      </w:pPr>
      <w:bookmarkStart w:id="11" w:name="O_319726"/>
      <w:bookmarkEnd w:id="11"/>
      <w:r w:rsidRPr="00CF1A27">
        <w:t>Range Statement</w:t>
      </w:r>
    </w:p>
    <w:tbl>
      <w:tblPr>
        <w:tblW w:w="0" w:type="auto"/>
        <w:tblLayout w:type="fixed"/>
        <w:tblCellMar>
          <w:left w:w="62" w:type="dxa"/>
          <w:right w:w="62" w:type="dxa"/>
        </w:tblCellMar>
        <w:tblLook w:val="0000"/>
      </w:tblPr>
      <w:tblGrid>
        <w:gridCol w:w="4500"/>
        <w:gridCol w:w="4500"/>
      </w:tblGrid>
      <w:tr w:rsidTr="00FA529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RANGE STATEMENT</w:t>
            </w:r>
          </w:p>
        </w:tc>
      </w:tr>
      <w:tr w:rsidTr="00FA529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t>The range statement relates to the unit of competency as a whole. It allows for different work environments and situations that may affect performance. Bold italicised wording in the performance criteria is detailed below.</w:t>
            </w:r>
          </w:p>
        </w:tc>
      </w:tr>
      <w:tr w:rsidTr="00FA529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Equipment</w:t>
            </w:r>
            <w:r w:rsidRPr="00CF1A27">
              <w:t xml:space="preserve"> may be mechanical </w:t>
            </w:r>
            <w:r w:rsidRPr="00CF1A27">
              <w:t>or power driven and must include:</w:t>
            </w:r>
          </w:p>
        </w:tc>
        <w:tc>
          <w:tcPr>
            <w:tcW w:w="45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knives, cleavers and utensils </w:t>
            </w:r>
          </w:p>
          <w:p w:rsidR="00000000" w:rsidRPr="00CF1A27" w:rsidP="00CF1A27">
            <w:pPr>
              <w:pStyle w:val="BodyText"/>
            </w:pPr>
            <w:r w:rsidRPr="00CF1A27">
              <w:t xml:space="preserve">food processors, blenders and mixers </w:t>
            </w:r>
          </w:p>
          <w:p w:rsidR="00000000" w:rsidRPr="00CF1A27" w:rsidP="00CF1A27">
            <w:pPr>
              <w:pStyle w:val="BodyText"/>
            </w:pPr>
            <w:r w:rsidRPr="00CF1A27">
              <w:t xml:space="preserve">slicers </w:t>
            </w:r>
          </w:p>
          <w:p w:rsidR="00000000" w:rsidRPr="00CF1A27" w:rsidP="00CF1A27">
            <w:pPr>
              <w:pStyle w:val="BodyText"/>
            </w:pPr>
            <w:r w:rsidRPr="00CF1A27">
              <w:t xml:space="preserve">grills or salamanders </w:t>
            </w:r>
          </w:p>
          <w:p w:rsidR="00000000" w:rsidRPr="00CF1A27" w:rsidP="00CF1A27">
            <w:pPr>
              <w:pStyle w:val="BodyText"/>
            </w:pPr>
            <w:r w:rsidRPr="00CF1A27">
              <w:t xml:space="preserve">fryers </w:t>
            </w:r>
          </w:p>
          <w:p w:rsidR="00000000" w:rsidP="00CF1A27">
            <w:pPr>
              <w:pStyle w:val="BodyText"/>
              <w:rPr>
                <w:lang w:val="en-NZ"/>
              </w:rPr>
            </w:pPr>
            <w:r w:rsidRPr="00CF1A27">
              <w:t>large fixed equipment, such as bains marie and fridges.</w:t>
            </w: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p>
        </w:tc>
      </w:tr>
      <w:tr w:rsidTr="00FA529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1A27">
            <w:pPr>
              <w:pStyle w:val="BodyText"/>
              <w:rPr>
                <w:lang w:val="en-NZ"/>
              </w:rPr>
            </w:pPr>
            <w:r w:rsidRPr="00CF1A27">
              <w:rPr>
                <w:rStyle w:val="SpecialBold"/>
              </w:rPr>
              <w:t>Food items</w:t>
            </w:r>
            <w:r w:rsidRPr="00CF1A27">
              <w:t xml:space="preserve"> to be prepared:</w:t>
            </w:r>
          </w:p>
        </w:tc>
        <w:tc>
          <w:tcPr>
            <w:tcW w:w="4500" w:type="dxa"/>
            <w:tcBorders>
              <w:top w:val="nil"/>
              <w:left w:val="nil"/>
              <w:bottom w:val="nil"/>
              <w:right w:val="nil"/>
            </w:tcBorders>
            <w:tcMar>
              <w:top w:w="0" w:type="dxa"/>
              <w:left w:w="62" w:type="dxa"/>
              <w:bottom w:w="0" w:type="dxa"/>
              <w:right w:w="62" w:type="dxa"/>
            </w:tcMar>
          </w:tcPr>
          <w:p w:rsidR="00000000" w:rsidRPr="00CF1A27" w:rsidP="00CF1A27">
            <w:pPr>
              <w:pStyle w:val="BodyText"/>
            </w:pPr>
            <w:r w:rsidRPr="00CF1A27">
              <w:t xml:space="preserve">must include the use of:   </w:t>
            </w:r>
          </w:p>
          <w:p w:rsidR="00000000" w:rsidRPr="00CF1A27" w:rsidP="00CF1A27">
            <w:pPr>
              <w:pStyle w:val="BodyText"/>
            </w:pPr>
            <w:r w:rsidRPr="00CF1A27">
              <w:t xml:space="preserve">dairy products, including milk, yoghurt, cheeses and alternatives, e.g. soy products   </w:t>
            </w:r>
          </w:p>
          <w:p w:rsidR="00000000" w:rsidRPr="00CF1A27" w:rsidP="00CF1A27">
            <w:pPr>
              <w:pStyle w:val="BodyText"/>
            </w:pPr>
            <w:r w:rsidRPr="00CF1A27">
              <w:t xml:space="preserve">dry goods, such as flours, sugars, pastas and rice   </w:t>
            </w:r>
          </w:p>
          <w:p w:rsidR="00000000" w:rsidRPr="00CF1A27" w:rsidP="00CF1A27">
            <w:pPr>
              <w:pStyle w:val="BodyText"/>
            </w:pPr>
            <w:r w:rsidRPr="00CF1A27">
              <w:t xml:space="preserve">standard fruit and vegetables   </w:t>
            </w:r>
          </w:p>
          <w:p w:rsidR="00000000" w:rsidRPr="00CF1A27" w:rsidP="00CF1A27">
            <w:pPr>
              <w:pStyle w:val="BodyText"/>
            </w:pPr>
            <w:r w:rsidRPr="00CF1A27">
              <w:t>general food items such as sauces, condiments and fla</w:t>
            </w:r>
            <w:r w:rsidRPr="00CF1A27">
              <w:t xml:space="preserve">vourings, garnishes, coatings and batters   </w:t>
            </w:r>
          </w:p>
          <w:p w:rsidR="00000000" w:rsidRPr="00CF1A27" w:rsidP="00CF1A27">
            <w:pPr>
              <w:pStyle w:val="BodyText"/>
            </w:pPr>
            <w:r w:rsidRPr="00CF1A27">
              <w:t>meat, seafood and poultry that may be fresh, frozen, preserved or pre-prepared</w:t>
            </w:r>
          </w:p>
          <w:p w:rsidR="00000000" w:rsidRPr="00CF1A27" w:rsidP="00CF1A27">
            <w:pPr>
              <w:pStyle w:val="BodyText"/>
            </w:pPr>
          </w:p>
          <w:p w:rsidR="00000000" w:rsidRPr="00CF1A27" w:rsidP="00CF1A27">
            <w:pPr>
              <w:pStyle w:val="BodyText"/>
            </w:pPr>
            <w:r w:rsidRPr="00CF1A27">
              <w:t xml:space="preserve">may include the use of:     </w:t>
            </w:r>
          </w:p>
          <w:p w:rsidR="00000000" w:rsidRPr="00CF1A27" w:rsidP="00CF1A27">
            <w:pPr>
              <w:pStyle w:val="BodyText"/>
            </w:pPr>
            <w:r w:rsidRPr="00CF1A27">
              <w:t>meat products such as standard cuts, sausages, hams and salami.</w:t>
            </w:r>
          </w:p>
        </w:tc>
      </w:tr>
    </w:tbl>
    <w:p w:rsidR="00000000" w:rsidRPr="00CF1A27" w:rsidP="00CF1A27">
      <w:pPr>
        <w:pStyle w:val="BodyText"/>
      </w:pPr>
    </w:p>
    <w:p w:rsidR="00000000" w:rsidRPr="00CF1A27" w:rsidP="00CF1A27">
      <w:pPr>
        <w:pStyle w:val="AllowPageBreak"/>
      </w:pPr>
    </w:p>
    <w:p w:rsidR="00000000" w:rsidRPr="00CF1A27" w:rsidP="00CF1A27">
      <w:pPr>
        <w:pStyle w:val="Heading1"/>
      </w:pPr>
      <w:bookmarkStart w:id="12" w:name="O_319725"/>
      <w:bookmarkEnd w:id="12"/>
      <w:r w:rsidRPr="00CF1A27">
        <w:t>Unit Sector(s)</w:t>
      </w:r>
    </w:p>
    <w:p w:rsidR="00000000" w:rsidRPr="00CF1A27" w:rsidP="00CF1A27">
      <w:pPr>
        <w:pStyle w:val="BodyText"/>
      </w:pPr>
      <w:r w:rsidRPr="00CF1A27">
        <w:t>Hosp</w:t>
      </w:r>
      <w:r w:rsidRPr="00CF1A27">
        <w:t>itality</w:t>
      </w:r>
    </w:p>
    <w:p w:rsidR="00000000" w:rsidRPr="00CF1A27" w:rsidP="00CF1A27">
      <w:pPr>
        <w:pStyle w:val="AllowPageBreak"/>
      </w:pPr>
    </w:p>
    <w:p w:rsidR="00000000" w:rsidRPr="00CF1A27" w:rsidP="00CF1A27">
      <w:pPr>
        <w:pStyle w:val="Heading1"/>
      </w:pPr>
      <w:bookmarkStart w:id="13" w:name="O_319724"/>
      <w:bookmarkEnd w:id="13"/>
      <w:r w:rsidRPr="00CF1A27">
        <w:t>Competency field</w:t>
      </w:r>
    </w:p>
    <w:p w:rsidR="00000000" w:rsidRPr="00CF1A27" w:rsidP="00CF1A27">
      <w:pPr>
        <w:pStyle w:val="BodyText"/>
      </w:pPr>
      <w:r w:rsidRPr="00CF1A27">
        <w:t>Commercial Cookery and Catering</w:t>
      </w:r>
    </w:p>
    <w:p w:rsidR="00000000" w:rsidRPr="00CF1A27" w:rsidP="00CF1A27"/>
    <w:sectPr w:rsidSect="00CF1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293" w:rsidP="00FA5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93" w:rsidP="00CF1A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A5293" w:rsidP="00CF1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A5293" w:rsidP="00CF1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5293" w:rsidP="00FA52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293" w:rsidP="00CF1A27">
    <w:pPr>
      <w:pStyle w:val="Header"/>
      <w:framePr w:wrap="around"/>
    </w:pPr>
    <w:r>
      <w:fldChar w:fldCharType="begin"/>
    </w:r>
    <w:r>
      <w:instrText xml:space="preserve"> TITLE   \* MERGEFORMAT </w:instrText>
    </w:r>
    <w:r>
      <w:fldChar w:fldCharType="separate"/>
    </w:r>
    <w:r>
      <w:t>SITHCCC001A Organise and prepare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A5293" w:rsidP="00CF1A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A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A27"/>
    <w:pPr>
      <w:spacing w:before="360" w:after="60"/>
      <w:outlineLvl w:val="0"/>
    </w:pPr>
    <w:rPr>
      <w:sz w:val="32"/>
    </w:rPr>
  </w:style>
  <w:style w:type="paragraph" w:styleId="Heading2">
    <w:name w:val="heading 2"/>
    <w:basedOn w:val="HeadingBase"/>
    <w:next w:val="BodyText"/>
    <w:link w:val="Heading2Char"/>
    <w:qFormat/>
    <w:rsid w:val="00CF1A27"/>
    <w:pPr>
      <w:keepLines/>
      <w:spacing w:before="240" w:after="120"/>
      <w:outlineLvl w:val="1"/>
    </w:pPr>
    <w:rPr>
      <w:sz w:val="28"/>
      <w:szCs w:val="40"/>
    </w:rPr>
  </w:style>
  <w:style w:type="paragraph" w:styleId="Heading3">
    <w:name w:val="heading 3"/>
    <w:basedOn w:val="HeadingBase"/>
    <w:next w:val="BodyText"/>
    <w:link w:val="Heading3Char"/>
    <w:qFormat/>
    <w:rsid w:val="00CF1A27"/>
    <w:pPr>
      <w:spacing w:before="180" w:after="120"/>
      <w:outlineLvl w:val="2"/>
    </w:pPr>
    <w:rPr>
      <w:spacing w:val="-10"/>
      <w:kern w:val="32"/>
    </w:rPr>
  </w:style>
  <w:style w:type="paragraph" w:styleId="Heading4">
    <w:name w:val="heading 4"/>
    <w:basedOn w:val="HeadingBase"/>
    <w:next w:val="BodyText"/>
    <w:link w:val="Heading4Char"/>
    <w:qFormat/>
    <w:rsid w:val="00CF1A27"/>
    <w:pPr>
      <w:spacing w:before="160" w:after="120"/>
      <w:outlineLvl w:val="3"/>
    </w:pPr>
    <w:rPr>
      <w:sz w:val="22"/>
    </w:rPr>
  </w:style>
  <w:style w:type="paragraph" w:styleId="Heading5">
    <w:name w:val="heading 5"/>
    <w:basedOn w:val="HeadingBase"/>
    <w:next w:val="Normal"/>
    <w:link w:val="Heading5Char"/>
    <w:qFormat/>
    <w:rsid w:val="00CF1A27"/>
    <w:pPr>
      <w:spacing w:before="80"/>
      <w:outlineLvl w:val="4"/>
    </w:pPr>
    <w:rPr>
      <w:color w:val="918585"/>
      <w:sz w:val="20"/>
    </w:rPr>
  </w:style>
  <w:style w:type="paragraph" w:styleId="Heading6">
    <w:name w:val="heading 6"/>
    <w:basedOn w:val="HeadingBase"/>
    <w:next w:val="Normal"/>
    <w:link w:val="Heading6Char"/>
    <w:qFormat/>
    <w:rsid w:val="00CF1A27"/>
    <w:pPr>
      <w:spacing w:before="60"/>
      <w:outlineLvl w:val="5"/>
    </w:pPr>
    <w:rPr>
      <w:color w:val="918585"/>
      <w:sz w:val="20"/>
    </w:rPr>
  </w:style>
  <w:style w:type="paragraph" w:styleId="Heading7">
    <w:name w:val="heading 7"/>
    <w:basedOn w:val="Normal"/>
    <w:next w:val="Normal"/>
    <w:link w:val="Heading7Char"/>
    <w:qFormat/>
    <w:rsid w:val="00CF1A27"/>
    <w:pPr>
      <w:ind w:left="720"/>
      <w:outlineLvl w:val="6"/>
    </w:pPr>
    <w:rPr>
      <w:i/>
    </w:rPr>
  </w:style>
  <w:style w:type="paragraph" w:styleId="Heading8">
    <w:name w:val="heading 8"/>
    <w:basedOn w:val="Normal"/>
    <w:next w:val="Normal"/>
    <w:link w:val="Heading8Char"/>
    <w:qFormat/>
    <w:rsid w:val="00CF1A27"/>
    <w:pPr>
      <w:ind w:left="720"/>
      <w:outlineLvl w:val="7"/>
    </w:pPr>
    <w:rPr>
      <w:i/>
    </w:rPr>
  </w:style>
  <w:style w:type="paragraph" w:styleId="Heading9">
    <w:name w:val="heading 9"/>
    <w:basedOn w:val="Normal"/>
    <w:next w:val="Normal"/>
    <w:link w:val="Heading9Char"/>
    <w:qFormat/>
    <w:rsid w:val="00CF1A27"/>
    <w:pPr>
      <w:ind w:left="720"/>
      <w:outlineLvl w:val="8"/>
    </w:pPr>
    <w:rPr>
      <w:i/>
    </w:rPr>
  </w:style>
  <w:style w:type="character" w:default="1" w:styleId="DefaultParagraphFont">
    <w:name w:val="Default Paragraph Font"/>
    <w:uiPriority w:val="1"/>
    <w:unhideWhenUsed/>
    <w:rsid w:val="00CF1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A27"/>
  </w:style>
  <w:style w:type="character" w:customStyle="1" w:styleId="Heading1Char">
    <w:name w:val="Heading 1 Char"/>
    <w:basedOn w:val="DefaultParagraphFont"/>
    <w:link w:val="Heading1"/>
    <w:rsid w:val="00CF1A27"/>
    <w:rPr>
      <w:rFonts w:ascii="Times New Roman" w:eastAsia="Times New Roman" w:hAnsi="Times New Roman" w:cs="Times New Roman"/>
      <w:b/>
      <w:sz w:val="32"/>
      <w:szCs w:val="20"/>
      <w:lang w:eastAsia="en-US"/>
    </w:rPr>
  </w:style>
  <w:style w:type="paragraph" w:styleId="BodyText">
    <w:name w:val="Body Text"/>
    <w:basedOn w:val="Normal"/>
    <w:link w:val="BodyTextChar"/>
    <w:rsid w:val="00CF1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A27"/>
    <w:rPr>
      <w:rFonts w:ascii="Times New Roman" w:eastAsia="Times New Roman" w:hAnsi="Times New Roman" w:cs="Times New Roman"/>
      <w:sz w:val="24"/>
      <w:lang w:val="en-US" w:eastAsia="en-US"/>
    </w:rPr>
  </w:style>
  <w:style w:type="paragraph" w:styleId="Footer">
    <w:name w:val="footer"/>
    <w:basedOn w:val="Normal"/>
    <w:link w:val="FooterChar"/>
    <w:rsid w:val="00CF1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A2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F1A27"/>
    <w:rPr>
      <w:b/>
      <w:spacing w:val="0"/>
    </w:rPr>
  </w:style>
  <w:style w:type="paragraph" w:styleId="Header">
    <w:name w:val="header"/>
    <w:basedOn w:val="Normal"/>
    <w:link w:val="HeaderChar"/>
    <w:rsid w:val="00CF1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A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A27"/>
    <w:pPr>
      <w:spacing w:before="240" w:after="120"/>
      <w:outlineLvl w:val="0"/>
    </w:pPr>
    <w:rPr>
      <w:rFonts w:ascii="Times New Roman" w:hAnsi="Times New Roman"/>
      <w:b/>
      <w:sz w:val="28"/>
    </w:rPr>
  </w:style>
  <w:style w:type="paragraph" w:customStyle="1" w:styleId="AllowPageBreak">
    <w:name w:val="AllowPageBreak"/>
    <w:rsid w:val="00CF1A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A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A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A27"/>
    <w:rPr>
      <w:rFonts w:ascii="Courier New" w:eastAsia="Times New Roman" w:hAnsi="Courier New" w:cs="Times New Roman"/>
      <w:i/>
      <w:szCs w:val="20"/>
      <w:lang w:val="en-US" w:eastAsia="en-US"/>
    </w:rPr>
  </w:style>
  <w:style w:type="paragraph" w:customStyle="1" w:styleId="HeadingBase">
    <w:name w:val="Heading Base"/>
    <w:rsid w:val="00CF1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A27"/>
    <w:pPr>
      <w:tabs>
        <w:tab w:val="right" w:leader="dot" w:pos="9072"/>
      </w:tabs>
      <w:ind w:left="567"/>
    </w:pPr>
    <w:rPr>
      <w:szCs w:val="22"/>
    </w:rPr>
  </w:style>
  <w:style w:type="paragraph" w:customStyle="1" w:styleId="TOCBase">
    <w:name w:val="TOC Base"/>
    <w:rsid w:val="00CF1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A27"/>
    <w:pPr>
      <w:tabs>
        <w:tab w:val="right" w:leader="dot" w:pos="9072"/>
      </w:tabs>
      <w:spacing w:before="40" w:after="40"/>
      <w:ind w:left="284"/>
    </w:pPr>
    <w:rPr>
      <w:rFonts w:ascii="Times New Roman" w:hAnsi="Times New Roman"/>
    </w:rPr>
  </w:style>
  <w:style w:type="paragraph" w:styleId="TOC1">
    <w:name w:val="toc 1"/>
    <w:basedOn w:val="TOCBase"/>
    <w:next w:val="Normal"/>
    <w:rsid w:val="00CF1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A27"/>
    <w:pPr>
      <w:spacing w:before="5040"/>
      <w:jc w:val="center"/>
    </w:pPr>
    <w:rPr>
      <w:sz w:val="48"/>
      <w:szCs w:val="72"/>
      <w:lang w:val="en-US"/>
    </w:rPr>
  </w:style>
  <w:style w:type="character" w:customStyle="1" w:styleId="TitleChar">
    <w:name w:val="Title Char"/>
    <w:basedOn w:val="DefaultParagraphFont"/>
    <w:link w:val="Title"/>
    <w:rsid w:val="00CF1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A27"/>
    <w:pPr>
      <w:tabs>
        <w:tab w:val="left" w:pos="3600"/>
        <w:tab w:val="left" w:pos="3958"/>
      </w:tabs>
    </w:pPr>
  </w:style>
  <w:style w:type="paragraph" w:styleId="List">
    <w:name w:val="List"/>
    <w:basedOn w:val="BodyText"/>
    <w:next w:val="BodyText"/>
    <w:rsid w:val="00CF1A27"/>
    <w:pPr>
      <w:tabs>
        <w:tab w:val="left" w:pos="340"/>
      </w:tabs>
      <w:spacing w:before="60" w:after="60"/>
      <w:ind w:left="340" w:hanging="340"/>
    </w:pPr>
  </w:style>
  <w:style w:type="paragraph" w:styleId="ListBullet">
    <w:name w:val="List Bullet"/>
    <w:basedOn w:val="List"/>
    <w:rsid w:val="00CF1A27"/>
    <w:pPr>
      <w:numPr>
        <w:numId w:val="11"/>
      </w:numPr>
      <w:tabs>
        <w:tab w:val="clear" w:pos="340"/>
      </w:tabs>
      <w:spacing w:before="40" w:after="40"/>
    </w:pPr>
  </w:style>
  <w:style w:type="paragraph" w:customStyle="1" w:styleId="Note">
    <w:name w:val="Note"/>
    <w:basedOn w:val="BodyText"/>
    <w:rsid w:val="00CF1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A27"/>
    <w:pPr>
      <w:framePr w:wrap="auto" w:hAnchor="text" w:y="6049"/>
    </w:pPr>
    <w:rPr>
      <w:color w:val="000000"/>
      <w:sz w:val="40"/>
    </w:rPr>
  </w:style>
  <w:style w:type="paragraph" w:customStyle="1" w:styleId="TOCTitle">
    <w:name w:val="TOCTitle"/>
    <w:basedOn w:val="Heading1"/>
    <w:rsid w:val="00CF1A27"/>
    <w:pPr>
      <w:spacing w:after="240"/>
      <w:jc w:val="center"/>
      <w:outlineLvl w:val="9"/>
    </w:pPr>
    <w:rPr>
      <w:caps/>
    </w:rPr>
  </w:style>
  <w:style w:type="paragraph" w:customStyle="1" w:styleId="Version">
    <w:name w:val="Version"/>
    <w:rsid w:val="00CF1A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A27"/>
    <w:pPr>
      <w:numPr>
        <w:numId w:val="12"/>
      </w:numPr>
      <w:tabs>
        <w:tab w:val="clear" w:pos="680"/>
      </w:tabs>
    </w:pPr>
  </w:style>
  <w:style w:type="paragraph" w:styleId="Index1">
    <w:name w:val="index 1"/>
    <w:basedOn w:val="Normal"/>
    <w:next w:val="Normal"/>
    <w:semiHidden/>
    <w:rsid w:val="00CF1A27"/>
    <w:pPr>
      <w:keepNext w:val="0"/>
      <w:tabs>
        <w:tab w:val="right" w:pos="4176"/>
      </w:tabs>
      <w:ind w:left="198" w:hanging="198"/>
    </w:pPr>
    <w:rPr>
      <w:rFonts w:ascii="Garamond" w:hAnsi="Garamond"/>
    </w:rPr>
  </w:style>
  <w:style w:type="paragraph" w:styleId="IndexHeading">
    <w:name w:val="index heading"/>
    <w:basedOn w:val="Normal"/>
    <w:next w:val="Index1"/>
    <w:semiHidden/>
    <w:rsid w:val="00CF1A27"/>
    <w:pPr>
      <w:spacing w:before="120" w:after="120"/>
    </w:pPr>
    <w:rPr>
      <w:rFonts w:ascii="Arial" w:hAnsi="Arial"/>
      <w:b/>
      <w:color w:val="918585"/>
      <w:sz w:val="24"/>
    </w:rPr>
  </w:style>
  <w:style w:type="paragraph" w:customStyle="1" w:styleId="Chapter">
    <w:name w:val="Chapter"/>
    <w:basedOn w:val="Normal"/>
    <w:rsid w:val="00CF1A27"/>
    <w:pPr>
      <w:spacing w:before="240"/>
    </w:pPr>
    <w:rPr>
      <w:rFonts w:ascii="Times New Roman" w:hAnsi="Times New Roman"/>
      <w:smallCaps/>
      <w:spacing w:val="80"/>
      <w:sz w:val="28"/>
    </w:rPr>
  </w:style>
  <w:style w:type="paragraph" w:customStyle="1" w:styleId="InChapter">
    <w:name w:val="InChapter"/>
    <w:basedOn w:val="Heading3"/>
    <w:rsid w:val="00CF1A27"/>
    <w:pPr>
      <w:spacing w:after="240"/>
      <w:outlineLvl w:val="9"/>
    </w:pPr>
    <w:rPr>
      <w:noProof/>
    </w:rPr>
  </w:style>
  <w:style w:type="paragraph" w:styleId="Index2">
    <w:name w:val="index 2"/>
    <w:basedOn w:val="Normal"/>
    <w:next w:val="Normal"/>
    <w:semiHidden/>
    <w:rsid w:val="00CF1A27"/>
    <w:pPr>
      <w:tabs>
        <w:tab w:val="right" w:pos="4176"/>
      </w:tabs>
      <w:ind w:left="568" w:hanging="284"/>
    </w:pPr>
    <w:rPr>
      <w:rFonts w:ascii="Garamond" w:hAnsi="Garamond"/>
    </w:rPr>
  </w:style>
  <w:style w:type="paragraph" w:customStyle="1" w:styleId="Byline">
    <w:name w:val="Byline"/>
    <w:rsid w:val="00CF1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A27"/>
    <w:pPr>
      <w:tabs>
        <w:tab w:val="clear" w:pos="3600"/>
        <w:tab w:val="clear" w:pos="3958"/>
      </w:tabs>
      <w:jc w:val="right"/>
    </w:pPr>
  </w:style>
  <w:style w:type="character" w:styleId="Emphasis">
    <w:name w:val="Emphasis"/>
    <w:basedOn w:val="DefaultParagraphFont"/>
    <w:qFormat/>
    <w:rsid w:val="00CF1A27"/>
    <w:rPr>
      <w:i/>
    </w:rPr>
  </w:style>
  <w:style w:type="paragraph" w:styleId="Caption">
    <w:name w:val="caption"/>
    <w:basedOn w:val="BodyText"/>
    <w:next w:val="Normal"/>
    <w:qFormat/>
    <w:rsid w:val="00CF1A27"/>
    <w:pPr>
      <w:framePr w:w="2268" w:hSpace="181" w:vSpace="181" w:wrap="around" w:vAnchor="text" w:hAnchor="page" w:x="1135" w:y="285" w:anchorLock="1"/>
    </w:pPr>
    <w:rPr>
      <w:i/>
    </w:rPr>
  </w:style>
  <w:style w:type="paragraph" w:customStyle="1" w:styleId="MiniTOCTitle">
    <w:name w:val="MiniTOCTitle"/>
    <w:basedOn w:val="Heading4"/>
    <w:rsid w:val="00CF1A27"/>
    <w:pPr>
      <w:spacing w:before="240"/>
      <w:outlineLvl w:val="9"/>
    </w:pPr>
    <w:rPr>
      <w:noProof/>
      <w:sz w:val="24"/>
    </w:rPr>
  </w:style>
  <w:style w:type="paragraph" w:customStyle="1" w:styleId="MiniTOCItem">
    <w:name w:val="MiniTOCItem"/>
    <w:basedOn w:val="ListBullet"/>
    <w:rsid w:val="00CF1A27"/>
    <w:pPr>
      <w:numPr>
        <w:numId w:val="0"/>
      </w:numPr>
      <w:tabs>
        <w:tab w:val="right" w:leader="dot" w:pos="6521"/>
      </w:tabs>
      <w:spacing w:before="0" w:after="0"/>
    </w:pPr>
  </w:style>
  <w:style w:type="paragraph" w:customStyle="1" w:styleId="TOFTitle">
    <w:name w:val="TOFTitle"/>
    <w:basedOn w:val="TOCTitle"/>
    <w:rsid w:val="00CF1A27"/>
  </w:style>
  <w:style w:type="paragraph" w:styleId="TableofFigures">
    <w:name w:val="table of figures"/>
    <w:basedOn w:val="Normal"/>
    <w:next w:val="Normal"/>
    <w:semiHidden/>
    <w:rsid w:val="00CF1A27"/>
    <w:pPr>
      <w:tabs>
        <w:tab w:val="right" w:leader="dot" w:pos="9072"/>
      </w:tabs>
      <w:ind w:left="970" w:hanging="403"/>
    </w:pPr>
    <w:rPr>
      <w:rFonts w:ascii="Times New Roman" w:hAnsi="Times New Roman"/>
      <w:b/>
    </w:rPr>
  </w:style>
  <w:style w:type="paragraph" w:styleId="ListNumber">
    <w:name w:val="List Number"/>
    <w:basedOn w:val="List"/>
    <w:rsid w:val="00CF1A27"/>
    <w:pPr>
      <w:numPr>
        <w:numId w:val="9"/>
      </w:numPr>
    </w:pPr>
  </w:style>
  <w:style w:type="character" w:customStyle="1" w:styleId="WingdingSymbols">
    <w:name w:val="Wingding Symbols"/>
    <w:rsid w:val="00CF1A27"/>
    <w:rPr>
      <w:rFonts w:ascii="Wingdings" w:hAnsi="Wingdings"/>
    </w:rPr>
  </w:style>
  <w:style w:type="paragraph" w:customStyle="1" w:styleId="TableHeading">
    <w:name w:val="Table Heading"/>
    <w:basedOn w:val="HeadingBase"/>
    <w:rsid w:val="00CF1A27"/>
    <w:pPr>
      <w:keepLines/>
      <w:pBdr>
        <w:bottom w:val="single" w:sz="6" w:space="1" w:color="918585"/>
      </w:pBdr>
      <w:spacing w:before="240"/>
    </w:pPr>
  </w:style>
  <w:style w:type="character" w:customStyle="1" w:styleId="HotSpot">
    <w:name w:val="HotSpot"/>
    <w:rsid w:val="00CF1A27"/>
    <w:rPr>
      <w:color w:val="0033CC"/>
      <w:u w:val="none"/>
    </w:rPr>
  </w:style>
  <w:style w:type="paragraph" w:customStyle="1" w:styleId="BodyTextRight">
    <w:name w:val="Body Text Right"/>
    <w:basedOn w:val="BodyText"/>
    <w:rsid w:val="00CF1A27"/>
    <w:pPr>
      <w:spacing w:before="0" w:after="0"/>
      <w:jc w:val="right"/>
    </w:pPr>
  </w:style>
  <w:style w:type="paragraph" w:styleId="Index3">
    <w:name w:val="index 3"/>
    <w:basedOn w:val="ListNumber2"/>
    <w:next w:val="Normal"/>
    <w:semiHidden/>
    <w:rsid w:val="00CF1A27"/>
    <w:pPr>
      <w:numPr>
        <w:numId w:val="0"/>
      </w:numPr>
      <w:tabs>
        <w:tab w:val="right" w:leader="dot" w:pos="4176"/>
      </w:tabs>
    </w:pPr>
  </w:style>
  <w:style w:type="paragraph" w:styleId="ListNumber2">
    <w:name w:val="List Number 2"/>
    <w:basedOn w:val="List2"/>
    <w:rsid w:val="00CF1A27"/>
    <w:pPr>
      <w:numPr>
        <w:numId w:val="8"/>
      </w:numPr>
      <w:tabs>
        <w:tab w:val="clear" w:pos="1060"/>
      </w:tabs>
    </w:pPr>
  </w:style>
  <w:style w:type="paragraph" w:customStyle="1" w:styleId="MarginNote">
    <w:name w:val="Margin Note"/>
    <w:basedOn w:val="BodyText"/>
    <w:rsid w:val="00CF1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A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A27"/>
    <w:rPr>
      <w:sz w:val="32"/>
    </w:rPr>
  </w:style>
  <w:style w:type="paragraph" w:customStyle="1" w:styleId="HeadingProcedure">
    <w:name w:val="Heading Procedure"/>
    <w:basedOn w:val="HeadingBase"/>
    <w:next w:val="Normal"/>
    <w:rsid w:val="00CF1A27"/>
    <w:pPr>
      <w:tabs>
        <w:tab w:val="left" w:pos="0"/>
      </w:tabs>
      <w:spacing w:before="120" w:after="60"/>
    </w:pPr>
    <w:rPr>
      <w:i/>
      <w:color w:val="918585"/>
      <w:sz w:val="22"/>
    </w:rPr>
  </w:style>
  <w:style w:type="paragraph" w:customStyle="1" w:styleId="TableBodyText">
    <w:name w:val="Table Body Text"/>
    <w:basedOn w:val="BodyText"/>
    <w:rsid w:val="00CF1A27"/>
    <w:pPr>
      <w:spacing w:before="60" w:after="60"/>
    </w:pPr>
  </w:style>
  <w:style w:type="paragraph" w:styleId="ListContinue">
    <w:name w:val="List Continue"/>
    <w:basedOn w:val="List"/>
    <w:rsid w:val="00CF1A27"/>
    <w:pPr>
      <w:ind w:firstLine="0"/>
    </w:pPr>
  </w:style>
  <w:style w:type="paragraph" w:customStyle="1" w:styleId="ListNote">
    <w:name w:val="List Note"/>
    <w:basedOn w:val="List"/>
    <w:rsid w:val="00CF1A27"/>
    <w:pPr>
      <w:pBdr>
        <w:top w:val="single" w:sz="6" w:space="2" w:color="918585"/>
        <w:bottom w:val="single" w:sz="6" w:space="2" w:color="918585"/>
      </w:pBdr>
      <w:tabs>
        <w:tab w:val="left" w:pos="1021"/>
      </w:tabs>
      <w:ind w:firstLine="0"/>
    </w:pPr>
  </w:style>
  <w:style w:type="paragraph" w:customStyle="1" w:styleId="Warning">
    <w:name w:val="Warning"/>
    <w:basedOn w:val="BodyText"/>
    <w:rsid w:val="00CF1A27"/>
    <w:pPr>
      <w:shd w:val="clear" w:color="auto" w:fill="D9D9D9"/>
      <w:tabs>
        <w:tab w:val="left" w:pos="992"/>
      </w:tabs>
      <w:ind w:left="119" w:right="119"/>
    </w:pPr>
    <w:rPr>
      <w:sz w:val="20"/>
    </w:rPr>
  </w:style>
  <w:style w:type="paragraph" w:customStyle="1" w:styleId="MarginIcons">
    <w:name w:val="Margin Icons"/>
    <w:basedOn w:val="BodyText"/>
    <w:rsid w:val="00CF1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A27"/>
    <w:rPr>
      <w:rFonts w:ascii="Courier New" w:hAnsi="Courier New"/>
    </w:rPr>
  </w:style>
  <w:style w:type="paragraph" w:customStyle="1" w:styleId="NoteBullet">
    <w:name w:val="Note Bullet"/>
    <w:basedOn w:val="Note"/>
    <w:rsid w:val="00CF1A27"/>
    <w:pPr>
      <w:tabs>
        <w:tab w:val="clear" w:pos="680"/>
      </w:tabs>
      <w:spacing w:before="60" w:after="60"/>
    </w:pPr>
  </w:style>
  <w:style w:type="paragraph" w:customStyle="1" w:styleId="SubHeading2">
    <w:name w:val="SubHeading2"/>
    <w:basedOn w:val="HeadingBase"/>
    <w:rsid w:val="00CF1A27"/>
    <w:pPr>
      <w:spacing w:before="240" w:after="60"/>
    </w:pPr>
    <w:rPr>
      <w:sz w:val="20"/>
    </w:rPr>
  </w:style>
  <w:style w:type="paragraph" w:customStyle="1" w:styleId="SubHeading1">
    <w:name w:val="SubHeading1"/>
    <w:basedOn w:val="HeadingBase"/>
    <w:rsid w:val="00CF1A27"/>
    <w:pPr>
      <w:spacing w:before="240" w:after="60"/>
    </w:pPr>
    <w:rPr>
      <w:color w:val="918585"/>
      <w:sz w:val="22"/>
    </w:rPr>
  </w:style>
  <w:style w:type="paragraph" w:customStyle="1" w:styleId="SideHeading">
    <w:name w:val="Side Heading"/>
    <w:basedOn w:val="HeadingBase"/>
    <w:rsid w:val="00CF1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A27"/>
    <w:pPr>
      <w:numPr>
        <w:numId w:val="10"/>
      </w:numPr>
    </w:pPr>
  </w:style>
  <w:style w:type="paragraph" w:styleId="PlainText">
    <w:name w:val="Plain Text"/>
    <w:basedOn w:val="Normal"/>
    <w:link w:val="PlainTextChar"/>
    <w:rsid w:val="00CF1A27"/>
    <w:rPr>
      <w:sz w:val="20"/>
    </w:rPr>
  </w:style>
  <w:style w:type="character" w:customStyle="1" w:styleId="PlainTextChar">
    <w:name w:val="Plain Text Char"/>
    <w:basedOn w:val="DefaultParagraphFont"/>
    <w:link w:val="PlainText"/>
    <w:rsid w:val="00CF1A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A27"/>
    <w:rPr>
      <w:b/>
      <w:smallCaps/>
    </w:rPr>
  </w:style>
  <w:style w:type="paragraph" w:customStyle="1" w:styleId="TableListNumber">
    <w:name w:val="Table List Number"/>
    <w:basedOn w:val="ListNumber"/>
    <w:rsid w:val="00CF1A27"/>
    <w:pPr>
      <w:numPr>
        <w:numId w:val="0"/>
      </w:numPr>
    </w:pPr>
  </w:style>
  <w:style w:type="paragraph" w:styleId="TOC4">
    <w:name w:val="toc 4"/>
    <w:basedOn w:val="TOCBase"/>
    <w:next w:val="Normal"/>
    <w:semiHidden/>
    <w:rsid w:val="00CF1A27"/>
    <w:pPr>
      <w:tabs>
        <w:tab w:val="right" w:leader="dot" w:pos="9071"/>
      </w:tabs>
      <w:ind w:left="1701"/>
    </w:pPr>
  </w:style>
  <w:style w:type="paragraph" w:customStyle="1" w:styleId="ListAlpha">
    <w:name w:val="List Alpha"/>
    <w:basedOn w:val="List"/>
    <w:rsid w:val="00CF1A27"/>
    <w:pPr>
      <w:numPr>
        <w:numId w:val="7"/>
      </w:numPr>
    </w:pPr>
  </w:style>
  <w:style w:type="paragraph" w:customStyle="1" w:styleId="ListAlpha2">
    <w:name w:val="List Alpha 2"/>
    <w:basedOn w:val="List2"/>
    <w:rsid w:val="00CF1A27"/>
    <w:pPr>
      <w:numPr>
        <w:numId w:val="6"/>
      </w:numPr>
    </w:pPr>
  </w:style>
  <w:style w:type="paragraph" w:styleId="List2">
    <w:name w:val="List 2"/>
    <w:basedOn w:val="BodyText"/>
    <w:rsid w:val="00CF1A27"/>
    <w:pPr>
      <w:tabs>
        <w:tab w:val="left" w:pos="680"/>
      </w:tabs>
      <w:spacing w:before="60" w:after="60"/>
      <w:ind w:left="680" w:hanging="340"/>
    </w:pPr>
  </w:style>
  <w:style w:type="paragraph" w:styleId="List3">
    <w:name w:val="List 3"/>
    <w:basedOn w:val="BodyText"/>
    <w:rsid w:val="00CF1A27"/>
    <w:pPr>
      <w:tabs>
        <w:tab w:val="left" w:pos="1021"/>
      </w:tabs>
      <w:spacing w:before="60" w:after="60"/>
      <w:ind w:left="1020" w:hanging="340"/>
    </w:pPr>
  </w:style>
  <w:style w:type="paragraph" w:styleId="List4">
    <w:name w:val="List 4"/>
    <w:basedOn w:val="BodyText"/>
    <w:rsid w:val="00CF1A27"/>
    <w:pPr>
      <w:tabs>
        <w:tab w:val="left" w:pos="1361"/>
      </w:tabs>
      <w:spacing w:before="60" w:after="60"/>
      <w:ind w:left="1361" w:hanging="340"/>
    </w:pPr>
  </w:style>
  <w:style w:type="paragraph" w:styleId="List5">
    <w:name w:val="List 5"/>
    <w:basedOn w:val="BodyText"/>
    <w:rsid w:val="00CF1A27"/>
    <w:pPr>
      <w:tabs>
        <w:tab w:val="left" w:pos="1701"/>
      </w:tabs>
      <w:spacing w:before="60" w:after="60"/>
      <w:ind w:left="1701" w:hanging="340"/>
    </w:pPr>
  </w:style>
  <w:style w:type="paragraph" w:styleId="ListBullet3">
    <w:name w:val="List Bullet 3"/>
    <w:basedOn w:val="List3"/>
    <w:rsid w:val="00CF1A27"/>
    <w:pPr>
      <w:numPr>
        <w:numId w:val="13"/>
      </w:numPr>
      <w:tabs>
        <w:tab w:val="clear" w:pos="1021"/>
      </w:tabs>
      <w:ind w:left="1037" w:hanging="357"/>
    </w:pPr>
  </w:style>
  <w:style w:type="paragraph" w:styleId="ListBullet4">
    <w:name w:val="List Bullet 4"/>
    <w:basedOn w:val="List4"/>
    <w:rsid w:val="00CF1A27"/>
    <w:pPr>
      <w:numPr>
        <w:numId w:val="1"/>
      </w:numPr>
    </w:pPr>
  </w:style>
  <w:style w:type="paragraph" w:styleId="ListBullet5">
    <w:name w:val="List Bullet 5"/>
    <w:basedOn w:val="List5"/>
    <w:rsid w:val="00CF1A27"/>
    <w:pPr>
      <w:numPr>
        <w:numId w:val="2"/>
      </w:numPr>
    </w:pPr>
  </w:style>
  <w:style w:type="paragraph" w:styleId="ListContinue2">
    <w:name w:val="List Continue 2"/>
    <w:basedOn w:val="List2"/>
    <w:rsid w:val="00CF1A27"/>
    <w:pPr>
      <w:ind w:firstLine="0"/>
    </w:pPr>
  </w:style>
  <w:style w:type="paragraph" w:styleId="ListContinue3">
    <w:name w:val="List Continue 3"/>
    <w:basedOn w:val="List3"/>
    <w:rsid w:val="00CF1A27"/>
    <w:pPr>
      <w:ind w:left="1021" w:firstLine="0"/>
    </w:pPr>
  </w:style>
  <w:style w:type="paragraph" w:styleId="ListContinue4">
    <w:name w:val="List Continue 4"/>
    <w:basedOn w:val="List4"/>
    <w:rsid w:val="00CF1A27"/>
    <w:pPr>
      <w:ind w:firstLine="0"/>
    </w:pPr>
  </w:style>
  <w:style w:type="paragraph" w:styleId="ListContinue5">
    <w:name w:val="List Continue 5"/>
    <w:basedOn w:val="List5"/>
    <w:rsid w:val="00CF1A27"/>
    <w:pPr>
      <w:ind w:firstLine="0"/>
    </w:pPr>
  </w:style>
  <w:style w:type="paragraph" w:styleId="ListNumber3">
    <w:name w:val="List Number 3"/>
    <w:basedOn w:val="List3"/>
    <w:rsid w:val="00CF1A27"/>
    <w:pPr>
      <w:numPr>
        <w:numId w:val="3"/>
      </w:numPr>
    </w:pPr>
  </w:style>
  <w:style w:type="paragraph" w:styleId="ListNumber4">
    <w:name w:val="List Number 4"/>
    <w:basedOn w:val="List4"/>
    <w:rsid w:val="00CF1A27"/>
    <w:pPr>
      <w:numPr>
        <w:numId w:val="4"/>
      </w:numPr>
    </w:pPr>
  </w:style>
  <w:style w:type="paragraph" w:styleId="ListNumber5">
    <w:name w:val="List Number 5"/>
    <w:basedOn w:val="List5"/>
    <w:rsid w:val="00CF1A27"/>
    <w:pPr>
      <w:numPr>
        <w:numId w:val="5"/>
      </w:numPr>
    </w:pPr>
  </w:style>
  <w:style w:type="paragraph" w:styleId="BlockText">
    <w:name w:val="Block Text"/>
    <w:basedOn w:val="Normal"/>
    <w:rsid w:val="00CF1A27"/>
    <w:pPr>
      <w:spacing w:after="120"/>
      <w:ind w:left="1440" w:right="1440"/>
    </w:pPr>
  </w:style>
  <w:style w:type="character" w:customStyle="1" w:styleId="Subscript">
    <w:name w:val="Subscript"/>
    <w:basedOn w:val="DefaultParagraphFont"/>
    <w:rsid w:val="00CF1A27"/>
    <w:rPr>
      <w:sz w:val="16"/>
      <w:vertAlign w:val="subscript"/>
    </w:rPr>
  </w:style>
  <w:style w:type="character" w:customStyle="1" w:styleId="Superscript">
    <w:name w:val="Superscript"/>
    <w:basedOn w:val="DefaultParagraphFont"/>
    <w:rsid w:val="00CF1A27"/>
    <w:rPr>
      <w:sz w:val="16"/>
      <w:vertAlign w:val="superscript"/>
    </w:rPr>
  </w:style>
  <w:style w:type="character" w:customStyle="1" w:styleId="Symbols">
    <w:name w:val="Symbols"/>
    <w:basedOn w:val="DefaultParagraphFont"/>
    <w:rsid w:val="00CF1A27"/>
    <w:rPr>
      <w:rFonts w:ascii="Symbol" w:hAnsi="Symbol"/>
    </w:rPr>
  </w:style>
  <w:style w:type="character" w:customStyle="1" w:styleId="MenuOptions">
    <w:name w:val="Menu Options"/>
    <w:basedOn w:val="DefaultParagraphFont"/>
    <w:rsid w:val="00CF1A27"/>
    <w:rPr>
      <w:rFonts w:ascii="Arial Narrow" w:hAnsi="Arial Narrow"/>
      <w:smallCaps/>
    </w:rPr>
  </w:style>
  <w:style w:type="character" w:customStyle="1" w:styleId="Buttons">
    <w:name w:val="Buttons"/>
    <w:basedOn w:val="DefaultParagraphFont"/>
    <w:rsid w:val="00CF1A27"/>
    <w:rPr>
      <w:b/>
    </w:rPr>
  </w:style>
  <w:style w:type="character" w:customStyle="1" w:styleId="Underlined">
    <w:name w:val="Underlined"/>
    <w:basedOn w:val="DefaultParagraphFont"/>
    <w:rsid w:val="00CF1A27"/>
    <w:rPr>
      <w:u w:val="single"/>
    </w:rPr>
  </w:style>
  <w:style w:type="paragraph" w:customStyle="1" w:styleId="TableBodyTextRight">
    <w:name w:val="Table Body Text Right"/>
    <w:basedOn w:val="TableBodyText"/>
    <w:rsid w:val="00CF1A27"/>
    <w:pPr>
      <w:widowControl w:val="0"/>
      <w:autoSpaceDE w:val="0"/>
      <w:autoSpaceDN w:val="0"/>
      <w:adjustRightInd w:val="0"/>
      <w:jc w:val="right"/>
    </w:pPr>
    <w:rPr>
      <w:rFonts w:cs="Arial"/>
      <w:szCs w:val="18"/>
    </w:rPr>
  </w:style>
  <w:style w:type="paragraph" w:customStyle="1" w:styleId="CopyrightText">
    <w:name w:val="Copyright Text"/>
    <w:basedOn w:val="BodyText"/>
    <w:rsid w:val="00CF1A27"/>
    <w:rPr>
      <w:sz w:val="18"/>
    </w:rPr>
  </w:style>
  <w:style w:type="paragraph" w:customStyle="1" w:styleId="BodySmallRight">
    <w:name w:val="Body Small Right"/>
    <w:basedOn w:val="BodyTextRight"/>
    <w:rsid w:val="00CF1A27"/>
    <w:rPr>
      <w:sz w:val="18"/>
      <w:szCs w:val="18"/>
    </w:rPr>
  </w:style>
  <w:style w:type="paragraph" w:customStyle="1" w:styleId="MarginEdition">
    <w:name w:val="Margin Edition"/>
    <w:basedOn w:val="MarginNote"/>
    <w:rsid w:val="00CF1A27"/>
    <w:pPr>
      <w:spacing w:before="0" w:after="0"/>
    </w:pPr>
    <w:rPr>
      <w:rFonts w:ascii="Times New Roman" w:hAnsi="Times New Roman"/>
      <w:color w:val="999999"/>
    </w:rPr>
  </w:style>
  <w:style w:type="paragraph" w:customStyle="1" w:styleId="Spacer">
    <w:name w:val="Spacer"/>
    <w:basedOn w:val="Normal"/>
    <w:rsid w:val="00CF1A27"/>
    <w:rPr>
      <w:sz w:val="2"/>
      <w:szCs w:val="2"/>
    </w:rPr>
  </w:style>
  <w:style w:type="character" w:customStyle="1" w:styleId="Small">
    <w:name w:val="Small"/>
    <w:basedOn w:val="DefaultParagraphFont"/>
    <w:rsid w:val="00CF1A27"/>
    <w:rPr>
      <w:sz w:val="16"/>
    </w:rPr>
  </w:style>
  <w:style w:type="paragraph" w:customStyle="1" w:styleId="WideTable">
    <w:name w:val="Wide Table"/>
    <w:basedOn w:val="Normal"/>
    <w:rsid w:val="00CF1A27"/>
    <w:pPr>
      <w:ind w:left="-1418"/>
    </w:pPr>
    <w:rPr>
      <w:sz w:val="2"/>
      <w:szCs w:val="2"/>
    </w:rPr>
  </w:style>
  <w:style w:type="character" w:styleId="PageNumber">
    <w:name w:val="page number"/>
    <w:basedOn w:val="DefaultParagraphFont"/>
    <w:rsid w:val="00CF1A27"/>
  </w:style>
  <w:style w:type="paragraph" w:styleId="Quote">
    <w:name w:val="Quote"/>
    <w:basedOn w:val="Heading1"/>
    <w:link w:val="QuoteChar"/>
    <w:qFormat/>
    <w:rsid w:val="00CF1A27"/>
    <w:rPr>
      <w:b w:val="0"/>
      <w:sz w:val="72"/>
      <w:szCs w:val="72"/>
      <w:lang w:val="en-NZ"/>
    </w:rPr>
  </w:style>
  <w:style w:type="character" w:customStyle="1" w:styleId="QuoteChar">
    <w:name w:val="Quote Char"/>
    <w:basedOn w:val="DefaultParagraphFont"/>
    <w:link w:val="Quote"/>
    <w:rsid w:val="00CF1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A27"/>
    <w:pPr>
      <w:pageBreakBefore/>
    </w:pPr>
  </w:style>
  <w:style w:type="paragraph" w:customStyle="1" w:styleId="Border">
    <w:name w:val="Border"/>
    <w:basedOn w:val="Normal"/>
    <w:qFormat/>
    <w:rsid w:val="00CF1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A27"/>
    <w:rPr>
      <w:b/>
      <w:bCs/>
      <w:i/>
      <w:iCs/>
      <w:color w:val="auto"/>
    </w:rPr>
  </w:style>
  <w:style w:type="paragraph" w:styleId="IntenseQuote">
    <w:name w:val="Intense Quote"/>
    <w:basedOn w:val="Normal"/>
    <w:next w:val="Normal"/>
    <w:link w:val="IntenseQuoteChar"/>
    <w:uiPriority w:val="30"/>
    <w:qFormat/>
    <w:rsid w:val="00CF1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A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A27"/>
    <w:rPr>
      <w:smallCaps/>
      <w:color w:val="auto"/>
      <w:u w:val="single"/>
    </w:rPr>
  </w:style>
  <w:style w:type="character" w:styleId="IntenseReference">
    <w:name w:val="Intense Reference"/>
    <w:basedOn w:val="DefaultParagraphFont"/>
    <w:uiPriority w:val="32"/>
    <w:qFormat/>
    <w:rsid w:val="00CF1A27"/>
    <w:rPr>
      <w:b/>
      <w:bCs/>
      <w:smallCaps/>
      <w:color w:val="auto"/>
      <w:spacing w:val="5"/>
      <w:u w:val="single"/>
    </w:rPr>
  </w:style>
  <w:style w:type="paragraph" w:customStyle="1" w:styleId="2ColumnHeading">
    <w:name w:val="2Column Heading"/>
    <w:basedOn w:val="BodyText"/>
    <w:qFormat/>
    <w:rsid w:val="00CF1A27"/>
    <w:pPr>
      <w:spacing w:after="60"/>
      <w:ind w:left="-2268"/>
    </w:pPr>
    <w:rPr>
      <w:b/>
    </w:rPr>
  </w:style>
  <w:style w:type="paragraph" w:customStyle="1" w:styleId="Heading1TOC">
    <w:name w:val="Heading1 TOC"/>
    <w:basedOn w:val="Normal"/>
    <w:qFormat/>
    <w:rsid w:val="00CF1A27"/>
    <w:pPr>
      <w:spacing w:before="240" w:after="120"/>
    </w:pPr>
    <w:rPr>
      <w:rFonts w:ascii="Times New Roman" w:hAnsi="Times New Roman"/>
      <w:b/>
      <w:sz w:val="32"/>
    </w:rPr>
  </w:style>
  <w:style w:type="paragraph" w:customStyle="1" w:styleId="Heading2TOC">
    <w:name w:val="Heading2 TOC"/>
    <w:basedOn w:val="Normal"/>
    <w:qFormat/>
    <w:rsid w:val="00CF1A27"/>
    <w:pPr>
      <w:spacing w:before="240" w:after="60"/>
    </w:pPr>
    <w:rPr>
      <w:rFonts w:ascii="Times New Roman" w:hAnsi="Times New Roman"/>
      <w:b/>
      <w:sz w:val="28"/>
    </w:rPr>
  </w:style>
  <w:style w:type="character" w:customStyle="1" w:styleId="Underline">
    <w:name w:val="Underline"/>
    <w:basedOn w:val="DefaultParagraphFont"/>
    <w:qFormat/>
    <w:rsid w:val="00CF1A27"/>
    <w:rPr>
      <w:u w:val="single"/>
    </w:rPr>
  </w:style>
  <w:style w:type="character" w:customStyle="1" w:styleId="BoldandItalics">
    <w:name w:val="Bold and Italics"/>
    <w:qFormat/>
    <w:rsid w:val="00CF1A27"/>
    <w:rPr>
      <w:b/>
      <w:i/>
      <w:u w:val="none"/>
    </w:rPr>
  </w:style>
  <w:style w:type="paragraph" w:styleId="BalloonText">
    <w:name w:val="Balloon Text"/>
    <w:basedOn w:val="Normal"/>
    <w:link w:val="BalloonTextChar"/>
    <w:rsid w:val="00CF1A27"/>
    <w:rPr>
      <w:rFonts w:ascii="Tahoma" w:hAnsi="Tahoma" w:cs="Tahoma"/>
      <w:sz w:val="16"/>
      <w:szCs w:val="16"/>
    </w:rPr>
  </w:style>
  <w:style w:type="character" w:customStyle="1" w:styleId="BalloonTextChar">
    <w:name w:val="Balloon Text Char"/>
    <w:basedOn w:val="DefaultParagraphFont"/>
    <w:link w:val="BalloonText"/>
    <w:rsid w:val="00CF1A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A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6151</Characters>
  <Application>Microsoft Office Word</Application>
  <DocSecurity>0</DocSecurity>
  <Lines>247</Lines>
  <Paragraphs>122</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SITHCCC001A Organise and prepare food</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