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CE9" w:rsidP="000E4CE9">
      <w:pPr>
        <w:pStyle w:val="Title"/>
      </w:pPr>
      <w:r>
        <w:fldChar w:fldCharType="begin"/>
      </w:r>
      <w:r>
        <w:instrText xml:space="preserve"> TITLE   \* MERGEFORMAT </w:instrText>
      </w:r>
      <w:r>
        <w:fldChar w:fldCharType="separate"/>
      </w:r>
      <w:r>
        <w:t>SITHASC022A Prepare and produce tandoori food items</w:t>
      </w:r>
      <w:r>
        <w:fldChar w:fldCharType="end"/>
      </w:r>
    </w:p>
    <w:p w:rsidR="000E4CE9" w:rsidP="000E4CE9">
      <w:pPr>
        <w:pStyle w:val="Version"/>
        <w:sectPr w:rsidSect="00913E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3E2E" w:rsidP="00913E2E">
      <w:pPr>
        <w:pStyle w:val="SuperHeading"/>
      </w:pPr>
      <w:r w:rsidRPr="00913E2E">
        <w:t>SITHASC022A Prepare and produce tandoori food items</w:t>
      </w:r>
    </w:p>
    <w:p w:rsidR="00000000" w:rsidRPr="00913E2E" w:rsidP="00913E2E">
      <w:pPr>
        <w:pStyle w:val="SuperHeading"/>
      </w:pPr>
    </w:p>
    <w:p w:rsidR="00000000" w:rsidRPr="00913E2E" w:rsidP="00913E2E">
      <w:pPr>
        <w:pStyle w:val="Heading1"/>
      </w:pPr>
      <w:bookmarkStart w:id="1" w:name="O_146127"/>
      <w:bookmarkEnd w:id="1"/>
      <w:r w:rsidRPr="00913E2E">
        <w:t>Modification History</w:t>
      </w:r>
    </w:p>
    <w:p w:rsidR="00000000" w:rsidRPr="00913E2E" w:rsidP="00913E2E">
      <w:pPr>
        <w:pStyle w:val="BodyText"/>
      </w:pPr>
      <w:r w:rsidRPr="00913E2E">
        <w:t>Not applicable.</w:t>
      </w:r>
    </w:p>
    <w:p w:rsidR="00000000" w:rsidRPr="00913E2E" w:rsidP="00913E2E">
      <w:pPr>
        <w:pStyle w:val="AllowPageBreak"/>
      </w:pPr>
    </w:p>
    <w:p w:rsidR="00000000" w:rsidRPr="00913E2E" w:rsidP="00913E2E">
      <w:pPr>
        <w:pStyle w:val="Heading1"/>
      </w:pPr>
      <w:bookmarkStart w:id="2" w:name="O_146128"/>
      <w:bookmarkEnd w:id="2"/>
      <w:r w:rsidRPr="00913E2E">
        <w:t>Unit Descriptor</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This unit describes the performance outcomes, skills and knowledge required to prepare and produc</w:t>
            </w:r>
            <w:r w:rsidRPr="00913E2E">
              <w:t>e tandoori food items for Indian cuisine.</w:t>
            </w:r>
          </w:p>
          <w:p w:rsidR="00000000" w:rsidRPr="00913E2E" w:rsidP="00913E2E">
            <w:pPr>
              <w:pStyle w:val="BodyText"/>
            </w:pPr>
            <w:r w:rsidRPr="00913E2E">
              <w:t>Tandoori refers to foods cooked in a tandoori oven. Dishes prepared must include a selection of meat, poultry and seafood.</w:t>
            </w:r>
          </w:p>
          <w:p w:rsidR="00000000" w:rsidP="00913E2E">
            <w:pPr>
              <w:pStyle w:val="BodyText"/>
              <w:rPr>
                <w:lang w:val="en-NZ"/>
              </w:rPr>
            </w:pPr>
            <w:r w:rsidRPr="00913E2E">
              <w:t>No licensing, legislative, regulatory or certification requirements apply to this unit at t</w:t>
            </w:r>
            <w:r w:rsidRPr="00913E2E">
              <w:t>he time of endorsement.</w:t>
            </w:r>
          </w:p>
        </w:tc>
      </w:tr>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3" w:name="O_146129"/>
      <w:bookmarkEnd w:id="3"/>
      <w:r w:rsidRPr="00913E2E">
        <w:t>Application of the Unit</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This unit applies to all enterprises where Indian cuisine is prepared and served. It applies to cooks who would usually work as part of a team under supervision.</w:t>
            </w:r>
          </w:p>
        </w:tc>
      </w:tr>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4" w:name="O_146130"/>
      <w:bookmarkEnd w:id="4"/>
      <w:r w:rsidRPr="00913E2E">
        <w:t>Licensing/Regulatory Information</w:t>
      </w:r>
    </w:p>
    <w:p w:rsidR="00000000" w:rsidRPr="00913E2E" w:rsidP="00913E2E">
      <w:pPr>
        <w:pStyle w:val="BodyText"/>
      </w:pPr>
      <w:r w:rsidRPr="00913E2E">
        <w:t>Not applicable.</w:t>
      </w:r>
    </w:p>
    <w:p w:rsidR="00000000" w:rsidRPr="00913E2E" w:rsidP="00913E2E">
      <w:pPr>
        <w:pStyle w:val="AllowPageBreak"/>
      </w:pPr>
    </w:p>
    <w:p w:rsidR="00000000" w:rsidRPr="00913E2E" w:rsidP="00913E2E">
      <w:pPr>
        <w:pStyle w:val="Heading1"/>
      </w:pPr>
      <w:bookmarkStart w:id="5" w:name="O_146132"/>
      <w:bookmarkEnd w:id="5"/>
      <w:r w:rsidRPr="00913E2E">
        <w:t>Pre-Requisites</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This unit must be assessed after the following prerequisite units:</w:t>
            </w:r>
          </w:p>
          <w:p w:rsidR="00000000" w:rsidRPr="00913E2E" w:rsidP="00913E2E">
            <w:pPr>
              <w:pStyle w:val="BodyText"/>
            </w:pPr>
            <w:r w:rsidRPr="00913E2E">
              <w:t xml:space="preserve">SITHASC001A Use basic Asian methods of cookery </w:t>
            </w:r>
          </w:p>
          <w:p w:rsidR="00000000" w:rsidRPr="00913E2E" w:rsidP="00913E2E">
            <w:pPr>
              <w:pStyle w:val="BodyText"/>
            </w:pPr>
            <w:r w:rsidRPr="00913E2E">
              <w:t>SITHCCC001B Organise and prepare food</w:t>
            </w:r>
          </w:p>
          <w:p w:rsidR="00000000" w:rsidRPr="00913E2E" w:rsidP="00913E2E">
            <w:pPr>
              <w:pStyle w:val="BodyText"/>
            </w:pPr>
            <w:r w:rsidRPr="00913E2E">
              <w:t>SITHCCC002A Present food</w:t>
            </w:r>
          </w:p>
          <w:p w:rsidR="00000000" w:rsidP="00913E2E">
            <w:pPr>
              <w:pStyle w:val="BodyText"/>
              <w:rPr>
                <w:lang w:val="en-NZ"/>
              </w:rPr>
            </w:pPr>
            <w:r w:rsidRPr="00913E2E">
              <w:t>SITXOHS002A Follow workplace hygiene procedures.</w:t>
            </w:r>
          </w:p>
        </w:tc>
      </w:tr>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6" w:name="O_146131"/>
      <w:bookmarkEnd w:id="6"/>
      <w:r w:rsidRPr="00913E2E">
        <w:t>Employability Skills Information</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7" w:name="O_146133"/>
      <w:bookmarkEnd w:id="7"/>
      <w:r w:rsidRPr="00913E2E">
        <w:t>Elements and Performance Criteria Pre-Content</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 xml:space="preserve">Performance criteria describe the required performance needed to demonstrate achievement of the element. Where </w:t>
            </w:r>
            <w:r w:rsidRPr="00913E2E">
              <w:rPr>
                <w:rStyle w:val="BoldandItalics"/>
              </w:rPr>
              <w:t>bold itali</w:t>
            </w:r>
            <w:r w:rsidRPr="00913E2E">
              <w:rPr>
                <w:rStyle w:val="BoldandItalics"/>
              </w:rPr>
              <w:t>cised</w:t>
            </w:r>
            <w:r w:rsidRPr="00913E2E">
              <w:t xml:space="preserve"> text is used, further information is detailed in the required skills and knowledge and/or the range statement. Assessment of performance is to be consistent with the evidence guide.</w:t>
            </w: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8" w:name="O_146134"/>
      <w:bookmarkEnd w:id="8"/>
      <w:r w:rsidRPr="00913E2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E4CE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13E2E" w:rsidP="00913E2E">
            <w:pPr>
              <w:pStyle w:val="List"/>
            </w:pPr>
            <w:r w:rsidRPr="00913E2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rPr>
                <w:rStyle w:val="SpecialBold"/>
              </w:rPr>
              <w:t>PERFORMANCE CRITERIA</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1</w:t>
            </w:r>
          </w:p>
        </w:tc>
        <w:tc>
          <w:tcPr>
            <w:tcW w:w="2410" w:type="dxa"/>
            <w:vMerge w:val="restart"/>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Select key commodities and ingredients.</w:t>
            </w: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1.1</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Identify and select key types and names of tandoori items.</w:t>
            </w:r>
          </w:p>
        </w:tc>
      </w:tr>
      <w:tr w:rsidTr="000E4CE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1.2</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 xml:space="preserve">Select fresh, dried and preserved </w:t>
            </w:r>
            <w:r w:rsidRPr="00913E2E">
              <w:rPr>
                <w:rStyle w:val="BoldandItalics"/>
              </w:rPr>
              <w:t>commodities</w:t>
            </w:r>
            <w:r w:rsidRPr="00913E2E">
              <w:t xml:space="preserve"> used in tandoori marinades.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2</w:t>
            </w:r>
          </w:p>
        </w:tc>
        <w:tc>
          <w:tcPr>
            <w:tcW w:w="2410" w:type="dxa"/>
            <w:vMerge w:val="restart"/>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Prepare and use tandoori spice mixture.</w:t>
            </w: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2.1</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Follow food hygiene requirements and OHS regulation in all tasks related to preparing, cooking, presenting and serving food items.</w:t>
            </w:r>
          </w:p>
        </w:tc>
      </w:tr>
      <w:tr w:rsidTr="000E4CE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2.2</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Measure, weigh and portion spices according to recipe specifications and enterprise requirements.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2.3</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Handle tandoori and curry powders according to safety and enterprise requirements.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2.4</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 xml:space="preserve">Apply tandoori spice mixtures or curry pastes to food items and marinate under </w:t>
            </w:r>
            <w:r w:rsidRPr="00913E2E">
              <w:rPr>
                <w:rStyle w:val="BoldandItalics"/>
              </w:rPr>
              <w:t>required conditions</w:t>
            </w:r>
            <w:r w:rsidRPr="00913E2E">
              <w:t>.</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w:t>
            </w:r>
          </w:p>
        </w:tc>
        <w:tc>
          <w:tcPr>
            <w:tcW w:w="2410"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Produce and present tandoori products.</w:t>
            </w: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3.1</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Select and use cooking equipment and utensils according to enterprise requirements.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3.2</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Follow standar</w:t>
            </w:r>
            <w:r w:rsidRPr="00913E2E">
              <w:t>d recipes for tandoori items according to enterprise practices and specifications.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3.3</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Prepare and cook tandoori items to customer expectations, following recipe specifications.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3.4</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Apply correct steps to all cooking methods according to recipe specifications.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3.5</w:t>
            </w:r>
          </w:p>
        </w:tc>
        <w:tc>
          <w:tcPr>
            <w:tcW w:w="577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Select presentation crockery according to suitability of size, colour and shape, according to enterprise requirements.</w:t>
            </w:r>
          </w:p>
        </w:tc>
      </w:tr>
      <w:tr w:rsidTr="000E4CE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13E2E">
            <w:pPr>
              <w:pStyle w:val="List"/>
              <w:rPr>
                <w:lang w:val="en-NZ"/>
              </w:rPr>
            </w:pPr>
            <w:r w:rsidRPr="00913E2E">
              <w:t>3.6</w:t>
            </w:r>
          </w:p>
        </w:tc>
        <w:tc>
          <w:tcPr>
            <w:tcW w:w="5777" w:type="dxa"/>
            <w:tcBorders>
              <w:top w:val="nil"/>
              <w:left w:val="nil"/>
              <w:bottom w:val="nil"/>
              <w:right w:val="nil"/>
            </w:tcBorders>
            <w:tcMar>
              <w:top w:w="0" w:type="dxa"/>
              <w:left w:w="62" w:type="dxa"/>
              <w:bottom w:w="0" w:type="dxa"/>
              <w:right w:w="62" w:type="dxa"/>
            </w:tcMar>
          </w:tcPr>
          <w:p w:rsidR="00000000" w:rsidRPr="00913E2E" w:rsidP="00913E2E">
            <w:pPr>
              <w:pStyle w:val="List"/>
            </w:pPr>
            <w:r w:rsidRPr="00913E2E">
              <w:t xml:space="preserve">Serve suitable </w:t>
            </w:r>
            <w:r w:rsidRPr="00913E2E">
              <w:rPr>
                <w:rStyle w:val="BoldandItalics"/>
              </w:rPr>
              <w:t>accompaniments</w:t>
            </w:r>
            <w:r w:rsidRPr="00913E2E">
              <w:t xml:space="preserve"> consistent wit</w:t>
            </w:r>
            <w:r w:rsidRPr="00913E2E">
              <w:t>h recipe specifications and acceptable traditional and regional style.</w:t>
            </w: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9" w:name="O_146135"/>
      <w:bookmarkEnd w:id="9"/>
      <w:r w:rsidRPr="00913E2E">
        <w:t>Required Skills and Knowledge</w:t>
      </w:r>
    </w:p>
    <w:tbl>
      <w:tblPr>
        <w:tblW w:w="0" w:type="auto"/>
        <w:tblLayout w:type="fixed"/>
        <w:tblCellMar>
          <w:left w:w="62" w:type="dxa"/>
          <w:right w:w="62" w:type="dxa"/>
        </w:tblCellMar>
        <w:tblLook w:val="0000"/>
      </w:tblPr>
      <w:tblGrid>
        <w:gridCol w:w="9180"/>
      </w:tblGrid>
      <w:tr w:rsidTr="000E4CE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REQUIRED SKILLS AND KNOWLEDGE</w:t>
            </w:r>
          </w:p>
        </w:tc>
      </w:tr>
      <w:tr w:rsidTr="000E4CE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This section describes the essential skills and knowledge and their level, required for this unit.</w:t>
            </w:r>
          </w:p>
        </w:tc>
      </w:tr>
      <w:tr w:rsidTr="000E4CE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The following skills must be assessed as part of this unit:</w:t>
            </w:r>
          </w:p>
          <w:p w:rsidR="00000000" w:rsidRPr="00913E2E" w:rsidP="00913E2E">
            <w:pPr>
              <w:pStyle w:val="ListBullet"/>
            </w:pPr>
            <w:r w:rsidRPr="00913E2E">
              <w:t>food preparation for tandoori cookery, including following recipe requirements</w:t>
            </w:r>
          </w:p>
          <w:p w:rsidR="00000000" w:rsidRPr="00913E2E" w:rsidP="00913E2E">
            <w:pPr>
              <w:pStyle w:val="ListBullet"/>
            </w:pPr>
            <w:r w:rsidRPr="00913E2E">
              <w:t xml:space="preserve">precision cutting techniques and implements for tandoori cookery </w:t>
            </w:r>
          </w:p>
          <w:p w:rsidR="00000000" w:rsidRPr="00913E2E" w:rsidP="00913E2E">
            <w:pPr>
              <w:pStyle w:val="ListBullet"/>
            </w:pPr>
            <w:r w:rsidRPr="00913E2E">
              <w:t>evaluating quality of ingredients, dishes and food items, including blending and balancing flavours and aromatics, correct flavour structure, texture and consistency, correct acid balance, correct colour and plate presentation</w:t>
            </w:r>
          </w:p>
          <w:p w:rsidR="00000000" w:rsidRPr="00913E2E" w:rsidP="00913E2E">
            <w:pPr>
              <w:pStyle w:val="ListBullet"/>
            </w:pPr>
            <w:r w:rsidRPr="00913E2E">
              <w:t>using garnishes for presentat</w:t>
            </w:r>
            <w:r w:rsidRPr="00913E2E">
              <w:t>ion, including consideration of colour and eye appeal</w:t>
            </w:r>
          </w:p>
          <w:p w:rsidR="00000000" w:rsidRPr="00913E2E" w:rsidP="00913E2E">
            <w:pPr>
              <w:pStyle w:val="ListBullet"/>
            </w:pPr>
            <w:r w:rsidRPr="00913E2E">
              <w:t>selecting, using and maintaining specialised equipment, tableware and serviceware for preparing, cooking, serving and presenting food</w:t>
            </w:r>
          </w:p>
          <w:p w:rsidR="00000000" w:rsidRPr="00913E2E" w:rsidP="00913E2E">
            <w:pPr>
              <w:pStyle w:val="ListBullet"/>
            </w:pPr>
            <w:r w:rsidRPr="00913E2E">
              <w:t>identifying, selecting, storing and using typical commodities, herbs</w:t>
            </w:r>
            <w:r w:rsidRPr="00913E2E">
              <w:t xml:space="preserve"> and spices, and condiments relevant to tandoori cookery</w:t>
            </w:r>
          </w:p>
          <w:p w:rsidR="00000000" w:rsidRPr="00913E2E" w:rsidP="00913E2E">
            <w:pPr>
              <w:pStyle w:val="ListBullet"/>
            </w:pPr>
            <w:r w:rsidRPr="00913E2E">
              <w:t>safe work practices, particularly in relation to bending and lifting, and using cutting implements, appliances, heated surfaces and other equipment that carries a risk of burns</w:t>
            </w:r>
          </w:p>
          <w:p w:rsidR="00000000" w:rsidRPr="00913E2E" w:rsidP="00913E2E">
            <w:pPr>
              <w:pStyle w:val="ListBullet"/>
            </w:pPr>
            <w:r w:rsidRPr="00913E2E">
              <w:t>maintaining a tidy wor</w:t>
            </w:r>
            <w:r w:rsidRPr="00913E2E">
              <w:t xml:space="preserve">kstation </w:t>
            </w:r>
          </w:p>
          <w:p w:rsidR="00000000" w:rsidRPr="00913E2E" w:rsidP="00913E2E">
            <w:pPr>
              <w:pStyle w:val="ListBullet"/>
            </w:pPr>
            <w:r w:rsidRPr="00913E2E">
              <w:t>problem-solving skills to adjust flavourings where marinades are not balanced as required</w:t>
            </w:r>
          </w:p>
          <w:p w:rsidR="00000000" w:rsidRPr="00913E2E" w:rsidP="00913E2E">
            <w:pPr>
              <w:pStyle w:val="ListBullet"/>
            </w:pPr>
            <w:r w:rsidRPr="00913E2E">
              <w:t xml:space="preserve">literacy skills to read recipes and orders </w:t>
            </w:r>
          </w:p>
          <w:p w:rsidR="00000000" w:rsidP="00913E2E">
            <w:pPr>
              <w:pStyle w:val="ListBullet"/>
              <w:rPr>
                <w:lang w:val="en-NZ"/>
              </w:rPr>
            </w:pPr>
            <w:r w:rsidRPr="00913E2E">
              <w:t>numeracy skills to calculate quantities of commodities and ingredients required for particular recipes.</w:t>
            </w:r>
          </w:p>
        </w:tc>
      </w:tr>
      <w:tr w:rsidTr="000E4CE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The f</w:t>
            </w:r>
            <w:r w:rsidRPr="00913E2E">
              <w:t>ollowing knowledge must be assessed as part of this unit:</w:t>
            </w:r>
          </w:p>
          <w:p w:rsidR="00000000" w:rsidRPr="00913E2E" w:rsidP="00913E2E">
            <w:pPr>
              <w:pStyle w:val="ListBullet"/>
            </w:pPr>
            <w:r w:rsidRPr="00913E2E">
              <w:t>cuisine characteristics, and cultural and religious practices related to food preparation, presentation and consumption, typical menu items, order of service, typical accompaniments and garnishes</w:t>
            </w:r>
          </w:p>
          <w:p w:rsidR="00000000" w:rsidRPr="00913E2E" w:rsidP="00913E2E">
            <w:pPr>
              <w:pStyle w:val="ListBullet"/>
            </w:pPr>
            <w:r w:rsidRPr="00913E2E">
              <w:t>kitchen and service culture, including kitchen organisation</w:t>
            </w:r>
          </w:p>
          <w:p w:rsidR="00000000" w:rsidRPr="00913E2E" w:rsidP="00913E2E">
            <w:pPr>
              <w:pStyle w:val="ListBullet"/>
            </w:pPr>
            <w:r w:rsidRPr="00913E2E">
              <w:t>culinary terms related to tandoori cookery, including regional variations</w:t>
            </w:r>
          </w:p>
          <w:p w:rsidR="00000000" w:rsidRPr="00913E2E" w:rsidP="00913E2E">
            <w:pPr>
              <w:pStyle w:val="ListBullet"/>
            </w:pPr>
            <w:r w:rsidRPr="00913E2E">
              <w:t>effects of cooking techniques on nutrition, taste, texture and appearance</w:t>
            </w:r>
          </w:p>
          <w:p w:rsidR="00000000" w:rsidRPr="00913E2E" w:rsidP="00913E2E">
            <w:pPr>
              <w:pStyle w:val="ListBullet"/>
            </w:pPr>
            <w:r w:rsidRPr="00913E2E">
              <w:t>typical food allergies and consequences</w:t>
            </w:r>
          </w:p>
          <w:p w:rsidR="00000000" w:rsidRPr="00913E2E" w:rsidP="00913E2E">
            <w:pPr>
              <w:pStyle w:val="ListBullet"/>
            </w:pPr>
            <w:r w:rsidRPr="00913E2E">
              <w:t>principl</w:t>
            </w:r>
            <w:r w:rsidRPr="00913E2E">
              <w:t>es and practices of personal and professional hygiene related to working in a kitchen, including appropriate uniform and other personal protective equipment.</w:t>
            </w:r>
          </w:p>
        </w:tc>
      </w:tr>
    </w:tbl>
    <w:p w:rsidR="000E4CE9" w:rsidP="00913E2E">
      <w:pPr>
        <w:pStyle w:val="BodyText"/>
      </w:pPr>
    </w:p>
    <w:p w:rsidR="000E4CE9" w:rsidP="00913E2E">
      <w:pPr>
        <w:pStyle w:val="BodyText"/>
      </w:pPr>
    </w:p>
    <w:p w:rsidR="00000000" w:rsidRPr="00913E2E" w:rsidP="00913E2E">
      <w:pPr>
        <w:pStyle w:val="Heading1"/>
      </w:pPr>
      <w:bookmarkStart w:id="10" w:name="O_146136"/>
      <w:bookmarkEnd w:id="10"/>
      <w:r w:rsidRPr="00913E2E">
        <w:t>Evidence Guide</w:t>
      </w:r>
    </w:p>
    <w:tbl>
      <w:tblPr>
        <w:tblW w:w="0" w:type="auto"/>
        <w:tblLayout w:type="fixed"/>
        <w:tblCellMar>
          <w:left w:w="62" w:type="dxa"/>
          <w:right w:w="62" w:type="dxa"/>
        </w:tblCellMar>
        <w:tblLook w:val="0000"/>
      </w:tblPr>
      <w:tblGrid>
        <w:gridCol w:w="3345"/>
        <w:gridCol w:w="5835"/>
      </w:tblGrid>
      <w:tr w:rsidTr="000E4CE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EVIDENCE GUIDE</w:t>
            </w:r>
          </w:p>
        </w:tc>
      </w:tr>
      <w:tr w:rsidTr="000E4CE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The evidence guide provides advice on assessment and must be read in conjunction with the performance criteria, required skills and knowledge, the range statement and the Assessment Guidelines for this Training Package.</w:t>
            </w: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Critical aspects for assessment</w:t>
            </w:r>
            <w:r w:rsidRPr="00913E2E">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Evidence of the following is essential:</w:t>
            </w:r>
          </w:p>
          <w:p w:rsidR="00000000" w:rsidRPr="00913E2E" w:rsidP="00913E2E">
            <w:pPr>
              <w:pStyle w:val="ListBullet"/>
            </w:pPr>
            <w:r w:rsidRPr="00913E2E">
              <w:t>ability to prepare food items for tandoori cookery, including marinades, within realistic time constraints using a range of cookery methods appropriate to the Asian c</w:t>
            </w:r>
            <w:r w:rsidRPr="00913E2E">
              <w:t>uisine</w:t>
            </w:r>
          </w:p>
          <w:p w:rsidR="00000000" w:rsidRPr="00913E2E" w:rsidP="00913E2E">
            <w:pPr>
              <w:pStyle w:val="ListBullet"/>
            </w:pPr>
            <w:r w:rsidRPr="00913E2E">
              <w:t>knowledge of cuisine style, including cultural considerations, commodities, culinary terminology and equipment</w:t>
            </w:r>
          </w:p>
          <w:p w:rsidR="00000000" w:rsidP="00913E2E">
            <w:pPr>
              <w:pStyle w:val="ListBullet"/>
              <w:rPr>
                <w:lang w:val="en-NZ"/>
              </w:rPr>
            </w:pPr>
            <w:r w:rsidRPr="00913E2E">
              <w:t>safe occupational health and food hygiene practices for preparing, cooking, presenting and storing tandoori food items.</w:t>
            </w: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Context of and specific resources for assessment</w:t>
            </w:r>
            <w:r w:rsidRPr="00913E2E">
              <w:t xml:space="preserve"> </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Assessment must ensure:</w:t>
            </w:r>
          </w:p>
          <w:p w:rsidR="00000000" w:rsidRPr="00913E2E" w:rsidP="00913E2E">
            <w:pPr>
              <w:pStyle w:val="ListBullet"/>
            </w:pPr>
            <w:r w:rsidRPr="00913E2E">
              <w:t>a range of tandoori food items is prepared, cooked and served using authentic and appropriate ingredients</w:t>
            </w:r>
          </w:p>
          <w:p w:rsidR="00000000" w:rsidRPr="00913E2E" w:rsidP="00913E2E">
            <w:pPr>
              <w:pStyle w:val="ListBullet"/>
            </w:pPr>
            <w:r w:rsidRPr="00913E2E">
              <w:t>demonstration of skills within a fully equipped, operational commercial kit</w:t>
            </w:r>
            <w:r w:rsidRPr="00913E2E">
              <w:t>chen suitable for Asian cooking, including industry-current equipment, as defined in the Assessment Guidelines</w:t>
            </w:r>
          </w:p>
          <w:p w:rsidR="00000000" w:rsidRPr="00913E2E" w:rsidP="00913E2E">
            <w:pPr>
              <w:pStyle w:val="ListBullet"/>
            </w:pPr>
            <w:r w:rsidRPr="00913E2E">
              <w:t>industry-realistic ratios of kitchen staff to customers</w:t>
            </w:r>
          </w:p>
          <w:p w:rsidR="00000000" w:rsidP="00913E2E">
            <w:pPr>
              <w:pStyle w:val="ListBullet"/>
              <w:rPr>
                <w:lang w:val="en-NZ"/>
              </w:rPr>
            </w:pPr>
            <w:r w:rsidRPr="00913E2E">
              <w:t>preparation of tandoori dishes for real customers within typical workplace time constrain</w:t>
            </w:r>
            <w:r w:rsidRPr="00913E2E">
              <w:t>ts.</w:t>
            </w: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Methods of assessment</w:t>
            </w:r>
            <w:r w:rsidRPr="00913E2E">
              <w:t xml:space="preserve"> </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 xml:space="preserve">A range of assessment methods should be used to assess practical skills and knowledge. The following examples are appropriate for this unit: </w:t>
            </w:r>
          </w:p>
          <w:p w:rsidR="00000000" w:rsidRPr="00913E2E" w:rsidP="00913E2E">
            <w:pPr>
              <w:pStyle w:val="ListBullet"/>
            </w:pPr>
            <w:r w:rsidRPr="00913E2E">
              <w:t>direct observation of practical demonstration of preparing and presenting tandoori food items</w:t>
            </w:r>
          </w:p>
          <w:p w:rsidR="00000000" w:rsidRPr="00913E2E" w:rsidP="00913E2E">
            <w:pPr>
              <w:pStyle w:val="ListBullet"/>
            </w:pPr>
            <w:r w:rsidRPr="00913E2E">
              <w:t>sampling of dishes prepared by the candidate</w:t>
            </w:r>
          </w:p>
          <w:p w:rsidR="00000000" w:rsidRPr="00913E2E" w:rsidP="00913E2E">
            <w:pPr>
              <w:pStyle w:val="ListBullet"/>
            </w:pPr>
            <w:r w:rsidRPr="00913E2E">
              <w:t>written or oral questions to test knowledge of tandoori cookery, cultural aspects, use and importance of typical comm</w:t>
            </w:r>
            <w:r w:rsidRPr="00913E2E">
              <w:t>odities and flavourings, safety issues and food quality indicators</w:t>
            </w:r>
          </w:p>
          <w:p w:rsidR="00000000" w:rsidRPr="00913E2E" w:rsidP="00913E2E">
            <w:pPr>
              <w:pStyle w:val="ListBullet"/>
            </w:pPr>
            <w:r w:rsidRPr="00913E2E">
              <w:t>review of portfolios of evidence and third-party workplace reports of on-the-job performance by the candidate, such as menus and photographs.</w:t>
            </w:r>
          </w:p>
          <w:p w:rsidR="00000000" w:rsidP="00913E2E">
            <w:pPr>
              <w:pStyle w:val="BodyText"/>
              <w:rPr>
                <w:lang w:val="en-NZ"/>
              </w:rPr>
            </w:pPr>
            <w:r w:rsidRPr="00913E2E">
              <w:t>Holistic assessment with other units relevant t</w:t>
            </w:r>
            <w:r w:rsidRPr="00913E2E">
              <w:t>o the industry sector, workplace and job role is recommended.</w:t>
            </w: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Employability skills are integral to effective performance in the workplace and are broadly consistent across industry sectors. How these skills are applied va</w:t>
            </w:r>
            <w:r w:rsidRPr="00913E2E">
              <w:t>ries between occupations and qualifications due to the different work functions and contexts.</w:t>
            </w:r>
          </w:p>
          <w:p w:rsidR="00000000" w:rsidRPr="00913E2E" w:rsidP="00913E2E">
            <w:pPr>
              <w:pStyle w:val="BodyText"/>
            </w:pPr>
            <w:r w:rsidRPr="00913E2E">
              <w:t>Employability skills embedded in this unit should be assessed holistically with other relevant units that make up the skill set or qualification and in the contex</w:t>
            </w:r>
            <w:r w:rsidRPr="00913E2E">
              <w:t>t of the job role.</w:t>
            </w:r>
          </w:p>
        </w:tc>
      </w:tr>
    </w:tbl>
    <w:p w:rsidR="000E4CE9" w:rsidP="00913E2E">
      <w:pPr>
        <w:pStyle w:val="BodyText"/>
      </w:pPr>
    </w:p>
    <w:p w:rsidR="000E4CE9" w:rsidP="00913E2E">
      <w:pPr>
        <w:pStyle w:val="BodyText"/>
      </w:pPr>
    </w:p>
    <w:p w:rsidR="00000000" w:rsidRPr="00913E2E" w:rsidP="00913E2E">
      <w:pPr>
        <w:pStyle w:val="Heading1"/>
      </w:pPr>
      <w:bookmarkStart w:id="11" w:name="O_146137"/>
      <w:bookmarkEnd w:id="11"/>
      <w:r w:rsidRPr="00913E2E">
        <w:t>Range Statement</w:t>
      </w:r>
    </w:p>
    <w:tbl>
      <w:tblPr>
        <w:tblW w:w="0" w:type="auto"/>
        <w:tblLayout w:type="fixed"/>
        <w:tblCellMar>
          <w:left w:w="62" w:type="dxa"/>
          <w:right w:w="62" w:type="dxa"/>
        </w:tblCellMar>
        <w:tblLook w:val="0000"/>
      </w:tblPr>
      <w:tblGrid>
        <w:gridCol w:w="3345"/>
        <w:gridCol w:w="5835"/>
      </w:tblGrid>
      <w:tr w:rsidTr="000E4CE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RANGE STATEMENT</w:t>
            </w:r>
          </w:p>
        </w:tc>
      </w:tr>
      <w:tr w:rsidTr="000E4CE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 xml:space="preserve">The range statement relates to the unit of competency as a whole. It allows for different work environments and situations that may affect </w:t>
            </w:r>
            <w:r w:rsidRPr="00913E2E">
              <w:t>performance. Bold italicised wording in the performance criteria is detailed below.</w:t>
            </w:r>
          </w:p>
        </w:tc>
      </w:tr>
      <w:tr w:rsidTr="000E4CE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BoldandItalics"/>
              </w:rPr>
              <w:t>Commodities</w:t>
            </w:r>
            <w:r w:rsidRPr="00913E2E">
              <w:t xml:space="preserve"> and ingredients may be fresh, dried or preserved and may include:</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ListBullet"/>
            </w:pPr>
            <w:r w:rsidRPr="00913E2E">
              <w:t xml:space="preserve">meat </w:t>
            </w:r>
          </w:p>
          <w:p w:rsidR="00000000" w:rsidRPr="00913E2E" w:rsidP="00913E2E">
            <w:pPr>
              <w:pStyle w:val="ListBullet"/>
            </w:pPr>
            <w:r w:rsidRPr="00913E2E">
              <w:t>poultry</w:t>
            </w:r>
          </w:p>
          <w:p w:rsidR="00000000" w:rsidRPr="00913E2E" w:rsidP="00913E2E">
            <w:pPr>
              <w:pStyle w:val="ListBullet"/>
            </w:pPr>
            <w:r w:rsidRPr="00913E2E">
              <w:t>seafood</w:t>
            </w:r>
          </w:p>
          <w:p w:rsidR="00000000" w:rsidRPr="00913E2E" w:rsidP="00913E2E">
            <w:pPr>
              <w:pStyle w:val="ListBullet"/>
            </w:pPr>
            <w:r w:rsidRPr="00913E2E">
              <w:t>tandoori powder</w:t>
            </w:r>
          </w:p>
          <w:p w:rsidR="00000000" w:rsidP="00913E2E">
            <w:pPr>
              <w:pStyle w:val="ListBullet"/>
              <w:rPr>
                <w:lang w:val="en-NZ"/>
              </w:rPr>
            </w:pPr>
            <w:r w:rsidRPr="00913E2E">
              <w:t>curry powder, such as masala.</w:t>
            </w: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BoldandItalics"/>
              </w:rPr>
              <w:t>Required conditions</w:t>
            </w:r>
            <w:r w:rsidRPr="00913E2E">
              <w:t xml:space="preserve"> for marinating prepared tandoori items may include:</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ListBullet"/>
            </w:pPr>
            <w:r w:rsidRPr="00913E2E">
              <w:t>covered containers</w:t>
            </w:r>
          </w:p>
          <w:p w:rsidR="00000000" w:rsidP="00913E2E">
            <w:pPr>
              <w:pStyle w:val="ListBullet"/>
              <w:rPr>
                <w:lang w:val="en-NZ"/>
              </w:rPr>
            </w:pPr>
            <w:r w:rsidRPr="00913E2E">
              <w:t>chilling.</w:t>
            </w: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p>
        </w:tc>
      </w:tr>
      <w:tr w:rsidTr="000E4CE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 xml:space="preserve">Suitable </w:t>
            </w:r>
            <w:r w:rsidRPr="00913E2E">
              <w:rPr>
                <w:rStyle w:val="BoldandItalics"/>
              </w:rPr>
              <w:t>accompaniments</w:t>
            </w:r>
            <w:r w:rsidRPr="00913E2E">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913E2E" w:rsidP="00913E2E">
            <w:pPr>
              <w:pStyle w:val="ListBullet"/>
            </w:pPr>
            <w:r w:rsidRPr="00913E2E">
              <w:t>rice</w:t>
            </w:r>
          </w:p>
          <w:p w:rsidR="00000000" w:rsidRPr="00913E2E" w:rsidP="00913E2E">
            <w:pPr>
              <w:pStyle w:val="ListBullet"/>
            </w:pPr>
            <w:r w:rsidRPr="00913E2E">
              <w:t>vegetables</w:t>
            </w:r>
          </w:p>
          <w:p w:rsidR="00000000" w:rsidRPr="00913E2E" w:rsidP="00913E2E">
            <w:pPr>
              <w:pStyle w:val="ListBullet"/>
            </w:pPr>
            <w:r w:rsidRPr="00913E2E">
              <w:t>pickles</w:t>
            </w:r>
          </w:p>
          <w:p w:rsidR="00000000" w:rsidRPr="00913E2E" w:rsidP="00913E2E">
            <w:pPr>
              <w:pStyle w:val="ListBullet"/>
            </w:pPr>
            <w:r w:rsidRPr="00913E2E">
              <w:t>chutney</w:t>
            </w:r>
          </w:p>
          <w:p w:rsidR="00000000" w:rsidRPr="00913E2E" w:rsidP="00913E2E">
            <w:pPr>
              <w:pStyle w:val="ListBullet"/>
            </w:pPr>
            <w:r w:rsidRPr="00913E2E">
              <w:t>sauces.</w:t>
            </w:r>
          </w:p>
        </w:tc>
      </w:tr>
    </w:tbl>
    <w:p w:rsidR="000E4CE9" w:rsidP="00913E2E">
      <w:pPr>
        <w:pStyle w:val="BodyText"/>
      </w:pPr>
    </w:p>
    <w:p w:rsidR="000E4CE9" w:rsidP="00913E2E">
      <w:pPr>
        <w:pStyle w:val="BodyText"/>
      </w:pPr>
    </w:p>
    <w:p w:rsidR="00000000" w:rsidRPr="00913E2E" w:rsidP="00913E2E">
      <w:pPr>
        <w:pStyle w:val="Heading1"/>
      </w:pPr>
      <w:bookmarkStart w:id="12" w:name="O_146138"/>
      <w:bookmarkEnd w:id="12"/>
      <w:r w:rsidRPr="00913E2E">
        <w:t>Unit Sector(s)</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r w:rsidRPr="00913E2E">
              <w:t>Hospitality</w:t>
            </w:r>
          </w:p>
        </w:tc>
      </w:tr>
    </w:tbl>
    <w:p w:rsidR="00000000" w:rsidRPr="00913E2E" w:rsidP="00913E2E">
      <w:pPr>
        <w:pStyle w:val="BodyText"/>
      </w:pPr>
    </w:p>
    <w:p w:rsidR="00000000" w:rsidRPr="00913E2E" w:rsidP="00913E2E">
      <w:pPr>
        <w:pStyle w:val="AllowPageBreak"/>
      </w:pPr>
    </w:p>
    <w:p w:rsidR="00000000" w:rsidRPr="00913E2E" w:rsidP="00913E2E">
      <w:pPr>
        <w:pStyle w:val="Heading1"/>
      </w:pPr>
      <w:bookmarkStart w:id="13" w:name="O_163262"/>
      <w:bookmarkEnd w:id="13"/>
      <w:r w:rsidRPr="00913E2E">
        <w:t>Competency field</w:t>
      </w:r>
    </w:p>
    <w:tbl>
      <w:tblPr>
        <w:tblW w:w="0" w:type="auto"/>
        <w:tblLayout w:type="fixed"/>
        <w:tblCellMar>
          <w:left w:w="62" w:type="dxa"/>
          <w:right w:w="62" w:type="dxa"/>
        </w:tblCellMar>
        <w:tblLook w:val="0000"/>
      </w:tblPr>
      <w:tblGrid>
        <w:gridCol w:w="2836"/>
        <w:gridCol w:w="6344"/>
      </w:tblGrid>
      <w:tr w:rsidTr="000E4CE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13E2E">
            <w:pPr>
              <w:pStyle w:val="BodyText"/>
              <w:rPr>
                <w:lang w:val="en-NZ"/>
              </w:rPr>
            </w:pPr>
            <w:r w:rsidRPr="00913E2E">
              <w:t>Asian Cookery</w:t>
            </w:r>
          </w:p>
        </w:tc>
      </w:tr>
      <w:tr w:rsidTr="000E4CE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3E2E" w:rsidP="00913E2E">
            <w:pPr>
              <w:pStyle w:val="BodyText"/>
            </w:pPr>
          </w:p>
        </w:tc>
      </w:tr>
    </w:tbl>
    <w:p w:rsidR="00000000" w:rsidRPr="00913E2E" w:rsidP="00913E2E">
      <w:pPr>
        <w:pStyle w:val="BodyText"/>
      </w:pPr>
    </w:p>
    <w:p w:rsidR="00000000" w:rsidRPr="00913E2E" w:rsidP="00913E2E"/>
    <w:sectPr w:rsidSect="00913E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CE9" w:rsidP="000E4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E9" w:rsidP="00913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4CE9" w:rsidP="00913E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4CE9" w:rsidP="00913E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CE9" w:rsidP="000E4C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E9" w:rsidP="00913E2E">
    <w:pPr>
      <w:pStyle w:val="Header"/>
      <w:framePr w:wrap="around"/>
    </w:pPr>
    <w:r>
      <w:fldChar w:fldCharType="begin"/>
    </w:r>
    <w:r>
      <w:instrText xml:space="preserve"> TITLE   \* MERGEFORMAT </w:instrText>
    </w:r>
    <w:r>
      <w:fldChar w:fldCharType="separate"/>
    </w:r>
    <w:r>
      <w:t>SITHASC022A Prepare and produce tandoori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4CE9" w:rsidP="00913E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7A3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28C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E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3E2E"/>
    <w:pPr>
      <w:spacing w:before="360" w:after="60"/>
      <w:outlineLvl w:val="0"/>
    </w:pPr>
    <w:rPr>
      <w:sz w:val="32"/>
    </w:rPr>
  </w:style>
  <w:style w:type="paragraph" w:styleId="Heading2">
    <w:name w:val="heading 2"/>
    <w:basedOn w:val="HeadingBase"/>
    <w:next w:val="BodyText"/>
    <w:link w:val="Heading2Char"/>
    <w:qFormat/>
    <w:rsid w:val="00913E2E"/>
    <w:pPr>
      <w:keepLines/>
      <w:spacing w:before="240" w:after="120"/>
      <w:outlineLvl w:val="1"/>
    </w:pPr>
    <w:rPr>
      <w:sz w:val="28"/>
      <w:szCs w:val="40"/>
    </w:rPr>
  </w:style>
  <w:style w:type="paragraph" w:styleId="Heading3">
    <w:name w:val="heading 3"/>
    <w:basedOn w:val="HeadingBase"/>
    <w:next w:val="BodyText"/>
    <w:link w:val="Heading3Char"/>
    <w:qFormat/>
    <w:rsid w:val="00913E2E"/>
    <w:pPr>
      <w:spacing w:before="180" w:after="120"/>
      <w:outlineLvl w:val="2"/>
    </w:pPr>
    <w:rPr>
      <w:spacing w:val="-10"/>
      <w:kern w:val="32"/>
    </w:rPr>
  </w:style>
  <w:style w:type="paragraph" w:styleId="Heading4">
    <w:name w:val="heading 4"/>
    <w:basedOn w:val="HeadingBase"/>
    <w:next w:val="BodyText"/>
    <w:link w:val="Heading4Char"/>
    <w:qFormat/>
    <w:rsid w:val="00913E2E"/>
    <w:pPr>
      <w:spacing w:before="160" w:after="120"/>
      <w:outlineLvl w:val="3"/>
    </w:pPr>
    <w:rPr>
      <w:sz w:val="22"/>
    </w:rPr>
  </w:style>
  <w:style w:type="paragraph" w:styleId="Heading5">
    <w:name w:val="heading 5"/>
    <w:basedOn w:val="HeadingBase"/>
    <w:next w:val="Normal"/>
    <w:link w:val="Heading5Char"/>
    <w:qFormat/>
    <w:rsid w:val="00913E2E"/>
    <w:pPr>
      <w:spacing w:before="80"/>
      <w:outlineLvl w:val="4"/>
    </w:pPr>
    <w:rPr>
      <w:color w:val="918585"/>
      <w:sz w:val="20"/>
    </w:rPr>
  </w:style>
  <w:style w:type="paragraph" w:styleId="Heading6">
    <w:name w:val="heading 6"/>
    <w:basedOn w:val="HeadingBase"/>
    <w:next w:val="Normal"/>
    <w:link w:val="Heading6Char"/>
    <w:qFormat/>
    <w:rsid w:val="00913E2E"/>
    <w:pPr>
      <w:spacing w:before="60"/>
      <w:outlineLvl w:val="5"/>
    </w:pPr>
    <w:rPr>
      <w:color w:val="918585"/>
      <w:sz w:val="20"/>
    </w:rPr>
  </w:style>
  <w:style w:type="paragraph" w:styleId="Heading7">
    <w:name w:val="heading 7"/>
    <w:basedOn w:val="Normal"/>
    <w:next w:val="Normal"/>
    <w:link w:val="Heading7Char"/>
    <w:qFormat/>
    <w:rsid w:val="00913E2E"/>
    <w:pPr>
      <w:ind w:left="720"/>
      <w:outlineLvl w:val="6"/>
    </w:pPr>
    <w:rPr>
      <w:i/>
    </w:rPr>
  </w:style>
  <w:style w:type="paragraph" w:styleId="Heading8">
    <w:name w:val="heading 8"/>
    <w:basedOn w:val="Normal"/>
    <w:next w:val="Normal"/>
    <w:link w:val="Heading8Char"/>
    <w:qFormat/>
    <w:rsid w:val="00913E2E"/>
    <w:pPr>
      <w:ind w:left="720"/>
      <w:outlineLvl w:val="7"/>
    </w:pPr>
    <w:rPr>
      <w:i/>
    </w:rPr>
  </w:style>
  <w:style w:type="paragraph" w:styleId="Heading9">
    <w:name w:val="heading 9"/>
    <w:basedOn w:val="Normal"/>
    <w:next w:val="Normal"/>
    <w:link w:val="Heading9Char"/>
    <w:qFormat/>
    <w:rsid w:val="00913E2E"/>
    <w:pPr>
      <w:ind w:left="720"/>
      <w:outlineLvl w:val="8"/>
    </w:pPr>
    <w:rPr>
      <w:i/>
    </w:rPr>
  </w:style>
  <w:style w:type="character" w:default="1" w:styleId="DefaultParagraphFont">
    <w:name w:val="Default Paragraph Font"/>
    <w:uiPriority w:val="1"/>
    <w:unhideWhenUsed/>
    <w:rsid w:val="00913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E2E"/>
  </w:style>
  <w:style w:type="character" w:customStyle="1" w:styleId="Heading1Char">
    <w:name w:val="Heading 1 Char"/>
    <w:basedOn w:val="DefaultParagraphFont"/>
    <w:link w:val="Heading1"/>
    <w:rsid w:val="00913E2E"/>
    <w:rPr>
      <w:rFonts w:ascii="Times New Roman" w:eastAsia="Times New Roman" w:hAnsi="Times New Roman" w:cs="Times New Roman"/>
      <w:b/>
      <w:sz w:val="32"/>
      <w:szCs w:val="20"/>
      <w:lang w:eastAsia="en-US"/>
    </w:rPr>
  </w:style>
  <w:style w:type="paragraph" w:styleId="BodyText">
    <w:name w:val="Body Text"/>
    <w:basedOn w:val="Normal"/>
    <w:link w:val="BodyTextChar"/>
    <w:rsid w:val="00913E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E2E"/>
    <w:rPr>
      <w:rFonts w:ascii="Times New Roman" w:eastAsia="Times New Roman" w:hAnsi="Times New Roman" w:cs="Times New Roman"/>
      <w:sz w:val="24"/>
      <w:lang w:val="en-US" w:eastAsia="en-US"/>
    </w:rPr>
  </w:style>
  <w:style w:type="paragraph" w:styleId="Footer">
    <w:name w:val="footer"/>
    <w:basedOn w:val="Normal"/>
    <w:link w:val="FooterChar"/>
    <w:rsid w:val="00913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E2E"/>
    <w:rPr>
      <w:rFonts w:ascii="Times New Roman" w:eastAsia="Times New Roman" w:hAnsi="Times New Roman" w:cs="Times New Roman"/>
      <w:sz w:val="16"/>
      <w:lang w:val="en-US" w:eastAsia="en-US"/>
    </w:rPr>
  </w:style>
  <w:style w:type="paragraph" w:styleId="List">
    <w:name w:val="List"/>
    <w:basedOn w:val="BodyText"/>
    <w:next w:val="BodyText"/>
    <w:rsid w:val="00913E2E"/>
    <w:pPr>
      <w:tabs>
        <w:tab w:val="left" w:pos="340"/>
      </w:tabs>
      <w:spacing w:before="60" w:after="60"/>
      <w:ind w:left="340" w:hanging="340"/>
    </w:pPr>
  </w:style>
  <w:style w:type="paragraph" w:styleId="ListBullet">
    <w:name w:val="List Bullet"/>
    <w:basedOn w:val="List"/>
    <w:rsid w:val="00913E2E"/>
    <w:pPr>
      <w:numPr>
        <w:numId w:val="12"/>
      </w:numPr>
      <w:tabs>
        <w:tab w:val="clear" w:pos="340"/>
      </w:tabs>
      <w:spacing w:before="40" w:after="40"/>
    </w:pPr>
  </w:style>
  <w:style w:type="character" w:customStyle="1" w:styleId="SpecialBold">
    <w:name w:val="Special Bold"/>
    <w:basedOn w:val="DefaultParagraphFont"/>
    <w:rsid w:val="00913E2E"/>
    <w:rPr>
      <w:b/>
      <w:spacing w:val="0"/>
    </w:rPr>
  </w:style>
  <w:style w:type="paragraph" w:styleId="Header">
    <w:name w:val="header"/>
    <w:basedOn w:val="Normal"/>
    <w:link w:val="HeaderChar"/>
    <w:rsid w:val="00913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E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3E2E"/>
    <w:pPr>
      <w:spacing w:before="240" w:after="120"/>
      <w:outlineLvl w:val="0"/>
    </w:pPr>
    <w:rPr>
      <w:rFonts w:ascii="Times New Roman" w:hAnsi="Times New Roman"/>
      <w:b/>
      <w:sz w:val="28"/>
    </w:rPr>
  </w:style>
  <w:style w:type="paragraph" w:customStyle="1" w:styleId="AllowPageBreak">
    <w:name w:val="AllowPageBreak"/>
    <w:rsid w:val="00913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3E2E"/>
    <w:rPr>
      <w:b/>
      <w:i/>
      <w:u w:val="none"/>
    </w:rPr>
  </w:style>
  <w:style w:type="character" w:customStyle="1" w:styleId="Heading2Char">
    <w:name w:val="Heading 2 Char"/>
    <w:basedOn w:val="DefaultParagraphFont"/>
    <w:link w:val="Heading2"/>
    <w:rsid w:val="00913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E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3E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3E2E"/>
    <w:rPr>
      <w:rFonts w:ascii="Courier New" w:eastAsia="Times New Roman" w:hAnsi="Courier New" w:cs="Times New Roman"/>
      <w:i/>
      <w:szCs w:val="20"/>
      <w:lang w:val="en-US" w:eastAsia="en-US"/>
    </w:rPr>
  </w:style>
  <w:style w:type="paragraph" w:customStyle="1" w:styleId="HeadingBase">
    <w:name w:val="Heading Base"/>
    <w:rsid w:val="00913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E2E"/>
    <w:pPr>
      <w:tabs>
        <w:tab w:val="right" w:leader="dot" w:pos="9072"/>
      </w:tabs>
      <w:ind w:left="567"/>
    </w:pPr>
    <w:rPr>
      <w:szCs w:val="22"/>
    </w:rPr>
  </w:style>
  <w:style w:type="paragraph" w:customStyle="1" w:styleId="TOCBase">
    <w:name w:val="TOC Base"/>
    <w:rsid w:val="00913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E2E"/>
    <w:pPr>
      <w:tabs>
        <w:tab w:val="right" w:leader="dot" w:pos="9072"/>
      </w:tabs>
      <w:spacing w:before="40" w:after="40"/>
      <w:ind w:left="284"/>
    </w:pPr>
    <w:rPr>
      <w:rFonts w:ascii="Times New Roman" w:hAnsi="Times New Roman"/>
    </w:rPr>
  </w:style>
  <w:style w:type="paragraph" w:styleId="TOC1">
    <w:name w:val="toc 1"/>
    <w:basedOn w:val="TOCBase"/>
    <w:next w:val="Normal"/>
    <w:rsid w:val="00913E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E2E"/>
    <w:pPr>
      <w:spacing w:before="5040"/>
      <w:jc w:val="center"/>
    </w:pPr>
    <w:rPr>
      <w:sz w:val="48"/>
      <w:szCs w:val="72"/>
      <w:lang w:val="en-US"/>
    </w:rPr>
  </w:style>
  <w:style w:type="character" w:customStyle="1" w:styleId="TitleChar">
    <w:name w:val="Title Char"/>
    <w:basedOn w:val="DefaultParagraphFont"/>
    <w:link w:val="Title"/>
    <w:rsid w:val="00913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E2E"/>
    <w:pPr>
      <w:tabs>
        <w:tab w:val="left" w:pos="3600"/>
        <w:tab w:val="left" w:pos="3958"/>
      </w:tabs>
    </w:pPr>
  </w:style>
  <w:style w:type="paragraph" w:customStyle="1" w:styleId="Note">
    <w:name w:val="Note"/>
    <w:basedOn w:val="BodyText"/>
    <w:rsid w:val="00913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E2E"/>
    <w:pPr>
      <w:framePr w:wrap="auto" w:hAnchor="text" w:y="6049"/>
    </w:pPr>
    <w:rPr>
      <w:color w:val="000000"/>
      <w:sz w:val="40"/>
    </w:rPr>
  </w:style>
  <w:style w:type="paragraph" w:customStyle="1" w:styleId="TOCTitle">
    <w:name w:val="TOCTitle"/>
    <w:basedOn w:val="Heading1"/>
    <w:rsid w:val="00913E2E"/>
    <w:pPr>
      <w:spacing w:after="240"/>
      <w:jc w:val="center"/>
      <w:outlineLvl w:val="9"/>
    </w:pPr>
    <w:rPr>
      <w:caps/>
    </w:rPr>
  </w:style>
  <w:style w:type="paragraph" w:customStyle="1" w:styleId="Version">
    <w:name w:val="Version"/>
    <w:rsid w:val="00913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E2E"/>
    <w:pPr>
      <w:numPr>
        <w:numId w:val="13"/>
      </w:numPr>
      <w:tabs>
        <w:tab w:val="clear" w:pos="680"/>
      </w:tabs>
    </w:pPr>
  </w:style>
  <w:style w:type="paragraph" w:styleId="Index1">
    <w:name w:val="index 1"/>
    <w:basedOn w:val="Normal"/>
    <w:next w:val="Normal"/>
    <w:semiHidden/>
    <w:rsid w:val="00913E2E"/>
    <w:pPr>
      <w:keepNext w:val="0"/>
      <w:tabs>
        <w:tab w:val="right" w:pos="4176"/>
      </w:tabs>
      <w:ind w:left="198" w:hanging="198"/>
    </w:pPr>
    <w:rPr>
      <w:rFonts w:ascii="Garamond" w:hAnsi="Garamond"/>
    </w:rPr>
  </w:style>
  <w:style w:type="paragraph" w:styleId="IndexHeading">
    <w:name w:val="index heading"/>
    <w:basedOn w:val="Normal"/>
    <w:next w:val="Index1"/>
    <w:semiHidden/>
    <w:rsid w:val="00913E2E"/>
    <w:pPr>
      <w:spacing w:before="120" w:after="120"/>
    </w:pPr>
    <w:rPr>
      <w:rFonts w:ascii="Arial" w:hAnsi="Arial"/>
      <w:b/>
      <w:color w:val="918585"/>
      <w:sz w:val="24"/>
    </w:rPr>
  </w:style>
  <w:style w:type="paragraph" w:customStyle="1" w:styleId="Chapter">
    <w:name w:val="Chapter"/>
    <w:basedOn w:val="Normal"/>
    <w:rsid w:val="00913E2E"/>
    <w:pPr>
      <w:spacing w:before="240"/>
    </w:pPr>
    <w:rPr>
      <w:rFonts w:ascii="Times New Roman" w:hAnsi="Times New Roman"/>
      <w:smallCaps/>
      <w:spacing w:val="80"/>
      <w:sz w:val="28"/>
    </w:rPr>
  </w:style>
  <w:style w:type="paragraph" w:customStyle="1" w:styleId="InChapter">
    <w:name w:val="InChapter"/>
    <w:basedOn w:val="Heading3"/>
    <w:rsid w:val="00913E2E"/>
    <w:pPr>
      <w:spacing w:after="240"/>
      <w:outlineLvl w:val="9"/>
    </w:pPr>
    <w:rPr>
      <w:noProof/>
    </w:rPr>
  </w:style>
  <w:style w:type="paragraph" w:styleId="Index2">
    <w:name w:val="index 2"/>
    <w:basedOn w:val="Normal"/>
    <w:next w:val="Normal"/>
    <w:semiHidden/>
    <w:rsid w:val="00913E2E"/>
    <w:pPr>
      <w:tabs>
        <w:tab w:val="right" w:pos="4176"/>
      </w:tabs>
      <w:ind w:left="568" w:hanging="284"/>
    </w:pPr>
    <w:rPr>
      <w:rFonts w:ascii="Garamond" w:hAnsi="Garamond"/>
    </w:rPr>
  </w:style>
  <w:style w:type="paragraph" w:customStyle="1" w:styleId="Byline">
    <w:name w:val="Byline"/>
    <w:rsid w:val="00913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E2E"/>
    <w:pPr>
      <w:tabs>
        <w:tab w:val="clear" w:pos="3600"/>
        <w:tab w:val="clear" w:pos="3958"/>
      </w:tabs>
      <w:jc w:val="right"/>
    </w:pPr>
  </w:style>
  <w:style w:type="character" w:styleId="Emphasis">
    <w:name w:val="Emphasis"/>
    <w:basedOn w:val="DefaultParagraphFont"/>
    <w:qFormat/>
    <w:rsid w:val="00913E2E"/>
    <w:rPr>
      <w:i/>
    </w:rPr>
  </w:style>
  <w:style w:type="paragraph" w:styleId="Caption">
    <w:name w:val="caption"/>
    <w:basedOn w:val="BodyText"/>
    <w:next w:val="Normal"/>
    <w:qFormat/>
    <w:rsid w:val="00913E2E"/>
    <w:pPr>
      <w:framePr w:w="2268" w:hSpace="181" w:vSpace="181" w:wrap="around" w:vAnchor="text" w:hAnchor="page" w:x="1135" w:y="285" w:anchorLock="1"/>
    </w:pPr>
    <w:rPr>
      <w:i/>
    </w:rPr>
  </w:style>
  <w:style w:type="paragraph" w:customStyle="1" w:styleId="MiniTOCTitle">
    <w:name w:val="MiniTOCTitle"/>
    <w:basedOn w:val="Heading4"/>
    <w:rsid w:val="00913E2E"/>
    <w:pPr>
      <w:spacing w:before="240"/>
      <w:outlineLvl w:val="9"/>
    </w:pPr>
    <w:rPr>
      <w:noProof/>
      <w:sz w:val="24"/>
    </w:rPr>
  </w:style>
  <w:style w:type="paragraph" w:customStyle="1" w:styleId="MiniTOCItem">
    <w:name w:val="MiniTOCItem"/>
    <w:basedOn w:val="ListBullet"/>
    <w:rsid w:val="00913E2E"/>
    <w:pPr>
      <w:numPr>
        <w:numId w:val="0"/>
      </w:numPr>
      <w:tabs>
        <w:tab w:val="right" w:leader="dot" w:pos="6521"/>
      </w:tabs>
      <w:spacing w:before="0" w:after="0"/>
    </w:pPr>
  </w:style>
  <w:style w:type="paragraph" w:customStyle="1" w:styleId="TOFTitle">
    <w:name w:val="TOFTitle"/>
    <w:basedOn w:val="TOCTitle"/>
    <w:rsid w:val="00913E2E"/>
  </w:style>
  <w:style w:type="paragraph" w:styleId="TableofFigures">
    <w:name w:val="table of figures"/>
    <w:basedOn w:val="Normal"/>
    <w:next w:val="Normal"/>
    <w:semiHidden/>
    <w:rsid w:val="00913E2E"/>
    <w:pPr>
      <w:tabs>
        <w:tab w:val="right" w:leader="dot" w:pos="9072"/>
      </w:tabs>
      <w:ind w:left="970" w:hanging="403"/>
    </w:pPr>
    <w:rPr>
      <w:rFonts w:ascii="Times New Roman" w:hAnsi="Times New Roman"/>
      <w:b/>
    </w:rPr>
  </w:style>
  <w:style w:type="paragraph" w:styleId="ListNumber">
    <w:name w:val="List Number"/>
    <w:basedOn w:val="List"/>
    <w:rsid w:val="00913E2E"/>
    <w:pPr>
      <w:numPr>
        <w:numId w:val="10"/>
      </w:numPr>
    </w:pPr>
  </w:style>
  <w:style w:type="character" w:customStyle="1" w:styleId="WingdingSymbols">
    <w:name w:val="Wingding Symbols"/>
    <w:rsid w:val="00913E2E"/>
    <w:rPr>
      <w:rFonts w:ascii="Wingdings" w:hAnsi="Wingdings"/>
    </w:rPr>
  </w:style>
  <w:style w:type="paragraph" w:customStyle="1" w:styleId="TableHeading">
    <w:name w:val="Table Heading"/>
    <w:basedOn w:val="HeadingBase"/>
    <w:rsid w:val="00913E2E"/>
    <w:pPr>
      <w:keepLines/>
      <w:pBdr>
        <w:bottom w:val="single" w:sz="6" w:space="1" w:color="918585"/>
      </w:pBdr>
      <w:spacing w:before="240"/>
    </w:pPr>
  </w:style>
  <w:style w:type="character" w:customStyle="1" w:styleId="HotSpot">
    <w:name w:val="HotSpot"/>
    <w:rsid w:val="00913E2E"/>
    <w:rPr>
      <w:color w:val="0033CC"/>
      <w:u w:val="none"/>
    </w:rPr>
  </w:style>
  <w:style w:type="paragraph" w:customStyle="1" w:styleId="BodyTextRight">
    <w:name w:val="Body Text Right"/>
    <w:basedOn w:val="BodyText"/>
    <w:rsid w:val="00913E2E"/>
    <w:pPr>
      <w:spacing w:before="0" w:after="0"/>
      <w:jc w:val="right"/>
    </w:pPr>
  </w:style>
  <w:style w:type="paragraph" w:styleId="Index3">
    <w:name w:val="index 3"/>
    <w:basedOn w:val="ListNumber2"/>
    <w:next w:val="Normal"/>
    <w:semiHidden/>
    <w:rsid w:val="00913E2E"/>
    <w:pPr>
      <w:numPr>
        <w:numId w:val="0"/>
      </w:numPr>
      <w:tabs>
        <w:tab w:val="right" w:leader="dot" w:pos="4176"/>
      </w:tabs>
    </w:pPr>
  </w:style>
  <w:style w:type="paragraph" w:styleId="ListNumber2">
    <w:name w:val="List Number 2"/>
    <w:basedOn w:val="List2"/>
    <w:rsid w:val="00913E2E"/>
    <w:pPr>
      <w:numPr>
        <w:numId w:val="9"/>
      </w:numPr>
      <w:tabs>
        <w:tab w:val="clear" w:pos="1060"/>
      </w:tabs>
    </w:pPr>
  </w:style>
  <w:style w:type="paragraph" w:customStyle="1" w:styleId="MarginNote">
    <w:name w:val="Margin Note"/>
    <w:basedOn w:val="BodyText"/>
    <w:rsid w:val="00913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E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3E2E"/>
    <w:rPr>
      <w:sz w:val="32"/>
    </w:rPr>
  </w:style>
  <w:style w:type="paragraph" w:customStyle="1" w:styleId="HeadingProcedure">
    <w:name w:val="Heading Procedure"/>
    <w:basedOn w:val="HeadingBase"/>
    <w:next w:val="Normal"/>
    <w:rsid w:val="00913E2E"/>
    <w:pPr>
      <w:tabs>
        <w:tab w:val="left" w:pos="0"/>
      </w:tabs>
      <w:spacing w:before="120" w:after="60"/>
    </w:pPr>
    <w:rPr>
      <w:i/>
      <w:color w:val="918585"/>
      <w:sz w:val="22"/>
    </w:rPr>
  </w:style>
  <w:style w:type="paragraph" w:customStyle="1" w:styleId="TableBodyText">
    <w:name w:val="Table Body Text"/>
    <w:basedOn w:val="BodyText"/>
    <w:rsid w:val="00913E2E"/>
    <w:pPr>
      <w:spacing w:before="60" w:after="60"/>
    </w:pPr>
  </w:style>
  <w:style w:type="paragraph" w:styleId="ListContinue">
    <w:name w:val="List Continue"/>
    <w:basedOn w:val="List"/>
    <w:rsid w:val="00913E2E"/>
    <w:pPr>
      <w:ind w:firstLine="0"/>
    </w:pPr>
  </w:style>
  <w:style w:type="paragraph" w:customStyle="1" w:styleId="ListNote">
    <w:name w:val="List Note"/>
    <w:basedOn w:val="List"/>
    <w:rsid w:val="00913E2E"/>
    <w:pPr>
      <w:pBdr>
        <w:top w:val="single" w:sz="6" w:space="2" w:color="918585"/>
        <w:bottom w:val="single" w:sz="6" w:space="2" w:color="918585"/>
      </w:pBdr>
      <w:tabs>
        <w:tab w:val="left" w:pos="1021"/>
      </w:tabs>
      <w:ind w:firstLine="0"/>
    </w:pPr>
  </w:style>
  <w:style w:type="paragraph" w:customStyle="1" w:styleId="Warning">
    <w:name w:val="Warning"/>
    <w:basedOn w:val="BodyText"/>
    <w:rsid w:val="00913E2E"/>
    <w:pPr>
      <w:shd w:val="clear" w:color="auto" w:fill="D9D9D9"/>
      <w:tabs>
        <w:tab w:val="left" w:pos="992"/>
      </w:tabs>
      <w:ind w:left="119" w:right="119"/>
    </w:pPr>
    <w:rPr>
      <w:sz w:val="20"/>
    </w:rPr>
  </w:style>
  <w:style w:type="paragraph" w:customStyle="1" w:styleId="MarginIcons">
    <w:name w:val="Margin Icons"/>
    <w:basedOn w:val="BodyText"/>
    <w:rsid w:val="00913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E2E"/>
    <w:rPr>
      <w:rFonts w:ascii="Courier New" w:hAnsi="Courier New"/>
    </w:rPr>
  </w:style>
  <w:style w:type="paragraph" w:customStyle="1" w:styleId="NoteBullet">
    <w:name w:val="Note Bullet"/>
    <w:basedOn w:val="Note"/>
    <w:rsid w:val="00913E2E"/>
    <w:pPr>
      <w:tabs>
        <w:tab w:val="clear" w:pos="680"/>
      </w:tabs>
      <w:spacing w:before="60" w:after="60"/>
    </w:pPr>
  </w:style>
  <w:style w:type="paragraph" w:customStyle="1" w:styleId="SubHeading2">
    <w:name w:val="SubHeading2"/>
    <w:basedOn w:val="HeadingBase"/>
    <w:rsid w:val="00913E2E"/>
    <w:pPr>
      <w:spacing w:before="240" w:after="60"/>
    </w:pPr>
    <w:rPr>
      <w:sz w:val="20"/>
    </w:rPr>
  </w:style>
  <w:style w:type="paragraph" w:customStyle="1" w:styleId="SubHeading1">
    <w:name w:val="SubHeading1"/>
    <w:basedOn w:val="HeadingBase"/>
    <w:rsid w:val="00913E2E"/>
    <w:pPr>
      <w:spacing w:before="240" w:after="60"/>
    </w:pPr>
    <w:rPr>
      <w:color w:val="918585"/>
      <w:sz w:val="22"/>
    </w:rPr>
  </w:style>
  <w:style w:type="paragraph" w:customStyle="1" w:styleId="SideHeading">
    <w:name w:val="Side Heading"/>
    <w:basedOn w:val="HeadingBase"/>
    <w:rsid w:val="00913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E2E"/>
    <w:pPr>
      <w:tabs>
        <w:tab w:val="num" w:pos="360"/>
      </w:tabs>
    </w:pPr>
  </w:style>
  <w:style w:type="paragraph" w:styleId="PlainText">
    <w:name w:val="Plain Text"/>
    <w:basedOn w:val="Normal"/>
    <w:link w:val="PlainTextChar"/>
    <w:rsid w:val="00913E2E"/>
    <w:rPr>
      <w:sz w:val="20"/>
    </w:rPr>
  </w:style>
  <w:style w:type="character" w:customStyle="1" w:styleId="PlainTextChar">
    <w:name w:val="Plain Text Char"/>
    <w:basedOn w:val="DefaultParagraphFont"/>
    <w:link w:val="PlainText"/>
    <w:rsid w:val="00913E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3E2E"/>
    <w:rPr>
      <w:b/>
      <w:smallCaps/>
    </w:rPr>
  </w:style>
  <w:style w:type="paragraph" w:customStyle="1" w:styleId="TableListNumber">
    <w:name w:val="Table List Number"/>
    <w:basedOn w:val="ListNumber"/>
    <w:rsid w:val="00913E2E"/>
    <w:pPr>
      <w:numPr>
        <w:numId w:val="0"/>
      </w:numPr>
    </w:pPr>
  </w:style>
  <w:style w:type="paragraph" w:styleId="TOC4">
    <w:name w:val="toc 4"/>
    <w:basedOn w:val="TOCBase"/>
    <w:next w:val="Normal"/>
    <w:semiHidden/>
    <w:rsid w:val="00913E2E"/>
    <w:pPr>
      <w:tabs>
        <w:tab w:val="right" w:leader="dot" w:pos="9071"/>
      </w:tabs>
      <w:ind w:left="1701"/>
    </w:pPr>
  </w:style>
  <w:style w:type="paragraph" w:customStyle="1" w:styleId="ListAlpha">
    <w:name w:val="List Alpha"/>
    <w:basedOn w:val="List"/>
    <w:rsid w:val="00913E2E"/>
    <w:pPr>
      <w:numPr>
        <w:numId w:val="8"/>
      </w:numPr>
    </w:pPr>
  </w:style>
  <w:style w:type="paragraph" w:customStyle="1" w:styleId="ListAlpha2">
    <w:name w:val="List Alpha 2"/>
    <w:basedOn w:val="List2"/>
    <w:rsid w:val="00913E2E"/>
    <w:pPr>
      <w:numPr>
        <w:numId w:val="7"/>
      </w:numPr>
    </w:pPr>
  </w:style>
  <w:style w:type="paragraph" w:styleId="List2">
    <w:name w:val="List 2"/>
    <w:basedOn w:val="BodyText"/>
    <w:rsid w:val="00913E2E"/>
    <w:pPr>
      <w:tabs>
        <w:tab w:val="left" w:pos="680"/>
      </w:tabs>
      <w:spacing w:before="60" w:after="60"/>
      <w:ind w:left="680" w:hanging="340"/>
    </w:pPr>
  </w:style>
  <w:style w:type="paragraph" w:styleId="List3">
    <w:name w:val="List 3"/>
    <w:basedOn w:val="BodyText"/>
    <w:rsid w:val="00913E2E"/>
    <w:pPr>
      <w:tabs>
        <w:tab w:val="left" w:pos="1021"/>
      </w:tabs>
      <w:spacing w:before="60" w:after="60"/>
      <w:ind w:left="1020" w:hanging="340"/>
    </w:pPr>
  </w:style>
  <w:style w:type="paragraph" w:styleId="List4">
    <w:name w:val="List 4"/>
    <w:basedOn w:val="BodyText"/>
    <w:rsid w:val="00913E2E"/>
    <w:pPr>
      <w:tabs>
        <w:tab w:val="left" w:pos="1361"/>
      </w:tabs>
      <w:spacing w:before="60" w:after="60"/>
      <w:ind w:left="1361" w:hanging="340"/>
    </w:pPr>
  </w:style>
  <w:style w:type="paragraph" w:styleId="List5">
    <w:name w:val="List 5"/>
    <w:basedOn w:val="BodyText"/>
    <w:rsid w:val="00913E2E"/>
    <w:pPr>
      <w:tabs>
        <w:tab w:val="left" w:pos="1701"/>
      </w:tabs>
      <w:spacing w:before="60" w:after="60"/>
      <w:ind w:left="1701" w:hanging="340"/>
    </w:pPr>
  </w:style>
  <w:style w:type="paragraph" w:styleId="ListBullet3">
    <w:name w:val="List Bullet 3"/>
    <w:basedOn w:val="List3"/>
    <w:rsid w:val="00913E2E"/>
    <w:pPr>
      <w:numPr>
        <w:numId w:val="14"/>
      </w:numPr>
      <w:tabs>
        <w:tab w:val="clear" w:pos="1021"/>
      </w:tabs>
      <w:ind w:left="1037" w:hanging="357"/>
    </w:pPr>
  </w:style>
  <w:style w:type="paragraph" w:styleId="ListBullet4">
    <w:name w:val="List Bullet 4"/>
    <w:basedOn w:val="List4"/>
    <w:rsid w:val="00913E2E"/>
    <w:pPr>
      <w:numPr>
        <w:numId w:val="2"/>
      </w:numPr>
    </w:pPr>
  </w:style>
  <w:style w:type="paragraph" w:styleId="ListBullet5">
    <w:name w:val="List Bullet 5"/>
    <w:basedOn w:val="List5"/>
    <w:rsid w:val="00913E2E"/>
    <w:pPr>
      <w:numPr>
        <w:numId w:val="3"/>
      </w:numPr>
    </w:pPr>
  </w:style>
  <w:style w:type="paragraph" w:styleId="ListContinue2">
    <w:name w:val="List Continue 2"/>
    <w:basedOn w:val="List2"/>
    <w:rsid w:val="00913E2E"/>
    <w:pPr>
      <w:ind w:firstLine="0"/>
    </w:pPr>
  </w:style>
  <w:style w:type="paragraph" w:styleId="ListContinue3">
    <w:name w:val="List Continue 3"/>
    <w:basedOn w:val="List3"/>
    <w:rsid w:val="00913E2E"/>
    <w:pPr>
      <w:ind w:left="1021" w:firstLine="0"/>
    </w:pPr>
  </w:style>
  <w:style w:type="paragraph" w:styleId="ListContinue4">
    <w:name w:val="List Continue 4"/>
    <w:basedOn w:val="List4"/>
    <w:rsid w:val="00913E2E"/>
    <w:pPr>
      <w:ind w:firstLine="0"/>
    </w:pPr>
  </w:style>
  <w:style w:type="paragraph" w:styleId="ListContinue5">
    <w:name w:val="List Continue 5"/>
    <w:basedOn w:val="List5"/>
    <w:rsid w:val="00913E2E"/>
    <w:pPr>
      <w:ind w:firstLine="0"/>
    </w:pPr>
  </w:style>
  <w:style w:type="paragraph" w:styleId="ListNumber3">
    <w:name w:val="List Number 3"/>
    <w:basedOn w:val="List3"/>
    <w:rsid w:val="00913E2E"/>
    <w:pPr>
      <w:numPr>
        <w:numId w:val="4"/>
      </w:numPr>
    </w:pPr>
  </w:style>
  <w:style w:type="paragraph" w:styleId="ListNumber4">
    <w:name w:val="List Number 4"/>
    <w:basedOn w:val="List4"/>
    <w:rsid w:val="00913E2E"/>
    <w:pPr>
      <w:numPr>
        <w:numId w:val="5"/>
      </w:numPr>
    </w:pPr>
  </w:style>
  <w:style w:type="paragraph" w:styleId="ListNumber5">
    <w:name w:val="List Number 5"/>
    <w:basedOn w:val="List5"/>
    <w:rsid w:val="00913E2E"/>
    <w:pPr>
      <w:numPr>
        <w:numId w:val="6"/>
      </w:numPr>
    </w:pPr>
  </w:style>
  <w:style w:type="paragraph" w:styleId="BlockText">
    <w:name w:val="Block Text"/>
    <w:basedOn w:val="Normal"/>
    <w:rsid w:val="00913E2E"/>
    <w:pPr>
      <w:spacing w:after="120"/>
      <w:ind w:left="1440" w:right="1440"/>
    </w:pPr>
  </w:style>
  <w:style w:type="character" w:customStyle="1" w:styleId="Subscript">
    <w:name w:val="Subscript"/>
    <w:basedOn w:val="DefaultParagraphFont"/>
    <w:rsid w:val="00913E2E"/>
    <w:rPr>
      <w:sz w:val="16"/>
      <w:vertAlign w:val="subscript"/>
    </w:rPr>
  </w:style>
  <w:style w:type="character" w:customStyle="1" w:styleId="Superscript">
    <w:name w:val="Superscript"/>
    <w:basedOn w:val="DefaultParagraphFont"/>
    <w:rsid w:val="00913E2E"/>
    <w:rPr>
      <w:sz w:val="16"/>
      <w:vertAlign w:val="superscript"/>
    </w:rPr>
  </w:style>
  <w:style w:type="character" w:customStyle="1" w:styleId="Symbols">
    <w:name w:val="Symbols"/>
    <w:basedOn w:val="DefaultParagraphFont"/>
    <w:rsid w:val="00913E2E"/>
    <w:rPr>
      <w:rFonts w:ascii="Symbol" w:hAnsi="Symbol"/>
    </w:rPr>
  </w:style>
  <w:style w:type="character" w:customStyle="1" w:styleId="MenuOptions">
    <w:name w:val="Menu Options"/>
    <w:basedOn w:val="DefaultParagraphFont"/>
    <w:rsid w:val="00913E2E"/>
    <w:rPr>
      <w:rFonts w:ascii="Arial Narrow" w:hAnsi="Arial Narrow"/>
      <w:smallCaps/>
    </w:rPr>
  </w:style>
  <w:style w:type="character" w:customStyle="1" w:styleId="Buttons">
    <w:name w:val="Buttons"/>
    <w:basedOn w:val="DefaultParagraphFont"/>
    <w:rsid w:val="00913E2E"/>
    <w:rPr>
      <w:b/>
    </w:rPr>
  </w:style>
  <w:style w:type="character" w:customStyle="1" w:styleId="Underlined">
    <w:name w:val="Underlined"/>
    <w:basedOn w:val="DefaultParagraphFont"/>
    <w:rsid w:val="00913E2E"/>
    <w:rPr>
      <w:u w:val="single"/>
    </w:rPr>
  </w:style>
  <w:style w:type="paragraph" w:customStyle="1" w:styleId="TableBodyTextRight">
    <w:name w:val="Table Body Text Right"/>
    <w:basedOn w:val="TableBodyText"/>
    <w:rsid w:val="00913E2E"/>
    <w:pPr>
      <w:widowControl w:val="0"/>
      <w:autoSpaceDE w:val="0"/>
      <w:autoSpaceDN w:val="0"/>
      <w:adjustRightInd w:val="0"/>
      <w:jc w:val="right"/>
    </w:pPr>
    <w:rPr>
      <w:rFonts w:cs="Arial"/>
      <w:szCs w:val="18"/>
    </w:rPr>
  </w:style>
  <w:style w:type="paragraph" w:customStyle="1" w:styleId="CopyrightText">
    <w:name w:val="Copyright Text"/>
    <w:basedOn w:val="BodyText"/>
    <w:rsid w:val="00913E2E"/>
    <w:rPr>
      <w:sz w:val="18"/>
    </w:rPr>
  </w:style>
  <w:style w:type="paragraph" w:customStyle="1" w:styleId="BodySmallRight">
    <w:name w:val="Body Small Right"/>
    <w:basedOn w:val="BodyTextRight"/>
    <w:rsid w:val="00913E2E"/>
    <w:rPr>
      <w:sz w:val="18"/>
      <w:szCs w:val="18"/>
    </w:rPr>
  </w:style>
  <w:style w:type="paragraph" w:customStyle="1" w:styleId="MarginEdition">
    <w:name w:val="Margin Edition"/>
    <w:basedOn w:val="MarginNote"/>
    <w:rsid w:val="00913E2E"/>
    <w:pPr>
      <w:spacing w:before="0" w:after="0"/>
    </w:pPr>
    <w:rPr>
      <w:rFonts w:ascii="Times New Roman" w:hAnsi="Times New Roman"/>
      <w:color w:val="999999"/>
    </w:rPr>
  </w:style>
  <w:style w:type="paragraph" w:customStyle="1" w:styleId="Spacer">
    <w:name w:val="Spacer"/>
    <w:basedOn w:val="Normal"/>
    <w:rsid w:val="00913E2E"/>
    <w:rPr>
      <w:sz w:val="2"/>
      <w:szCs w:val="2"/>
    </w:rPr>
  </w:style>
  <w:style w:type="character" w:customStyle="1" w:styleId="Small">
    <w:name w:val="Small"/>
    <w:basedOn w:val="DefaultParagraphFont"/>
    <w:rsid w:val="00913E2E"/>
    <w:rPr>
      <w:sz w:val="16"/>
    </w:rPr>
  </w:style>
  <w:style w:type="paragraph" w:customStyle="1" w:styleId="WideTable">
    <w:name w:val="Wide Table"/>
    <w:basedOn w:val="Normal"/>
    <w:rsid w:val="00913E2E"/>
    <w:pPr>
      <w:ind w:left="-1418"/>
    </w:pPr>
    <w:rPr>
      <w:sz w:val="2"/>
      <w:szCs w:val="2"/>
    </w:rPr>
  </w:style>
  <w:style w:type="character" w:styleId="PageNumber">
    <w:name w:val="page number"/>
    <w:basedOn w:val="DefaultParagraphFont"/>
    <w:rsid w:val="00913E2E"/>
  </w:style>
  <w:style w:type="paragraph" w:styleId="Quote">
    <w:name w:val="Quote"/>
    <w:basedOn w:val="Heading1"/>
    <w:link w:val="QuoteChar"/>
    <w:qFormat/>
    <w:rsid w:val="00913E2E"/>
    <w:rPr>
      <w:b w:val="0"/>
      <w:sz w:val="72"/>
      <w:szCs w:val="72"/>
      <w:lang w:val="en-NZ"/>
    </w:rPr>
  </w:style>
  <w:style w:type="character" w:customStyle="1" w:styleId="QuoteChar">
    <w:name w:val="Quote Char"/>
    <w:basedOn w:val="DefaultParagraphFont"/>
    <w:link w:val="Quote"/>
    <w:rsid w:val="00913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E2E"/>
    <w:pPr>
      <w:pageBreakBefore/>
    </w:pPr>
  </w:style>
  <w:style w:type="paragraph" w:customStyle="1" w:styleId="Border">
    <w:name w:val="Border"/>
    <w:basedOn w:val="Normal"/>
    <w:qFormat/>
    <w:rsid w:val="00913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E2E"/>
    <w:rPr>
      <w:b/>
      <w:bCs/>
      <w:i/>
      <w:iCs/>
      <w:color w:val="auto"/>
    </w:rPr>
  </w:style>
  <w:style w:type="paragraph" w:styleId="IntenseQuote">
    <w:name w:val="Intense Quote"/>
    <w:basedOn w:val="Normal"/>
    <w:next w:val="Normal"/>
    <w:link w:val="IntenseQuoteChar"/>
    <w:uiPriority w:val="30"/>
    <w:qFormat/>
    <w:rsid w:val="00913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E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3E2E"/>
    <w:rPr>
      <w:smallCaps/>
      <w:color w:val="auto"/>
      <w:u w:val="single"/>
    </w:rPr>
  </w:style>
  <w:style w:type="character" w:styleId="IntenseReference">
    <w:name w:val="Intense Reference"/>
    <w:basedOn w:val="DefaultParagraphFont"/>
    <w:uiPriority w:val="32"/>
    <w:qFormat/>
    <w:rsid w:val="00913E2E"/>
    <w:rPr>
      <w:b/>
      <w:bCs/>
      <w:smallCaps/>
      <w:color w:val="auto"/>
      <w:spacing w:val="5"/>
      <w:u w:val="single"/>
    </w:rPr>
  </w:style>
  <w:style w:type="paragraph" w:customStyle="1" w:styleId="2ColumnHeading">
    <w:name w:val="2Column Heading"/>
    <w:basedOn w:val="BodyText"/>
    <w:qFormat/>
    <w:rsid w:val="00913E2E"/>
    <w:pPr>
      <w:spacing w:after="60"/>
      <w:ind w:left="-2268"/>
    </w:pPr>
    <w:rPr>
      <w:b/>
    </w:rPr>
  </w:style>
  <w:style w:type="paragraph" w:customStyle="1" w:styleId="Heading1TOC">
    <w:name w:val="Heading1 TOC"/>
    <w:basedOn w:val="Normal"/>
    <w:qFormat/>
    <w:rsid w:val="00913E2E"/>
    <w:pPr>
      <w:spacing w:before="240" w:after="120"/>
    </w:pPr>
    <w:rPr>
      <w:rFonts w:ascii="Times New Roman" w:hAnsi="Times New Roman"/>
      <w:b/>
      <w:sz w:val="32"/>
    </w:rPr>
  </w:style>
  <w:style w:type="paragraph" w:customStyle="1" w:styleId="Heading2TOC">
    <w:name w:val="Heading2 TOC"/>
    <w:basedOn w:val="Normal"/>
    <w:qFormat/>
    <w:rsid w:val="00913E2E"/>
    <w:pPr>
      <w:spacing w:before="240" w:after="60"/>
    </w:pPr>
    <w:rPr>
      <w:rFonts w:ascii="Times New Roman" w:hAnsi="Times New Roman"/>
      <w:b/>
      <w:sz w:val="28"/>
    </w:rPr>
  </w:style>
  <w:style w:type="character" w:customStyle="1" w:styleId="Underline">
    <w:name w:val="Underline"/>
    <w:basedOn w:val="DefaultParagraphFont"/>
    <w:qFormat/>
    <w:rsid w:val="00913E2E"/>
    <w:rPr>
      <w:u w:val="single"/>
    </w:rPr>
  </w:style>
  <w:style w:type="paragraph" w:styleId="BalloonText">
    <w:name w:val="Balloon Text"/>
    <w:basedOn w:val="Normal"/>
    <w:link w:val="BalloonTextChar"/>
    <w:rsid w:val="00913E2E"/>
    <w:rPr>
      <w:rFonts w:ascii="Tahoma" w:hAnsi="Tahoma" w:cs="Tahoma"/>
      <w:sz w:val="16"/>
      <w:szCs w:val="16"/>
    </w:rPr>
  </w:style>
  <w:style w:type="character" w:customStyle="1" w:styleId="BalloonTextChar">
    <w:name w:val="Balloon Text Char"/>
    <w:basedOn w:val="DefaultParagraphFont"/>
    <w:link w:val="BalloonText"/>
    <w:rsid w:val="00913E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3E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E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7274</Characters>
  <Application>Microsoft Office Word</Application>
  <DocSecurity>0</DocSecurity>
  <Lines>297</Lines>
  <Paragraphs>131</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SITHASC022A Prepare and produce tandoori food items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