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DCD" w:rsidP="00AE6DCD">
      <w:pPr>
        <w:pStyle w:val="Title"/>
      </w:pPr>
      <w:r>
        <w:fldChar w:fldCharType="begin"/>
      </w:r>
      <w:r>
        <w:instrText xml:space="preserve"> TITLE   \* MERGEFORMAT </w:instrText>
      </w:r>
      <w:r>
        <w:fldChar w:fldCharType="separate"/>
      </w:r>
      <w:r>
        <w:t>SITHASC009A Prepare curry paste and powder for Asian cuisines</w:t>
      </w:r>
      <w:r>
        <w:fldChar w:fldCharType="end"/>
      </w:r>
    </w:p>
    <w:p w:rsidR="00AE6DCD" w:rsidP="00AE6DCD">
      <w:pPr>
        <w:pStyle w:val="Version"/>
        <w:sectPr w:rsidSect="00B501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0159" w:rsidP="00B50159">
      <w:pPr>
        <w:pStyle w:val="SuperHeading"/>
      </w:pPr>
      <w:r w:rsidRPr="00B50159">
        <w:t>SITHASC009A Prepare curry paste and powder for Asian cuisines</w:t>
      </w:r>
    </w:p>
    <w:p w:rsidR="00000000" w:rsidRPr="00B50159" w:rsidP="00B50159">
      <w:pPr>
        <w:pStyle w:val="SuperHeading"/>
      </w:pPr>
    </w:p>
    <w:p w:rsidR="00000000" w:rsidRPr="00B50159" w:rsidP="00B50159">
      <w:pPr>
        <w:pStyle w:val="Heading1"/>
      </w:pPr>
      <w:bookmarkStart w:id="1" w:name="O_145971"/>
      <w:bookmarkEnd w:id="1"/>
      <w:r w:rsidRPr="00B50159">
        <w:t>Modification History</w:t>
      </w:r>
    </w:p>
    <w:p w:rsidR="00000000" w:rsidRPr="00B50159" w:rsidP="00B50159">
      <w:pPr>
        <w:pStyle w:val="BodyText"/>
      </w:pPr>
      <w:r w:rsidRPr="00B50159">
        <w:t>Not applicable.</w:t>
      </w:r>
    </w:p>
    <w:p w:rsidR="00000000" w:rsidRPr="00B50159" w:rsidP="00B50159">
      <w:pPr>
        <w:pStyle w:val="AllowPageBreak"/>
      </w:pPr>
    </w:p>
    <w:p w:rsidR="00000000" w:rsidRPr="00B50159" w:rsidP="00B50159">
      <w:pPr>
        <w:pStyle w:val="Heading1"/>
      </w:pPr>
      <w:bookmarkStart w:id="2" w:name="O_145972"/>
      <w:bookmarkEnd w:id="2"/>
      <w:r w:rsidRPr="00B50159">
        <w:t>Unit Descriptor</w:t>
      </w:r>
    </w:p>
    <w:tbl>
      <w:tblPr>
        <w:tblW w:w="0" w:type="auto"/>
        <w:tblLayout w:type="fixed"/>
        <w:tblCellMar>
          <w:left w:w="62" w:type="dxa"/>
          <w:right w:w="62" w:type="dxa"/>
        </w:tblCellMar>
        <w:tblLook w:val="0000"/>
      </w:tblPr>
      <w:tblGrid>
        <w:gridCol w:w="2836"/>
        <w:gridCol w:w="6344"/>
      </w:tblGrid>
      <w:tr w:rsidTr="00AE6DC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B50159" w:rsidP="00B50159">
            <w:pPr>
              <w:pStyle w:val="BodyText"/>
            </w:pPr>
            <w:r w:rsidRPr="00B50159">
              <w:t>This unit describes the performance outcomes, skills and knowledge required</w:t>
            </w:r>
            <w:r w:rsidRPr="00B50159">
              <w:t xml:space="preserve"> to prepare curry pastes and powders for national and regional Asian cuisines. </w:t>
            </w:r>
          </w:p>
          <w:p w:rsidR="00000000" w:rsidRPr="00B50159" w:rsidP="00B50159">
            <w:pPr>
              <w:pStyle w:val="BodyText"/>
            </w:pPr>
          </w:p>
          <w:p w:rsidR="00000000" w:rsidP="00B50159">
            <w:pPr>
              <w:pStyle w:val="BodyText"/>
              <w:rPr>
                <w:lang w:val="en-NZ"/>
              </w:rPr>
            </w:pPr>
            <w:r w:rsidRPr="00B50159">
              <w:t>No licensing, legislative, regulatory or certification requirements apply to this unit at the time of endorsement.</w:t>
            </w:r>
          </w:p>
        </w:tc>
      </w:tr>
      <w:tr w:rsidTr="00AE6DC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50159" w:rsidP="00B50159">
            <w:pPr>
              <w:pStyle w:val="BodyText"/>
            </w:pPr>
          </w:p>
        </w:tc>
      </w:tr>
    </w:tbl>
    <w:p w:rsidR="00000000" w:rsidRPr="00B50159" w:rsidP="00B50159">
      <w:pPr>
        <w:pStyle w:val="BodyText"/>
      </w:pPr>
    </w:p>
    <w:p w:rsidR="00000000" w:rsidRPr="00B50159" w:rsidP="00B50159">
      <w:pPr>
        <w:pStyle w:val="AllowPageBreak"/>
      </w:pPr>
    </w:p>
    <w:p w:rsidR="00000000" w:rsidRPr="00B50159" w:rsidP="00B50159">
      <w:pPr>
        <w:pStyle w:val="Heading1"/>
      </w:pPr>
      <w:bookmarkStart w:id="3" w:name="O_145973"/>
      <w:bookmarkEnd w:id="3"/>
      <w:r w:rsidRPr="00B50159">
        <w:t>Application of the Unit</w:t>
      </w:r>
    </w:p>
    <w:tbl>
      <w:tblPr>
        <w:tblW w:w="0" w:type="auto"/>
        <w:tblLayout w:type="fixed"/>
        <w:tblCellMar>
          <w:left w:w="62" w:type="dxa"/>
          <w:right w:w="62" w:type="dxa"/>
        </w:tblCellMar>
        <w:tblLook w:val="0000"/>
      </w:tblPr>
      <w:tblGrid>
        <w:gridCol w:w="2836"/>
        <w:gridCol w:w="6344"/>
      </w:tblGrid>
      <w:tr w:rsidTr="00AE6DC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B50159" w:rsidP="00B50159">
            <w:pPr>
              <w:pStyle w:val="BodyText"/>
            </w:pPr>
            <w:r w:rsidRPr="00B50159">
              <w:t>This unit applies to all enterprises where Asian cuisines are prepared and served. It applies to Indonesian, Indian, Malay, Nonya and Thai cuisines. It may be applied to a particular cuisine or across a variety, allowing for differe</w:t>
            </w:r>
            <w:r w:rsidRPr="00B50159">
              <w:t>nt needs and contexts.</w:t>
            </w:r>
          </w:p>
          <w:p w:rsidR="00000000" w:rsidRPr="00B50159" w:rsidP="00B50159">
            <w:pPr>
              <w:pStyle w:val="BodyText"/>
            </w:pPr>
            <w:r w:rsidRPr="00B50159">
              <w:t>The precise application of the unit may vary within particular cuisines and is dependent on specific preparation techniques, ingredients and presentation requirements within enterprises.</w:t>
            </w:r>
          </w:p>
          <w:p w:rsidR="00000000" w:rsidP="00B50159">
            <w:pPr>
              <w:pStyle w:val="BodyText"/>
              <w:rPr>
                <w:lang w:val="en-NZ"/>
              </w:rPr>
            </w:pPr>
            <w:r w:rsidRPr="00B50159">
              <w:t xml:space="preserve">The unit applies to cooks who usually work as </w:t>
            </w:r>
            <w:r w:rsidRPr="00B50159">
              <w:t>part of a team and under supervision.</w:t>
            </w:r>
          </w:p>
        </w:tc>
      </w:tr>
      <w:tr w:rsidTr="00AE6DC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50159" w:rsidP="00B50159">
            <w:pPr>
              <w:pStyle w:val="BodyText"/>
            </w:pPr>
          </w:p>
        </w:tc>
      </w:tr>
    </w:tbl>
    <w:p w:rsidR="00000000" w:rsidRPr="00B50159" w:rsidP="00B50159">
      <w:pPr>
        <w:pStyle w:val="BodyText"/>
      </w:pPr>
    </w:p>
    <w:p w:rsidR="00000000" w:rsidRPr="00B50159" w:rsidP="00B50159">
      <w:pPr>
        <w:pStyle w:val="AllowPageBreak"/>
      </w:pPr>
    </w:p>
    <w:p w:rsidR="00000000" w:rsidRPr="00B50159" w:rsidP="00B50159">
      <w:pPr>
        <w:pStyle w:val="Heading1"/>
      </w:pPr>
      <w:bookmarkStart w:id="4" w:name="O_145974"/>
      <w:bookmarkEnd w:id="4"/>
      <w:r w:rsidRPr="00B50159">
        <w:t>Licensing/Regulatory Information</w:t>
      </w:r>
    </w:p>
    <w:p w:rsidR="00000000" w:rsidRPr="00B50159" w:rsidP="00B50159">
      <w:pPr>
        <w:pStyle w:val="BodyText"/>
      </w:pPr>
      <w:r w:rsidRPr="00B50159">
        <w:t>Not applicable.</w:t>
      </w:r>
    </w:p>
    <w:p w:rsidR="00000000" w:rsidRPr="00B50159" w:rsidP="00B50159">
      <w:pPr>
        <w:pStyle w:val="AllowPageBreak"/>
      </w:pPr>
    </w:p>
    <w:p w:rsidR="00000000" w:rsidRPr="00B50159" w:rsidP="00B50159">
      <w:pPr>
        <w:pStyle w:val="Heading1"/>
      </w:pPr>
      <w:bookmarkStart w:id="5" w:name="O_145975"/>
      <w:bookmarkEnd w:id="5"/>
      <w:r w:rsidRPr="00B50159">
        <w:t>Pre-Requisites</w:t>
      </w:r>
    </w:p>
    <w:tbl>
      <w:tblPr>
        <w:tblW w:w="0" w:type="auto"/>
        <w:tblLayout w:type="fixed"/>
        <w:tblCellMar>
          <w:left w:w="62" w:type="dxa"/>
          <w:right w:w="62" w:type="dxa"/>
        </w:tblCellMar>
        <w:tblLook w:val="0000"/>
      </w:tblPr>
      <w:tblGrid>
        <w:gridCol w:w="2836"/>
        <w:gridCol w:w="6344"/>
      </w:tblGrid>
      <w:tr w:rsidTr="00AE6DC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B50159" w:rsidP="00B50159">
            <w:pPr>
              <w:pStyle w:val="BodyText"/>
            </w:pPr>
            <w:r w:rsidRPr="00B50159">
              <w:t>This unit must be assessed after the following prerequisite units:</w:t>
            </w:r>
          </w:p>
          <w:p w:rsidR="00000000" w:rsidRPr="00B50159" w:rsidP="00B50159">
            <w:pPr>
              <w:pStyle w:val="BodyText"/>
            </w:pPr>
            <w:r w:rsidRPr="00B50159">
              <w:t>SITHCCC001B Organise and prepare food</w:t>
            </w:r>
          </w:p>
          <w:p w:rsidR="00000000" w:rsidP="00B50159">
            <w:pPr>
              <w:pStyle w:val="BodyText"/>
              <w:rPr>
                <w:lang w:val="en-NZ"/>
              </w:rPr>
            </w:pPr>
            <w:r w:rsidRPr="00B50159">
              <w:t>SITXOHS002A Follow workplace hygiene procedures.</w:t>
            </w:r>
          </w:p>
        </w:tc>
      </w:tr>
      <w:tr w:rsidTr="00AE6DC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50159" w:rsidP="00B50159">
            <w:pPr>
              <w:pStyle w:val="BodyText"/>
            </w:pPr>
          </w:p>
        </w:tc>
      </w:tr>
    </w:tbl>
    <w:p w:rsidR="00000000" w:rsidRPr="00B50159" w:rsidP="00B50159">
      <w:pPr>
        <w:pStyle w:val="BodyText"/>
      </w:pPr>
    </w:p>
    <w:p w:rsidR="00000000" w:rsidRPr="00B50159" w:rsidP="00B50159">
      <w:pPr>
        <w:pStyle w:val="AllowPageBreak"/>
      </w:pPr>
    </w:p>
    <w:p w:rsidR="00000000" w:rsidRPr="00B50159" w:rsidP="00B50159">
      <w:pPr>
        <w:pStyle w:val="Heading1"/>
      </w:pPr>
      <w:bookmarkStart w:id="6" w:name="O_145976"/>
      <w:bookmarkEnd w:id="6"/>
      <w:r w:rsidRPr="00B50159">
        <w:t>Employability Skills Information</w:t>
      </w:r>
    </w:p>
    <w:tbl>
      <w:tblPr>
        <w:tblW w:w="0" w:type="auto"/>
        <w:tblLayout w:type="fixed"/>
        <w:tblCellMar>
          <w:left w:w="62" w:type="dxa"/>
          <w:right w:w="62" w:type="dxa"/>
        </w:tblCellMar>
        <w:tblLook w:val="0000"/>
      </w:tblPr>
      <w:tblGrid>
        <w:gridCol w:w="2836"/>
        <w:gridCol w:w="6344"/>
      </w:tblGrid>
      <w:tr w:rsidTr="00AE6DC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AE6DC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50159" w:rsidP="00B50159">
            <w:pPr>
              <w:pStyle w:val="BodyText"/>
            </w:pPr>
          </w:p>
        </w:tc>
      </w:tr>
    </w:tbl>
    <w:p w:rsidR="00000000" w:rsidRPr="00B50159" w:rsidP="00B50159">
      <w:pPr>
        <w:pStyle w:val="BodyText"/>
      </w:pPr>
    </w:p>
    <w:p w:rsidR="00000000" w:rsidRPr="00B50159" w:rsidP="00B50159">
      <w:pPr>
        <w:pStyle w:val="AllowPageBreak"/>
      </w:pPr>
    </w:p>
    <w:p w:rsidR="00000000" w:rsidRPr="00B50159" w:rsidP="00B50159">
      <w:pPr>
        <w:pStyle w:val="Heading1"/>
      </w:pPr>
      <w:bookmarkStart w:id="7" w:name="O_145977"/>
      <w:bookmarkEnd w:id="7"/>
      <w:r w:rsidRPr="00B50159">
        <w:t>Elements and Performance Criteria Pre-Content</w:t>
      </w:r>
    </w:p>
    <w:tbl>
      <w:tblPr>
        <w:tblW w:w="0" w:type="auto"/>
        <w:tblLayout w:type="fixed"/>
        <w:tblCellMar>
          <w:left w:w="62" w:type="dxa"/>
          <w:right w:w="62" w:type="dxa"/>
        </w:tblCellMar>
        <w:tblLook w:val="0000"/>
      </w:tblPr>
      <w:tblGrid>
        <w:gridCol w:w="2836"/>
        <w:gridCol w:w="6344"/>
      </w:tblGrid>
      <w:tr w:rsidTr="00AE6DC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50159" w:rsidP="00B50159">
            <w:pPr>
              <w:pStyle w:val="BodyText"/>
            </w:pPr>
            <w:r w:rsidRPr="00B50159">
              <w:t xml:space="preserve">Performance criteria describe the required performance needed to demonstrate achievement of the element. Where </w:t>
            </w:r>
            <w:r w:rsidRPr="00B50159">
              <w:rPr>
                <w:rStyle w:val="BoldandItalics"/>
              </w:rPr>
              <w:t>bold itali</w:t>
            </w:r>
            <w:r w:rsidRPr="00B50159">
              <w:rPr>
                <w:rStyle w:val="BoldandItalics"/>
              </w:rPr>
              <w:t>cised</w:t>
            </w:r>
            <w:r w:rsidRPr="00B50159">
              <w:t xml:space="preserve"> text is used, further information is detailed in the required skills and knowledge and/or the range statement. Assessment of performance is to be consistent with the evidence guide.</w:t>
            </w:r>
          </w:p>
        </w:tc>
      </w:tr>
    </w:tbl>
    <w:p w:rsidR="00000000" w:rsidRPr="00B50159" w:rsidP="00B50159">
      <w:pPr>
        <w:pStyle w:val="BodyText"/>
      </w:pPr>
    </w:p>
    <w:p w:rsidR="00000000" w:rsidRPr="00B50159" w:rsidP="00B50159">
      <w:pPr>
        <w:pStyle w:val="AllowPageBreak"/>
      </w:pPr>
    </w:p>
    <w:p w:rsidR="00000000" w:rsidRPr="00B50159" w:rsidP="00B50159">
      <w:pPr>
        <w:pStyle w:val="Heading1"/>
      </w:pPr>
      <w:bookmarkStart w:id="8" w:name="O_145978"/>
      <w:bookmarkEnd w:id="8"/>
      <w:r w:rsidRPr="00B5015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E6DC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50159" w:rsidP="00B50159">
            <w:pPr>
              <w:pStyle w:val="List"/>
            </w:pPr>
            <w:r w:rsidRPr="00B5015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rPr>
                <w:rStyle w:val="SpecialBold"/>
              </w:rPr>
              <w:t>PERFORMANCE CRITERIA</w:t>
            </w:r>
          </w:p>
        </w:tc>
      </w:tr>
      <w:tr w:rsidTr="00AE6DC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1</w:t>
            </w:r>
          </w:p>
        </w:tc>
        <w:tc>
          <w:tcPr>
            <w:tcW w:w="2410" w:type="dxa"/>
            <w:vMerge w:val="restart"/>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Prepare and produce curry pastes and powders.</w:t>
            </w:r>
          </w:p>
        </w:tc>
        <w:tc>
          <w:tcPr>
            <w:tcW w:w="56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1.1</w:t>
            </w:r>
          </w:p>
        </w:tc>
        <w:tc>
          <w:tcPr>
            <w:tcW w:w="577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 xml:space="preserve">Identify </w:t>
            </w:r>
            <w:r w:rsidRPr="00B50159">
              <w:rPr>
                <w:rStyle w:val="BoldandItalics"/>
              </w:rPr>
              <w:t>commodities</w:t>
            </w:r>
            <w:r w:rsidRPr="00B50159">
              <w:t xml:space="preserve"> for </w:t>
            </w:r>
            <w:r w:rsidRPr="00B50159">
              <w:rPr>
                <w:rStyle w:val="BoldandItalics"/>
              </w:rPr>
              <w:t>curry pastes and powders</w:t>
            </w:r>
            <w:r w:rsidRPr="00B50159">
              <w:t xml:space="preserve">, including fresh and dried </w:t>
            </w:r>
            <w:r w:rsidRPr="00B50159">
              <w:rPr>
                <w:rStyle w:val="BoldandItalics"/>
              </w:rPr>
              <w:t>herbs</w:t>
            </w:r>
            <w:r w:rsidRPr="00B50159">
              <w:t xml:space="preserve">, </w:t>
            </w:r>
            <w:r w:rsidRPr="00B50159">
              <w:rPr>
                <w:rStyle w:val="BoldandItalics"/>
              </w:rPr>
              <w:t>spices and aromatics</w:t>
            </w:r>
            <w:r w:rsidRPr="00B50159">
              <w:t xml:space="preserve"> used in Asian cookery.</w:t>
            </w:r>
          </w:p>
        </w:tc>
      </w:tr>
      <w:tr w:rsidTr="00AE6DC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1.2</w:t>
            </w:r>
          </w:p>
        </w:tc>
        <w:tc>
          <w:tcPr>
            <w:tcW w:w="577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Select, measure and weigh fresh, dried and preserved herbs and spices in correct quantities to make curry powders and pastes according to recipe specifications.</w:t>
            </w:r>
          </w:p>
        </w:tc>
      </w:tr>
      <w:tr w:rsidTr="00AE6DC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1.3</w:t>
            </w:r>
          </w:p>
        </w:tc>
        <w:tc>
          <w:tcPr>
            <w:tcW w:w="577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 xml:space="preserve">Prepare, roast and grind herbs and spices for curry pastes or powders, using </w:t>
            </w:r>
            <w:r w:rsidRPr="00B50159">
              <w:rPr>
                <w:rStyle w:val="BoldandItalics"/>
              </w:rPr>
              <w:t>appropriate equipment</w:t>
            </w:r>
            <w:r w:rsidRPr="00B50159">
              <w:t xml:space="preserve"> and according to recipe requirements and enterprise practice.</w:t>
            </w:r>
          </w:p>
        </w:tc>
      </w:tr>
      <w:tr w:rsidTr="00AE6DC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1.4</w:t>
            </w:r>
          </w:p>
        </w:tc>
        <w:tc>
          <w:tcPr>
            <w:tcW w:w="577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 xml:space="preserve">Use appropriate </w:t>
            </w:r>
            <w:r w:rsidRPr="00B50159">
              <w:rPr>
                <w:rStyle w:val="BoldandItalics"/>
              </w:rPr>
              <w:t>secondary ingredients</w:t>
            </w:r>
            <w:r w:rsidRPr="00B50159">
              <w:t xml:space="preserve"> according to menu items and recipe specifications.</w:t>
            </w:r>
          </w:p>
        </w:tc>
      </w:tr>
      <w:tr w:rsidTr="00AE6DC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1.5</w:t>
            </w:r>
          </w:p>
        </w:tc>
        <w:tc>
          <w:tcPr>
            <w:tcW w:w="577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Prepare pastes requiring cooking, using correct methods, timing and temperature.</w:t>
            </w:r>
          </w:p>
        </w:tc>
      </w:tr>
      <w:tr w:rsidTr="00AE6DC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1.6</w:t>
            </w:r>
          </w:p>
        </w:tc>
        <w:tc>
          <w:tcPr>
            <w:tcW w:w="577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Apply prepared pastes in correct quantities to a variety of meat, seafood and vegetable curries, according to standard recipes.</w:t>
            </w:r>
          </w:p>
        </w:tc>
      </w:tr>
      <w:tr w:rsidTr="00AE6DC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1.7</w:t>
            </w:r>
          </w:p>
        </w:tc>
        <w:tc>
          <w:tcPr>
            <w:tcW w:w="577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Use correct cooking procedures in</w:t>
            </w:r>
            <w:r w:rsidRPr="00B50159">
              <w:t xml:space="preserve"> preparing main ingredients, according to enterprise practice.</w:t>
            </w:r>
          </w:p>
        </w:tc>
      </w:tr>
      <w:tr w:rsidTr="00AE6DC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2</w:t>
            </w:r>
          </w:p>
        </w:tc>
        <w:tc>
          <w:tcPr>
            <w:tcW w:w="2410" w:type="dxa"/>
            <w:vMerge w:val="restart"/>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Use curry pastes and powders.</w:t>
            </w:r>
          </w:p>
        </w:tc>
        <w:tc>
          <w:tcPr>
            <w:tcW w:w="56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2.1</w:t>
            </w:r>
          </w:p>
        </w:tc>
        <w:tc>
          <w:tcPr>
            <w:tcW w:w="577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 xml:space="preserve">Apply prepared pastes in correct quantities to a variety of meat, poultry, seafood and vegetable curries according to required timeframes </w:t>
            </w:r>
            <w:r w:rsidRPr="00B50159">
              <w:t>and standard recipes.</w:t>
            </w:r>
          </w:p>
        </w:tc>
      </w:tr>
      <w:tr w:rsidTr="00AE6DC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2.2</w:t>
            </w:r>
          </w:p>
        </w:tc>
        <w:tc>
          <w:tcPr>
            <w:tcW w:w="577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Use correct cooking procedures in preparing main ingredients, including chicken, beef, lamb, pork, seafood and vegetables, according to standard recipes and enterprise practice.</w:t>
            </w:r>
          </w:p>
        </w:tc>
      </w:tr>
      <w:tr w:rsidTr="00AE6DC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2.3</w:t>
            </w:r>
          </w:p>
        </w:tc>
        <w:tc>
          <w:tcPr>
            <w:tcW w:w="577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Measure and use curry powders according to</w:t>
            </w:r>
            <w:r w:rsidRPr="00B50159">
              <w:t xml:space="preserve"> established methods, menu requirements, cooking times, temperature, cuisine requirements, customer preferences and enterprise practice.</w:t>
            </w:r>
          </w:p>
        </w:tc>
      </w:tr>
      <w:tr w:rsidTr="00AE6DC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3</w:t>
            </w:r>
          </w:p>
        </w:tc>
        <w:tc>
          <w:tcPr>
            <w:tcW w:w="2410"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Follow safe work practices.</w:t>
            </w:r>
          </w:p>
        </w:tc>
        <w:tc>
          <w:tcPr>
            <w:tcW w:w="56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3.1</w:t>
            </w:r>
          </w:p>
        </w:tc>
        <w:tc>
          <w:tcPr>
            <w:tcW w:w="577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Carry out duties, including use of equipment, according to food hygiene and OHS requirements.</w:t>
            </w:r>
          </w:p>
        </w:tc>
      </w:tr>
      <w:tr w:rsidTr="00AE6DC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50159">
            <w:pPr>
              <w:pStyle w:val="List"/>
              <w:rPr>
                <w:lang w:val="en-NZ"/>
              </w:rPr>
            </w:pPr>
            <w:r w:rsidRPr="00B50159">
              <w:t>3.2</w:t>
            </w:r>
          </w:p>
        </w:tc>
        <w:tc>
          <w:tcPr>
            <w:tcW w:w="5777" w:type="dxa"/>
            <w:tcBorders>
              <w:top w:val="nil"/>
              <w:left w:val="nil"/>
              <w:bottom w:val="nil"/>
              <w:right w:val="nil"/>
            </w:tcBorders>
            <w:tcMar>
              <w:top w:w="0" w:type="dxa"/>
              <w:left w:w="62" w:type="dxa"/>
              <w:bottom w:w="0" w:type="dxa"/>
              <w:right w:w="62" w:type="dxa"/>
            </w:tcMar>
          </w:tcPr>
          <w:p w:rsidR="00000000" w:rsidRPr="00B50159" w:rsidP="00B50159">
            <w:pPr>
              <w:pStyle w:val="List"/>
            </w:pPr>
            <w:r w:rsidRPr="00B50159">
              <w:t>Maintain a clean and tidy workplace, according to health requirements.</w:t>
            </w:r>
          </w:p>
        </w:tc>
      </w:tr>
    </w:tbl>
    <w:p w:rsidR="00000000" w:rsidRPr="00B50159" w:rsidP="00B50159">
      <w:pPr>
        <w:pStyle w:val="BodyText"/>
      </w:pPr>
    </w:p>
    <w:p w:rsidR="00000000" w:rsidRPr="00B50159" w:rsidP="00B50159">
      <w:pPr>
        <w:pStyle w:val="AllowPageBreak"/>
      </w:pPr>
    </w:p>
    <w:p w:rsidR="00000000" w:rsidRPr="00B50159" w:rsidP="00B50159">
      <w:pPr>
        <w:pStyle w:val="Heading1"/>
      </w:pPr>
      <w:bookmarkStart w:id="9" w:name="O_145979"/>
      <w:bookmarkEnd w:id="9"/>
      <w:r w:rsidRPr="00B50159">
        <w:t>Required Skills and Knowledge</w:t>
      </w:r>
    </w:p>
    <w:tbl>
      <w:tblPr>
        <w:tblW w:w="0" w:type="auto"/>
        <w:tblLayout w:type="fixed"/>
        <w:tblCellMar>
          <w:left w:w="62" w:type="dxa"/>
          <w:right w:w="62" w:type="dxa"/>
        </w:tblCellMar>
        <w:tblLook w:val="0000"/>
      </w:tblPr>
      <w:tblGrid>
        <w:gridCol w:w="9180"/>
      </w:tblGrid>
      <w:tr w:rsidTr="00AE6DC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SpecialBold"/>
              </w:rPr>
              <w:t>REQUIRED SKILLS AND KNOWLEDGE</w:t>
            </w:r>
          </w:p>
        </w:tc>
      </w:tr>
      <w:tr w:rsidTr="00AE6DC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t>This section describes the essential skills and knowledge and their level, required for this unit.</w:t>
            </w:r>
          </w:p>
        </w:tc>
      </w:tr>
      <w:tr w:rsidTr="00AE6DC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50159" w:rsidP="00B50159">
            <w:pPr>
              <w:pStyle w:val="BodyText"/>
            </w:pPr>
            <w:r w:rsidRPr="00B50159">
              <w:t>The following skills must be assessed as part of this unit:</w:t>
            </w:r>
          </w:p>
          <w:p w:rsidR="00000000" w:rsidRPr="00B50159" w:rsidP="00B50159">
            <w:pPr>
              <w:pStyle w:val="ListBullet"/>
            </w:pPr>
            <w:r w:rsidRPr="00B50159">
              <w:t>achieving flavour and aromatic balance</w:t>
            </w:r>
          </w:p>
          <w:p w:rsidR="00000000" w:rsidRPr="00B50159" w:rsidP="00B50159">
            <w:pPr>
              <w:pStyle w:val="ListBullet"/>
            </w:pPr>
            <w:r w:rsidRPr="00B50159">
              <w:t>using fat compounds such as coconut milk, ghee, peanut</w:t>
            </w:r>
            <w:r w:rsidRPr="00B50159">
              <w:t xml:space="preserve"> oil and other oils such as mustard, coconut and sesame</w:t>
            </w:r>
          </w:p>
          <w:p w:rsidR="00000000" w:rsidRPr="00B50159" w:rsidP="00B50159">
            <w:pPr>
              <w:pStyle w:val="ListBullet"/>
            </w:pPr>
            <w:r w:rsidRPr="00B50159">
              <w:t>balancing and contrasting appearances, colours and textures</w:t>
            </w:r>
          </w:p>
          <w:p w:rsidR="00000000" w:rsidRPr="00B50159" w:rsidP="00B50159">
            <w:pPr>
              <w:pStyle w:val="ListBullet"/>
            </w:pPr>
            <w:r w:rsidRPr="00B50159">
              <w:t>preparing food for particular cuisines where curry powders and pastes are used, including following recipe requirements</w:t>
            </w:r>
          </w:p>
          <w:p w:rsidR="00000000" w:rsidRPr="00B50159" w:rsidP="00B50159">
            <w:pPr>
              <w:pStyle w:val="ListBullet"/>
            </w:pPr>
            <w:r w:rsidRPr="00B50159">
              <w:t>evaluating quality of ingredients, dishes and food items, including blending and balancing flavours and aromatics, correct flavour structure, texture and consistency, correct acid balance, correct colour and plate presentation</w:t>
            </w:r>
          </w:p>
          <w:p w:rsidR="00000000" w:rsidRPr="00B50159" w:rsidP="00B50159">
            <w:pPr>
              <w:pStyle w:val="ListBullet"/>
            </w:pPr>
            <w:r w:rsidRPr="00B50159">
              <w:t>selecting, using and maintain</w:t>
            </w:r>
            <w:r w:rsidRPr="00B50159">
              <w:t>ing specialised equipment, tableware and serviceware for preparing, cooking, serving and presenting food</w:t>
            </w:r>
          </w:p>
          <w:p w:rsidR="00000000" w:rsidRPr="00B50159" w:rsidP="00B50159">
            <w:pPr>
              <w:pStyle w:val="ListBullet"/>
            </w:pPr>
            <w:r w:rsidRPr="00B50159">
              <w:t xml:space="preserve">identifying, selecting, storing and using typical commodities, herbs and spices, condiments, thickening and flavouring agents, and seasonal delicacies </w:t>
            </w:r>
            <w:r w:rsidRPr="00B50159">
              <w:t>relevant to the particular Asian cuisine and appropriate cookery methods</w:t>
            </w:r>
          </w:p>
          <w:p w:rsidR="00000000" w:rsidRPr="00B50159" w:rsidP="00B50159">
            <w:pPr>
              <w:pStyle w:val="ListBullet"/>
            </w:pPr>
            <w:r w:rsidRPr="00B50159">
              <w:t>safe handling of spices and safe work practices, particularly in relation to bending and lifting, and using cutting implements, appliances, heated surfaces and other equipment that ca</w:t>
            </w:r>
            <w:r w:rsidRPr="00B50159">
              <w:t>rries a risk of burns</w:t>
            </w:r>
          </w:p>
          <w:p w:rsidR="00000000" w:rsidRPr="00B50159" w:rsidP="00B50159">
            <w:pPr>
              <w:pStyle w:val="ListBullet"/>
            </w:pPr>
            <w:r w:rsidRPr="00B50159">
              <w:t>using garnishes for presentation, including consideration of colour and eye appeal</w:t>
            </w:r>
          </w:p>
          <w:p w:rsidR="00000000" w:rsidRPr="00B50159" w:rsidP="00B50159">
            <w:pPr>
              <w:pStyle w:val="ListBullet"/>
            </w:pPr>
            <w:r w:rsidRPr="00B50159">
              <w:t>maintaining a tidy workstation</w:t>
            </w:r>
          </w:p>
          <w:p w:rsidR="00000000" w:rsidRPr="00B50159" w:rsidP="00B50159">
            <w:pPr>
              <w:pStyle w:val="ListBullet"/>
            </w:pPr>
            <w:r w:rsidRPr="00B50159">
              <w:t>planning and organising, and working in teams</w:t>
            </w:r>
          </w:p>
          <w:p w:rsidR="00000000" w:rsidRPr="00B50159" w:rsidP="00B50159">
            <w:pPr>
              <w:pStyle w:val="ListBullet"/>
            </w:pPr>
            <w:r w:rsidRPr="00B50159">
              <w:t>problem-solving skills to adjust quantities of spices, herbs and aromatics</w:t>
            </w:r>
            <w:r w:rsidRPr="00B50159">
              <w:t xml:space="preserve"> as required by a particular cuisine to achieve required flavour balance </w:t>
            </w:r>
          </w:p>
          <w:p w:rsidR="00000000" w:rsidRPr="00B50159" w:rsidP="00B50159">
            <w:pPr>
              <w:pStyle w:val="ListBullet"/>
            </w:pPr>
            <w:r w:rsidRPr="00B50159">
              <w:t>literacy skills to read requirements of orders and recipes</w:t>
            </w:r>
          </w:p>
          <w:p w:rsidR="00000000" w:rsidP="00B50159">
            <w:pPr>
              <w:pStyle w:val="ListBullet"/>
              <w:rPr>
                <w:lang w:val="en-NZ"/>
              </w:rPr>
            </w:pPr>
            <w:r w:rsidRPr="00B50159">
              <w:t>numeracy skills to calculate quantities of spices, herbs or aromatics required for particular combinations and recipes of c</w:t>
            </w:r>
            <w:r w:rsidRPr="00B50159">
              <w:t>urry powders and pastes, and to determine amounts required to achieve required strength and flavour characteristics.</w:t>
            </w:r>
          </w:p>
        </w:tc>
      </w:tr>
      <w:tr w:rsidTr="00AE6DC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50159" w:rsidP="00B50159">
            <w:pPr>
              <w:pStyle w:val="BodyText"/>
            </w:pPr>
            <w:r w:rsidRPr="00B50159">
              <w:t>The following knowledge must be assessed as part of this unit:</w:t>
            </w:r>
          </w:p>
          <w:p w:rsidR="00000000" w:rsidRPr="00B50159" w:rsidP="00B50159">
            <w:pPr>
              <w:pStyle w:val="ListBullet"/>
            </w:pPr>
            <w:r w:rsidRPr="00B50159">
              <w:t>cuisine characteristics, and cultural and religious practices related to food preparation, presentation and consumption, typical menu items, order of service, typical accompaniments and garnishes</w:t>
            </w:r>
          </w:p>
          <w:p w:rsidR="00000000" w:rsidRPr="00B50159" w:rsidP="00B50159">
            <w:pPr>
              <w:pStyle w:val="ListBullet"/>
            </w:pPr>
            <w:r w:rsidRPr="00B50159">
              <w:t>kitchen and service culture, including kitchen organisation</w:t>
            </w:r>
          </w:p>
          <w:p w:rsidR="00000000" w:rsidRPr="00B50159" w:rsidP="00B50159">
            <w:pPr>
              <w:pStyle w:val="ListBullet"/>
            </w:pPr>
            <w:r w:rsidRPr="00B50159">
              <w:t>herbs, spices and aromatics and various combinations and strengths required for menu items and cuisines</w:t>
            </w:r>
          </w:p>
          <w:p w:rsidR="00000000" w:rsidRPr="00B50159" w:rsidP="00B50159">
            <w:pPr>
              <w:pStyle w:val="ListBullet"/>
            </w:pPr>
            <w:r w:rsidRPr="00B50159">
              <w:t>curry powders and pastes and their uses within a cuisine</w:t>
            </w:r>
          </w:p>
          <w:p w:rsidR="00000000" w:rsidRPr="00B50159" w:rsidP="00B50159">
            <w:pPr>
              <w:pStyle w:val="ListBullet"/>
            </w:pPr>
            <w:r w:rsidRPr="00B50159">
              <w:t>structure and parts of the plant (e.g. roots and leaves) used for herbs and spices such as nutm</w:t>
            </w:r>
            <w:r w:rsidRPr="00B50159">
              <w:t xml:space="preserve">eg, cinnamon, cumin, cardamom and mace </w:t>
            </w:r>
          </w:p>
          <w:p w:rsidR="00000000" w:rsidRPr="00B50159" w:rsidP="00B50159">
            <w:pPr>
              <w:pStyle w:val="ListBullet"/>
            </w:pPr>
            <w:r w:rsidRPr="00B50159">
              <w:t>culinary terms related to particular Asian cuisines, including regional variations</w:t>
            </w:r>
          </w:p>
          <w:p w:rsidR="00000000" w:rsidRPr="00B50159" w:rsidP="00B50159">
            <w:pPr>
              <w:pStyle w:val="ListBullet"/>
            </w:pPr>
            <w:r w:rsidRPr="00B50159">
              <w:t>effects of cooking techniques on nutrition, taste, texture and appearance</w:t>
            </w:r>
          </w:p>
          <w:p w:rsidR="00000000" w:rsidRPr="00B50159" w:rsidP="00B50159">
            <w:pPr>
              <w:pStyle w:val="ListBullet"/>
            </w:pPr>
            <w:r w:rsidRPr="00B50159">
              <w:t>principles and practices of hygiene related to working in a</w:t>
            </w:r>
            <w:r w:rsidRPr="00B50159">
              <w:t xml:space="preserve"> kitchen, including appropriate uniform and other personal protective equipment.</w:t>
            </w:r>
          </w:p>
          <w:p w:rsidR="00000000" w:rsidRPr="00B50159" w:rsidP="00B50159">
            <w:pPr>
              <w:pStyle w:val="ListBullet"/>
            </w:pPr>
          </w:p>
        </w:tc>
      </w:tr>
    </w:tbl>
    <w:p w:rsidR="00AE6DCD" w:rsidP="00B50159">
      <w:pPr>
        <w:pStyle w:val="BodyText"/>
      </w:pPr>
    </w:p>
    <w:p w:rsidR="00AE6DCD" w:rsidP="00B50159">
      <w:pPr>
        <w:pStyle w:val="BodyText"/>
      </w:pPr>
    </w:p>
    <w:p w:rsidR="00000000" w:rsidRPr="00B50159" w:rsidP="00B50159">
      <w:pPr>
        <w:pStyle w:val="Heading1"/>
      </w:pPr>
      <w:bookmarkStart w:id="10" w:name="O_145980"/>
      <w:bookmarkEnd w:id="10"/>
      <w:r w:rsidRPr="00B50159">
        <w:t>Evidence Guide</w:t>
      </w:r>
    </w:p>
    <w:tbl>
      <w:tblPr>
        <w:tblW w:w="0" w:type="auto"/>
        <w:tblLayout w:type="fixed"/>
        <w:tblCellMar>
          <w:left w:w="62" w:type="dxa"/>
          <w:right w:w="62" w:type="dxa"/>
        </w:tblCellMar>
        <w:tblLook w:val="0000"/>
      </w:tblPr>
      <w:tblGrid>
        <w:gridCol w:w="3345"/>
        <w:gridCol w:w="5835"/>
      </w:tblGrid>
      <w:tr w:rsidTr="00AE6DC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SpecialBold"/>
              </w:rPr>
              <w:t>EVIDENCE GUIDE</w:t>
            </w:r>
          </w:p>
        </w:tc>
      </w:tr>
      <w:tr w:rsidTr="00AE6DC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t>The evidence guide provides advice on assessment and mu</w:t>
            </w:r>
            <w:r w:rsidRPr="00B50159">
              <w:t>st be read in conjunction with the performance criteria, required skills and knowledge, the range statement and the Assessment Guidelines for this Training Package.</w:t>
            </w: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B50159" w:rsidP="00B50159">
            <w:pPr>
              <w:pStyle w:val="BodyText"/>
            </w:pPr>
            <w:r w:rsidRPr="00B50159">
              <w:t>Evidence of the following is essential:</w:t>
            </w:r>
          </w:p>
          <w:p w:rsidR="00000000" w:rsidRPr="00B50159" w:rsidP="00B50159">
            <w:pPr>
              <w:pStyle w:val="ListBullet"/>
            </w:pPr>
            <w:r w:rsidRPr="00B50159">
              <w:t>ability to prepare curry pastes and powders for a specific cuisine or a range of Asian cuisines</w:t>
            </w:r>
          </w:p>
          <w:p w:rsidR="00000000" w:rsidRPr="00B50159" w:rsidP="00B50159">
            <w:pPr>
              <w:pStyle w:val="ListBullet"/>
            </w:pPr>
            <w:r w:rsidRPr="00B50159">
              <w:t>ability to apply curry powders and pastes to a range of menu items and to prepare sauces and accompaniments within real</w:t>
            </w:r>
            <w:r w:rsidRPr="00B50159">
              <w:t>istic time constraints, using a range of cookery methods appropriate to the cuisine</w:t>
            </w:r>
          </w:p>
          <w:p w:rsidR="00000000" w:rsidRPr="00B50159" w:rsidP="00B50159">
            <w:pPr>
              <w:pStyle w:val="ListBullet"/>
            </w:pPr>
            <w:r w:rsidRPr="00B50159">
              <w:t>knowledge of cuisine style, including cultural considerations, commodities, culinary terminology and equipment</w:t>
            </w:r>
          </w:p>
          <w:p w:rsidR="00000000" w:rsidRPr="00B50159" w:rsidP="00B50159">
            <w:pPr>
              <w:pStyle w:val="ListBullet"/>
            </w:pPr>
            <w:r w:rsidRPr="00B50159">
              <w:t xml:space="preserve">preparation of a range of menu items using curry powders and </w:t>
            </w:r>
            <w:r w:rsidRPr="00B50159">
              <w:t>pastes, including sauces and accompaniments relevant to the particular cuisine, using authentic and appropriate ingredients</w:t>
            </w:r>
          </w:p>
          <w:p w:rsidR="00000000" w:rsidRPr="00B50159" w:rsidP="00B50159">
            <w:pPr>
              <w:pStyle w:val="ListBullet"/>
            </w:pPr>
            <w:r w:rsidRPr="00B50159">
              <w:t>safe handling of spices</w:t>
            </w:r>
          </w:p>
          <w:p w:rsidR="00000000" w:rsidP="00B50159">
            <w:pPr>
              <w:pStyle w:val="ListBullet"/>
              <w:rPr>
                <w:lang w:val="en-NZ"/>
              </w:rPr>
            </w:pPr>
            <w:r w:rsidRPr="00B50159">
              <w:t>safe occupational health and food hygiene practices for preparing, cooking, presenting and storing curry pow</w:t>
            </w:r>
            <w:r w:rsidRPr="00B50159">
              <w:t>ders and pastes and menu items prepared in advance.</w:t>
            </w: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SpecialBold"/>
              </w:rPr>
              <w:t>Context of and specific resources for assessment</w:t>
            </w:r>
            <w:r w:rsidRPr="00B50159">
              <w:t xml:space="preserve"> </w:t>
            </w:r>
          </w:p>
        </w:tc>
        <w:tc>
          <w:tcPr>
            <w:tcW w:w="5835" w:type="dxa"/>
            <w:tcBorders>
              <w:top w:val="nil"/>
              <w:left w:val="nil"/>
              <w:bottom w:val="nil"/>
              <w:right w:val="nil"/>
            </w:tcBorders>
            <w:tcMar>
              <w:top w:w="0" w:type="dxa"/>
              <w:left w:w="62" w:type="dxa"/>
              <w:bottom w:w="0" w:type="dxa"/>
              <w:right w:w="62" w:type="dxa"/>
            </w:tcMar>
          </w:tcPr>
          <w:p w:rsidR="00000000" w:rsidRPr="00B50159" w:rsidP="00B50159">
            <w:pPr>
              <w:pStyle w:val="BodyText"/>
            </w:pPr>
            <w:r w:rsidRPr="00B50159">
              <w:t>Assessment must ensure:</w:t>
            </w:r>
          </w:p>
          <w:p w:rsidR="00000000" w:rsidRPr="00B50159" w:rsidP="00B50159">
            <w:pPr>
              <w:pStyle w:val="ListBullet"/>
            </w:pPr>
            <w:r w:rsidRPr="00B50159">
              <w:t>demonstration of skills within a fully equipped, operational commercial kitchen suitable for Asian cooking, including industr</w:t>
            </w:r>
            <w:r w:rsidRPr="00B50159">
              <w:t>y-current equipment, as defined in the Assessment Guidelines</w:t>
            </w:r>
          </w:p>
          <w:p w:rsidR="00000000" w:rsidRPr="00B50159" w:rsidP="00B50159">
            <w:pPr>
              <w:pStyle w:val="ListBullet"/>
            </w:pPr>
            <w:r w:rsidRPr="00B50159">
              <w:t>industry-realistic ratios of kitchen staff to customers</w:t>
            </w:r>
          </w:p>
          <w:p w:rsidR="00000000" w:rsidP="00B50159">
            <w:pPr>
              <w:pStyle w:val="ListBullet"/>
              <w:rPr>
                <w:lang w:val="en-NZ"/>
              </w:rPr>
            </w:pPr>
            <w:r w:rsidRPr="00B50159">
              <w:t>preparation of dishes for real customers within typical workplace time constraints.</w:t>
            </w: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SpecialBold"/>
              </w:rPr>
              <w:t>Methods of assessment</w:t>
            </w:r>
            <w:r w:rsidRPr="00B50159">
              <w:t xml:space="preserve"> </w:t>
            </w:r>
          </w:p>
        </w:tc>
        <w:tc>
          <w:tcPr>
            <w:tcW w:w="5835" w:type="dxa"/>
            <w:tcBorders>
              <w:top w:val="nil"/>
              <w:left w:val="nil"/>
              <w:bottom w:val="nil"/>
              <w:right w:val="nil"/>
            </w:tcBorders>
            <w:tcMar>
              <w:top w:w="0" w:type="dxa"/>
              <w:left w:w="62" w:type="dxa"/>
              <w:bottom w:w="0" w:type="dxa"/>
              <w:right w:w="62" w:type="dxa"/>
            </w:tcMar>
          </w:tcPr>
          <w:p w:rsidR="00000000" w:rsidRPr="00B50159" w:rsidP="00B50159">
            <w:pPr>
              <w:pStyle w:val="BodyText"/>
            </w:pPr>
            <w:r w:rsidRPr="00B50159">
              <w:t xml:space="preserve">A range of assessment methods should be used to assess practical skills and knowledge. The following examples are appropriate for this unit: </w:t>
            </w:r>
          </w:p>
          <w:p w:rsidR="00000000" w:rsidRPr="00B50159" w:rsidP="00B50159">
            <w:pPr>
              <w:pStyle w:val="ListBullet"/>
            </w:pPr>
            <w:r w:rsidRPr="00B50159">
              <w:t>direct observation of practical demonstration of preparing curry powders and pastes, together with required sauce</w:t>
            </w:r>
            <w:r w:rsidRPr="00B50159">
              <w:t>s and accompaniments</w:t>
            </w:r>
          </w:p>
          <w:p w:rsidR="00000000" w:rsidRPr="00B50159" w:rsidP="00B50159">
            <w:pPr>
              <w:pStyle w:val="ListBullet"/>
            </w:pPr>
            <w:r w:rsidRPr="00B50159">
              <w:t>sampling and tasting of dishes containing curry powders and pastes prepared by the candidate</w:t>
            </w:r>
          </w:p>
          <w:p w:rsidR="00000000" w:rsidRPr="00B50159" w:rsidP="00B50159">
            <w:pPr>
              <w:pStyle w:val="ListBullet"/>
            </w:pPr>
            <w:r w:rsidRPr="00B50159">
              <w:t xml:space="preserve">written or oral questions to test knowledge of curry powders and pastes, their source herbs and spices, cuisine styles, cultural aspects, use </w:t>
            </w:r>
            <w:r w:rsidRPr="00B50159">
              <w:t>and importance of typical commodities and flavourings, safety issues and food quality indicators</w:t>
            </w:r>
          </w:p>
          <w:p w:rsidR="00000000" w:rsidRPr="00B50159" w:rsidP="00B50159">
            <w:pPr>
              <w:pStyle w:val="ListBullet"/>
            </w:pPr>
            <w:r w:rsidRPr="00B50159">
              <w:t>review of portfolios of evidence and third-party workplace reports of on-the-job performance by the candidate, such as menus and photographs.</w:t>
            </w:r>
          </w:p>
          <w:p w:rsidR="00000000" w:rsidP="00B50159">
            <w:pPr>
              <w:pStyle w:val="BodyText"/>
              <w:rPr>
                <w:lang w:val="en-NZ"/>
              </w:rPr>
            </w:pPr>
            <w:r w:rsidRPr="00B50159">
              <w:t>Holistic assessme</w:t>
            </w:r>
            <w:r w:rsidRPr="00B50159">
              <w:t>nt with other units relevant to the industry sector, workplace and job role is recommended.</w:t>
            </w: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50159" w:rsidP="00B50159">
            <w:pPr>
              <w:pStyle w:val="BodyText"/>
            </w:pPr>
            <w:r w:rsidRPr="00B50159">
              <w:t>Employability skills are integral to effective performance in the workplace and are broadly consiste</w:t>
            </w:r>
            <w:r w:rsidRPr="00B50159">
              <w:t>nt across industry sectors. How these skills are applied varies between occupations and qualifications due to the different work functions and contexts.</w:t>
            </w:r>
          </w:p>
          <w:p w:rsidR="00000000" w:rsidRPr="00B50159" w:rsidP="00B50159">
            <w:pPr>
              <w:pStyle w:val="BodyText"/>
            </w:pPr>
            <w:r w:rsidRPr="00B50159">
              <w:t>Employability skills embedded in this unit should be assessed holistically with other relevant units th</w:t>
            </w:r>
            <w:r w:rsidRPr="00B50159">
              <w:t>at make up the skill set or qualification and in the context of the job role.</w:t>
            </w:r>
          </w:p>
        </w:tc>
      </w:tr>
    </w:tbl>
    <w:p w:rsidR="00AE6DCD" w:rsidP="00B50159">
      <w:pPr>
        <w:pStyle w:val="BodyText"/>
      </w:pPr>
    </w:p>
    <w:p w:rsidR="00AE6DCD" w:rsidP="00B50159">
      <w:pPr>
        <w:pStyle w:val="BodyText"/>
      </w:pPr>
    </w:p>
    <w:p w:rsidR="00000000" w:rsidRPr="00B50159" w:rsidP="00B50159">
      <w:pPr>
        <w:pStyle w:val="Heading1"/>
      </w:pPr>
      <w:bookmarkStart w:id="11" w:name="O_145981"/>
      <w:bookmarkEnd w:id="11"/>
      <w:r w:rsidRPr="00B50159">
        <w:t>Range Statement</w:t>
      </w:r>
    </w:p>
    <w:tbl>
      <w:tblPr>
        <w:tblW w:w="0" w:type="auto"/>
        <w:tblLayout w:type="fixed"/>
        <w:tblCellMar>
          <w:left w:w="62" w:type="dxa"/>
          <w:right w:w="62" w:type="dxa"/>
        </w:tblCellMar>
        <w:tblLook w:val="0000"/>
      </w:tblPr>
      <w:tblGrid>
        <w:gridCol w:w="3345"/>
        <w:gridCol w:w="5835"/>
      </w:tblGrid>
      <w:tr w:rsidTr="00AE6DC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SpecialBold"/>
              </w:rPr>
              <w:t>RANGE STATEMENT</w:t>
            </w:r>
          </w:p>
        </w:tc>
      </w:tr>
      <w:tr w:rsidTr="00AE6DC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t>The range statement relates to the unit of competency as a whole. It allows for different work environments and situations that may affect performance. Bold italicised wording in the performance criteria is detailed below.</w:t>
            </w: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BoldandItalics"/>
              </w:rPr>
              <w:t>Commodities</w:t>
            </w:r>
            <w:r w:rsidRPr="00B50159">
              <w:t xml:space="preserve"> may be fresh, dr</w:t>
            </w:r>
            <w:r w:rsidRPr="00B50159">
              <w:t>ied and preserved and may include:</w:t>
            </w:r>
          </w:p>
        </w:tc>
        <w:tc>
          <w:tcPr>
            <w:tcW w:w="5835" w:type="dxa"/>
            <w:tcBorders>
              <w:top w:val="nil"/>
              <w:left w:val="nil"/>
              <w:bottom w:val="nil"/>
              <w:right w:val="nil"/>
            </w:tcBorders>
            <w:tcMar>
              <w:top w:w="0" w:type="dxa"/>
              <w:left w:w="62" w:type="dxa"/>
              <w:bottom w:w="0" w:type="dxa"/>
              <w:right w:w="62" w:type="dxa"/>
            </w:tcMar>
          </w:tcPr>
          <w:p w:rsidR="00000000" w:rsidRPr="00B50159" w:rsidP="00B50159">
            <w:pPr>
              <w:pStyle w:val="ListBullet"/>
            </w:pPr>
            <w:r w:rsidRPr="00B50159">
              <w:t>vegetables, edible flowers and aromatic leaves</w:t>
            </w:r>
          </w:p>
          <w:p w:rsidR="00000000" w:rsidRPr="00B50159" w:rsidP="00B50159">
            <w:pPr>
              <w:pStyle w:val="ListBullet"/>
            </w:pPr>
            <w:r w:rsidRPr="00B50159">
              <w:t>meat, such as chicken, beef and lamb</w:t>
            </w:r>
          </w:p>
          <w:p w:rsidR="00000000" w:rsidP="00B50159">
            <w:pPr>
              <w:pStyle w:val="ListBullet"/>
              <w:rPr>
                <w:lang w:val="en-NZ"/>
              </w:rPr>
            </w:pPr>
            <w:r w:rsidRPr="00B50159">
              <w:t>seafood.</w:t>
            </w: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BoldandItalics"/>
              </w:rPr>
              <w:t>Curry pastes and powders</w:t>
            </w:r>
            <w:r w:rsidRPr="00B50159">
              <w:t xml:space="preserve"> and the finished menu items produced may include:</w:t>
            </w:r>
          </w:p>
        </w:tc>
        <w:tc>
          <w:tcPr>
            <w:tcW w:w="5835" w:type="dxa"/>
            <w:tcBorders>
              <w:top w:val="nil"/>
              <w:left w:val="nil"/>
              <w:bottom w:val="nil"/>
              <w:right w:val="nil"/>
            </w:tcBorders>
            <w:tcMar>
              <w:top w:w="0" w:type="dxa"/>
              <w:left w:w="62" w:type="dxa"/>
              <w:bottom w:w="0" w:type="dxa"/>
              <w:right w:w="62" w:type="dxa"/>
            </w:tcMar>
          </w:tcPr>
          <w:p w:rsidR="00000000" w:rsidRPr="00B50159" w:rsidP="00B50159">
            <w:pPr>
              <w:pStyle w:val="ListBullet"/>
            </w:pPr>
            <w:r w:rsidRPr="00B50159">
              <w:t>Indian: masala, including garam, chat, Kashmiri, sambhar and chaana ka, and curry powder and spice combination</w:t>
            </w:r>
          </w:p>
          <w:p w:rsidR="00000000" w:rsidRPr="00B50159" w:rsidP="00B50159">
            <w:pPr>
              <w:pStyle w:val="ListBullet"/>
            </w:pPr>
            <w:r w:rsidRPr="00B50159">
              <w:t>Thai: gaeng</w:t>
            </w:r>
          </w:p>
          <w:p w:rsidR="00000000" w:rsidRPr="00B50159" w:rsidP="00B50159">
            <w:pPr>
              <w:pStyle w:val="ListBullet"/>
            </w:pPr>
            <w:r w:rsidRPr="00B50159">
              <w:t>Indonesian: bumbu and kare</w:t>
            </w:r>
          </w:p>
          <w:p w:rsidR="00000000" w:rsidP="00B50159">
            <w:pPr>
              <w:pStyle w:val="ListBullet"/>
              <w:rPr>
                <w:lang w:val="en-NZ"/>
              </w:rPr>
            </w:pPr>
            <w:r w:rsidRPr="00B50159">
              <w:t>Malay and Nonya: rempah and gulai.</w:t>
            </w: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BoldandItalics"/>
              </w:rPr>
              <w:t>Herbs</w:t>
            </w:r>
            <w:r w:rsidRPr="00B50159">
              <w:t xml:space="preserve">, </w:t>
            </w:r>
            <w:r w:rsidRPr="00B50159">
              <w:rPr>
                <w:rStyle w:val="BoldandItalics"/>
              </w:rPr>
              <w:t>spices and aromatics</w:t>
            </w:r>
            <w:r w:rsidRPr="00B5015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50159" w:rsidP="00B50159">
            <w:pPr>
              <w:pStyle w:val="ListBullet"/>
            </w:pPr>
            <w:r w:rsidRPr="00B50159">
              <w:t>ground spices such as cinnamon, cardamom, fennel and fennel seeds, fenugreek, nutmeg, dill, cloves, turmeric, cumin, mace, ajwain, coriander, black mustard seeds, chillies, asfoetida, cayenne pepper and black pepper</w:t>
            </w:r>
          </w:p>
          <w:p w:rsidR="00000000" w:rsidRPr="00B50159" w:rsidP="00B50159">
            <w:pPr>
              <w:pStyle w:val="ListBullet"/>
            </w:pPr>
            <w:r w:rsidRPr="00B50159">
              <w:t>fresh or dried peels such as orange, lem</w:t>
            </w:r>
            <w:r w:rsidRPr="00B50159">
              <w:t>on and lime</w:t>
            </w:r>
          </w:p>
          <w:p w:rsidR="00000000" w:rsidRPr="00B50159" w:rsidP="00B50159">
            <w:pPr>
              <w:pStyle w:val="ListBullet"/>
            </w:pPr>
            <w:r w:rsidRPr="00B50159">
              <w:t>aromatic leaves such as bayleaf and lemongrass</w:t>
            </w:r>
          </w:p>
          <w:p w:rsidR="00000000" w:rsidP="00B50159">
            <w:pPr>
              <w:pStyle w:val="ListBullet"/>
              <w:rPr>
                <w:lang w:val="en-NZ"/>
              </w:rPr>
            </w:pPr>
            <w:r w:rsidRPr="00B50159">
              <w:t>seeds, such as poppy and sesame.</w:t>
            </w: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BoldandItalics"/>
              </w:rPr>
              <w:t>Appropriate equipment</w:t>
            </w:r>
            <w:r w:rsidRPr="00B50159">
              <w:t xml:space="preserve"> is traditional or contemporary and may include:</w:t>
            </w:r>
          </w:p>
        </w:tc>
        <w:tc>
          <w:tcPr>
            <w:tcW w:w="5835" w:type="dxa"/>
            <w:tcBorders>
              <w:top w:val="nil"/>
              <w:left w:val="nil"/>
              <w:bottom w:val="nil"/>
              <w:right w:val="nil"/>
            </w:tcBorders>
            <w:tcMar>
              <w:top w:w="0" w:type="dxa"/>
              <w:left w:w="62" w:type="dxa"/>
              <w:bottom w:w="0" w:type="dxa"/>
              <w:right w:w="62" w:type="dxa"/>
            </w:tcMar>
          </w:tcPr>
          <w:p w:rsidR="00000000" w:rsidRPr="00B50159" w:rsidP="00B50159">
            <w:pPr>
              <w:pStyle w:val="ListBullet"/>
            </w:pPr>
            <w:r w:rsidRPr="00B50159">
              <w:t>stone grinders</w:t>
            </w:r>
          </w:p>
          <w:p w:rsidR="00000000" w:rsidRPr="00B50159" w:rsidP="00B50159">
            <w:pPr>
              <w:pStyle w:val="ListBullet"/>
            </w:pPr>
            <w:r w:rsidRPr="00B50159">
              <w:t>mortar and pestle</w:t>
            </w:r>
          </w:p>
          <w:p w:rsidR="00000000" w:rsidP="00B50159">
            <w:pPr>
              <w:pStyle w:val="ListBullet"/>
              <w:rPr>
                <w:lang w:val="en-NZ"/>
              </w:rPr>
            </w:pPr>
            <w:r w:rsidRPr="00B50159">
              <w:t>other spice blenders.</w:t>
            </w: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p>
        </w:tc>
      </w:tr>
      <w:tr w:rsidTr="00AE6DC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t xml:space="preserve">Appropriate </w:t>
            </w:r>
            <w:r w:rsidRPr="00B50159">
              <w:rPr>
                <w:rStyle w:val="BoldandItalics"/>
              </w:rPr>
              <w:t>secondary ingredients</w:t>
            </w:r>
            <w:r w:rsidRPr="00B50159">
              <w:t xml:space="preserve"> to which curry pastes and powders are added for the creation of menu items may include:</w:t>
            </w:r>
          </w:p>
        </w:tc>
        <w:tc>
          <w:tcPr>
            <w:tcW w:w="5835" w:type="dxa"/>
            <w:tcBorders>
              <w:top w:val="nil"/>
              <w:left w:val="nil"/>
              <w:bottom w:val="nil"/>
              <w:right w:val="nil"/>
            </w:tcBorders>
            <w:tcMar>
              <w:top w:w="0" w:type="dxa"/>
              <w:left w:w="62" w:type="dxa"/>
              <w:bottom w:w="0" w:type="dxa"/>
              <w:right w:w="62" w:type="dxa"/>
            </w:tcMar>
          </w:tcPr>
          <w:p w:rsidR="00000000" w:rsidRPr="00B50159" w:rsidP="00B50159">
            <w:pPr>
              <w:pStyle w:val="ListBullet"/>
            </w:pPr>
            <w:r w:rsidRPr="00B50159">
              <w:t>shrimp cakes (blachan)</w:t>
            </w:r>
          </w:p>
          <w:p w:rsidR="00000000" w:rsidRPr="00B50159" w:rsidP="00B50159">
            <w:pPr>
              <w:pStyle w:val="ListBullet"/>
            </w:pPr>
            <w:r w:rsidRPr="00B50159">
              <w:t>shrimp paste (peti)</w:t>
            </w:r>
          </w:p>
          <w:p w:rsidR="00000000" w:rsidRPr="00B50159" w:rsidP="00B50159">
            <w:pPr>
              <w:pStyle w:val="ListBullet"/>
            </w:pPr>
            <w:r w:rsidRPr="00B50159">
              <w:t>fish cakes</w:t>
            </w:r>
          </w:p>
          <w:p w:rsidR="00000000" w:rsidRPr="00B50159" w:rsidP="00B50159">
            <w:pPr>
              <w:pStyle w:val="ListBullet"/>
            </w:pPr>
            <w:r w:rsidRPr="00B50159">
              <w:t>fat compounds such as coconut milk and ghee, and oils such as coconut, peanut, sesame and m</w:t>
            </w:r>
            <w:r w:rsidRPr="00B50159">
              <w:t>ustard</w:t>
            </w:r>
          </w:p>
          <w:p w:rsidR="00000000" w:rsidRPr="00B50159" w:rsidP="00B50159">
            <w:pPr>
              <w:pStyle w:val="ListBullet"/>
            </w:pPr>
            <w:r w:rsidRPr="00B50159">
              <w:t>sauces, such as kecap manis and kecap asin</w:t>
            </w:r>
          </w:p>
          <w:p w:rsidR="00000000" w:rsidRPr="00B50159" w:rsidP="00B50159">
            <w:pPr>
              <w:pStyle w:val="ListBullet"/>
            </w:pPr>
            <w:r w:rsidRPr="00B50159">
              <w:t>vegetables, edible flowers and aromatic leaves</w:t>
            </w:r>
          </w:p>
          <w:p w:rsidR="00000000" w:rsidRPr="00B50159" w:rsidP="00B50159">
            <w:pPr>
              <w:pStyle w:val="ListBullet"/>
            </w:pPr>
            <w:r w:rsidRPr="00B50159">
              <w:t>meat and poultry, including pork, beef, lamb, chicken and duck</w:t>
            </w:r>
          </w:p>
          <w:p w:rsidR="00000000" w:rsidRPr="00B50159" w:rsidP="00B50159">
            <w:pPr>
              <w:pStyle w:val="ListBullet"/>
            </w:pPr>
            <w:r w:rsidRPr="00B50159">
              <w:t>seafood</w:t>
            </w:r>
          </w:p>
          <w:p w:rsidR="00000000" w:rsidRPr="00B50159" w:rsidP="00B50159">
            <w:pPr>
              <w:pStyle w:val="ListBullet"/>
            </w:pPr>
            <w:r w:rsidRPr="00B50159">
              <w:t>vegetarian items, such as tofu and lentils</w:t>
            </w:r>
          </w:p>
          <w:p w:rsidR="00000000" w:rsidRPr="00B50159" w:rsidP="00B50159">
            <w:pPr>
              <w:pStyle w:val="ListBullet"/>
            </w:pPr>
            <w:r w:rsidRPr="00B50159">
              <w:t>nuts, such as cashews and peanuts.</w:t>
            </w:r>
          </w:p>
        </w:tc>
      </w:tr>
    </w:tbl>
    <w:p w:rsidR="00AE6DCD" w:rsidP="00B50159">
      <w:pPr>
        <w:pStyle w:val="BodyText"/>
      </w:pPr>
    </w:p>
    <w:p w:rsidR="00AE6DCD" w:rsidP="00B50159">
      <w:pPr>
        <w:pStyle w:val="BodyText"/>
      </w:pPr>
    </w:p>
    <w:p w:rsidR="00000000" w:rsidRPr="00B50159" w:rsidP="00B50159">
      <w:pPr>
        <w:pStyle w:val="Heading1"/>
      </w:pPr>
      <w:bookmarkStart w:id="12" w:name="O_145982"/>
      <w:bookmarkEnd w:id="12"/>
      <w:r w:rsidRPr="00B50159">
        <w:t>Unit Sector(s)</w:t>
      </w:r>
    </w:p>
    <w:tbl>
      <w:tblPr>
        <w:tblW w:w="0" w:type="auto"/>
        <w:tblLayout w:type="fixed"/>
        <w:tblCellMar>
          <w:left w:w="62" w:type="dxa"/>
          <w:right w:w="62" w:type="dxa"/>
        </w:tblCellMar>
        <w:tblLook w:val="0000"/>
      </w:tblPr>
      <w:tblGrid>
        <w:gridCol w:w="2836"/>
        <w:gridCol w:w="6344"/>
      </w:tblGrid>
      <w:tr w:rsidTr="00AE6DC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50159" w:rsidP="00B50159">
            <w:pPr>
              <w:pStyle w:val="BodyText"/>
            </w:pPr>
            <w:r w:rsidRPr="00B50159">
              <w:t>Hospitality</w:t>
            </w:r>
          </w:p>
        </w:tc>
      </w:tr>
    </w:tbl>
    <w:p w:rsidR="00000000" w:rsidRPr="00B50159" w:rsidP="00B50159">
      <w:pPr>
        <w:pStyle w:val="BodyText"/>
      </w:pPr>
    </w:p>
    <w:p w:rsidR="00000000" w:rsidRPr="00B50159" w:rsidP="00B50159">
      <w:pPr>
        <w:pStyle w:val="AllowPageBreak"/>
      </w:pPr>
    </w:p>
    <w:p w:rsidR="00000000" w:rsidRPr="00B50159" w:rsidP="00B50159">
      <w:pPr>
        <w:pStyle w:val="Heading1"/>
      </w:pPr>
      <w:bookmarkStart w:id="13" w:name="O_163249"/>
      <w:bookmarkEnd w:id="13"/>
      <w:r w:rsidRPr="00B50159">
        <w:t>Competency field</w:t>
      </w:r>
    </w:p>
    <w:tbl>
      <w:tblPr>
        <w:tblW w:w="0" w:type="auto"/>
        <w:tblLayout w:type="fixed"/>
        <w:tblCellMar>
          <w:left w:w="62" w:type="dxa"/>
          <w:right w:w="62" w:type="dxa"/>
        </w:tblCellMar>
        <w:tblLook w:val="0000"/>
      </w:tblPr>
      <w:tblGrid>
        <w:gridCol w:w="2836"/>
        <w:gridCol w:w="6344"/>
      </w:tblGrid>
      <w:tr w:rsidTr="00AE6DC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50159">
            <w:pPr>
              <w:pStyle w:val="BodyText"/>
              <w:rPr>
                <w:lang w:val="en-NZ"/>
              </w:rPr>
            </w:pPr>
            <w:r w:rsidRPr="00B50159">
              <w:t>Asian Cookery</w:t>
            </w:r>
          </w:p>
        </w:tc>
      </w:tr>
      <w:tr w:rsidTr="00AE6DC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50159" w:rsidP="00B50159">
            <w:pPr>
              <w:pStyle w:val="BodyText"/>
            </w:pPr>
          </w:p>
        </w:tc>
      </w:tr>
    </w:tbl>
    <w:p w:rsidR="00000000" w:rsidRPr="00B50159" w:rsidP="00B50159">
      <w:pPr>
        <w:pStyle w:val="BodyText"/>
      </w:pPr>
    </w:p>
    <w:p w:rsidR="00000000" w:rsidRPr="00B50159" w:rsidP="00B50159"/>
    <w:sectPr w:rsidSect="00B501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6DCD" w:rsidP="00AE6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DCD" w:rsidP="00B501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6DCD" w:rsidP="00B501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E6DCD" w:rsidP="00B501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6DCD" w:rsidP="00AE6D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DCD" w:rsidP="00B50159">
    <w:pPr>
      <w:pStyle w:val="Header"/>
      <w:framePr w:wrap="around"/>
    </w:pPr>
    <w:r>
      <w:fldChar w:fldCharType="begin"/>
    </w:r>
    <w:r>
      <w:instrText xml:space="preserve"> TITLE   \* MERGEFORMAT </w:instrText>
    </w:r>
    <w:r>
      <w:fldChar w:fldCharType="separate"/>
    </w:r>
    <w:r>
      <w:t>SITHASC009A Prepare curry paste and powder for Asian cuisines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6DCD" w:rsidP="00B501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228C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3CF6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1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0159"/>
    <w:pPr>
      <w:spacing w:before="360" w:after="60"/>
      <w:outlineLvl w:val="0"/>
    </w:pPr>
    <w:rPr>
      <w:sz w:val="32"/>
    </w:rPr>
  </w:style>
  <w:style w:type="paragraph" w:styleId="Heading2">
    <w:name w:val="heading 2"/>
    <w:basedOn w:val="HeadingBase"/>
    <w:next w:val="BodyText"/>
    <w:link w:val="Heading2Char"/>
    <w:qFormat/>
    <w:rsid w:val="00B50159"/>
    <w:pPr>
      <w:keepLines/>
      <w:spacing w:before="240" w:after="120"/>
      <w:outlineLvl w:val="1"/>
    </w:pPr>
    <w:rPr>
      <w:sz w:val="28"/>
      <w:szCs w:val="40"/>
    </w:rPr>
  </w:style>
  <w:style w:type="paragraph" w:styleId="Heading3">
    <w:name w:val="heading 3"/>
    <w:basedOn w:val="HeadingBase"/>
    <w:next w:val="BodyText"/>
    <w:link w:val="Heading3Char"/>
    <w:qFormat/>
    <w:rsid w:val="00B50159"/>
    <w:pPr>
      <w:spacing w:before="180" w:after="120"/>
      <w:outlineLvl w:val="2"/>
    </w:pPr>
    <w:rPr>
      <w:spacing w:val="-10"/>
      <w:kern w:val="32"/>
    </w:rPr>
  </w:style>
  <w:style w:type="paragraph" w:styleId="Heading4">
    <w:name w:val="heading 4"/>
    <w:basedOn w:val="HeadingBase"/>
    <w:next w:val="BodyText"/>
    <w:link w:val="Heading4Char"/>
    <w:qFormat/>
    <w:rsid w:val="00B50159"/>
    <w:pPr>
      <w:spacing w:before="160" w:after="120"/>
      <w:outlineLvl w:val="3"/>
    </w:pPr>
    <w:rPr>
      <w:sz w:val="22"/>
    </w:rPr>
  </w:style>
  <w:style w:type="paragraph" w:styleId="Heading5">
    <w:name w:val="heading 5"/>
    <w:basedOn w:val="HeadingBase"/>
    <w:next w:val="Normal"/>
    <w:link w:val="Heading5Char"/>
    <w:qFormat/>
    <w:rsid w:val="00B50159"/>
    <w:pPr>
      <w:spacing w:before="80"/>
      <w:outlineLvl w:val="4"/>
    </w:pPr>
    <w:rPr>
      <w:color w:val="918585"/>
      <w:sz w:val="20"/>
    </w:rPr>
  </w:style>
  <w:style w:type="paragraph" w:styleId="Heading6">
    <w:name w:val="heading 6"/>
    <w:basedOn w:val="HeadingBase"/>
    <w:next w:val="Normal"/>
    <w:link w:val="Heading6Char"/>
    <w:qFormat/>
    <w:rsid w:val="00B50159"/>
    <w:pPr>
      <w:spacing w:before="60"/>
      <w:outlineLvl w:val="5"/>
    </w:pPr>
    <w:rPr>
      <w:color w:val="918585"/>
      <w:sz w:val="20"/>
    </w:rPr>
  </w:style>
  <w:style w:type="paragraph" w:styleId="Heading7">
    <w:name w:val="heading 7"/>
    <w:basedOn w:val="Normal"/>
    <w:next w:val="Normal"/>
    <w:link w:val="Heading7Char"/>
    <w:qFormat/>
    <w:rsid w:val="00B50159"/>
    <w:pPr>
      <w:ind w:left="720"/>
      <w:outlineLvl w:val="6"/>
    </w:pPr>
    <w:rPr>
      <w:i/>
    </w:rPr>
  </w:style>
  <w:style w:type="paragraph" w:styleId="Heading8">
    <w:name w:val="heading 8"/>
    <w:basedOn w:val="Normal"/>
    <w:next w:val="Normal"/>
    <w:link w:val="Heading8Char"/>
    <w:qFormat/>
    <w:rsid w:val="00B50159"/>
    <w:pPr>
      <w:ind w:left="720"/>
      <w:outlineLvl w:val="7"/>
    </w:pPr>
    <w:rPr>
      <w:i/>
    </w:rPr>
  </w:style>
  <w:style w:type="paragraph" w:styleId="Heading9">
    <w:name w:val="heading 9"/>
    <w:basedOn w:val="Normal"/>
    <w:next w:val="Normal"/>
    <w:link w:val="Heading9Char"/>
    <w:qFormat/>
    <w:rsid w:val="00B50159"/>
    <w:pPr>
      <w:ind w:left="720"/>
      <w:outlineLvl w:val="8"/>
    </w:pPr>
    <w:rPr>
      <w:i/>
    </w:rPr>
  </w:style>
  <w:style w:type="character" w:default="1" w:styleId="DefaultParagraphFont">
    <w:name w:val="Default Paragraph Font"/>
    <w:uiPriority w:val="1"/>
    <w:unhideWhenUsed/>
    <w:rsid w:val="00B501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159"/>
  </w:style>
  <w:style w:type="character" w:customStyle="1" w:styleId="Heading1Char">
    <w:name w:val="Heading 1 Char"/>
    <w:basedOn w:val="DefaultParagraphFont"/>
    <w:link w:val="Heading1"/>
    <w:rsid w:val="00B50159"/>
    <w:rPr>
      <w:rFonts w:ascii="Times New Roman" w:eastAsia="Times New Roman" w:hAnsi="Times New Roman" w:cs="Times New Roman"/>
      <w:b/>
      <w:sz w:val="32"/>
      <w:szCs w:val="20"/>
      <w:lang w:eastAsia="en-US"/>
    </w:rPr>
  </w:style>
  <w:style w:type="paragraph" w:styleId="BodyText">
    <w:name w:val="Body Text"/>
    <w:basedOn w:val="Normal"/>
    <w:link w:val="BodyTextChar"/>
    <w:rsid w:val="00B501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0159"/>
    <w:rPr>
      <w:rFonts w:ascii="Times New Roman" w:eastAsia="Times New Roman" w:hAnsi="Times New Roman" w:cs="Times New Roman"/>
      <w:sz w:val="24"/>
      <w:lang w:val="en-US" w:eastAsia="en-US"/>
    </w:rPr>
  </w:style>
  <w:style w:type="paragraph" w:styleId="Footer">
    <w:name w:val="footer"/>
    <w:basedOn w:val="Normal"/>
    <w:link w:val="FooterChar"/>
    <w:rsid w:val="00B501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159"/>
    <w:rPr>
      <w:rFonts w:ascii="Times New Roman" w:eastAsia="Times New Roman" w:hAnsi="Times New Roman" w:cs="Times New Roman"/>
      <w:sz w:val="16"/>
      <w:lang w:val="en-US" w:eastAsia="en-US"/>
    </w:rPr>
  </w:style>
  <w:style w:type="paragraph" w:styleId="List">
    <w:name w:val="List"/>
    <w:basedOn w:val="BodyText"/>
    <w:next w:val="BodyText"/>
    <w:rsid w:val="00B50159"/>
    <w:pPr>
      <w:tabs>
        <w:tab w:val="left" w:pos="340"/>
      </w:tabs>
      <w:spacing w:before="60" w:after="60"/>
      <w:ind w:left="340" w:hanging="340"/>
    </w:pPr>
  </w:style>
  <w:style w:type="paragraph" w:styleId="ListBullet">
    <w:name w:val="List Bullet"/>
    <w:basedOn w:val="List"/>
    <w:rsid w:val="00B50159"/>
    <w:pPr>
      <w:numPr>
        <w:numId w:val="12"/>
      </w:numPr>
      <w:tabs>
        <w:tab w:val="clear" w:pos="340"/>
      </w:tabs>
      <w:spacing w:before="40" w:after="40"/>
    </w:pPr>
  </w:style>
  <w:style w:type="character" w:customStyle="1" w:styleId="SpecialBold">
    <w:name w:val="Special Bold"/>
    <w:basedOn w:val="DefaultParagraphFont"/>
    <w:rsid w:val="00B50159"/>
    <w:rPr>
      <w:b/>
      <w:spacing w:val="0"/>
    </w:rPr>
  </w:style>
  <w:style w:type="paragraph" w:styleId="Header">
    <w:name w:val="header"/>
    <w:basedOn w:val="Normal"/>
    <w:link w:val="HeaderChar"/>
    <w:rsid w:val="00B501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1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0159"/>
    <w:pPr>
      <w:spacing w:before="240" w:after="120"/>
      <w:outlineLvl w:val="0"/>
    </w:pPr>
    <w:rPr>
      <w:rFonts w:ascii="Times New Roman" w:hAnsi="Times New Roman"/>
      <w:b/>
      <w:sz w:val="28"/>
    </w:rPr>
  </w:style>
  <w:style w:type="paragraph" w:customStyle="1" w:styleId="AllowPageBreak">
    <w:name w:val="AllowPageBreak"/>
    <w:rsid w:val="00B501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0159"/>
    <w:rPr>
      <w:b/>
      <w:i/>
      <w:u w:val="none"/>
    </w:rPr>
  </w:style>
  <w:style w:type="character" w:customStyle="1" w:styleId="Heading2Char">
    <w:name w:val="Heading 2 Char"/>
    <w:basedOn w:val="DefaultParagraphFont"/>
    <w:link w:val="Heading2"/>
    <w:rsid w:val="00B501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1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1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1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1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1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01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0159"/>
    <w:rPr>
      <w:rFonts w:ascii="Courier New" w:eastAsia="Times New Roman" w:hAnsi="Courier New" w:cs="Times New Roman"/>
      <w:i/>
      <w:szCs w:val="20"/>
      <w:lang w:val="en-US" w:eastAsia="en-US"/>
    </w:rPr>
  </w:style>
  <w:style w:type="paragraph" w:customStyle="1" w:styleId="HeadingBase">
    <w:name w:val="Heading Base"/>
    <w:rsid w:val="00B501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159"/>
    <w:pPr>
      <w:tabs>
        <w:tab w:val="right" w:leader="dot" w:pos="9072"/>
      </w:tabs>
      <w:ind w:left="567"/>
    </w:pPr>
    <w:rPr>
      <w:szCs w:val="22"/>
    </w:rPr>
  </w:style>
  <w:style w:type="paragraph" w:customStyle="1" w:styleId="TOCBase">
    <w:name w:val="TOC Base"/>
    <w:rsid w:val="00B501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159"/>
    <w:pPr>
      <w:tabs>
        <w:tab w:val="right" w:leader="dot" w:pos="9072"/>
      </w:tabs>
      <w:spacing w:before="40" w:after="40"/>
      <w:ind w:left="284"/>
    </w:pPr>
    <w:rPr>
      <w:rFonts w:ascii="Times New Roman" w:hAnsi="Times New Roman"/>
    </w:rPr>
  </w:style>
  <w:style w:type="paragraph" w:styleId="TOC1">
    <w:name w:val="toc 1"/>
    <w:basedOn w:val="TOCBase"/>
    <w:next w:val="Normal"/>
    <w:rsid w:val="00B501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0159"/>
    <w:pPr>
      <w:spacing w:before="5040"/>
      <w:jc w:val="center"/>
    </w:pPr>
    <w:rPr>
      <w:sz w:val="48"/>
      <w:szCs w:val="72"/>
      <w:lang w:val="en-US"/>
    </w:rPr>
  </w:style>
  <w:style w:type="character" w:customStyle="1" w:styleId="TitleChar">
    <w:name w:val="Title Char"/>
    <w:basedOn w:val="DefaultParagraphFont"/>
    <w:link w:val="Title"/>
    <w:rsid w:val="00B501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159"/>
    <w:pPr>
      <w:tabs>
        <w:tab w:val="left" w:pos="3600"/>
        <w:tab w:val="left" w:pos="3958"/>
      </w:tabs>
    </w:pPr>
  </w:style>
  <w:style w:type="paragraph" w:customStyle="1" w:styleId="Note">
    <w:name w:val="Note"/>
    <w:basedOn w:val="BodyText"/>
    <w:rsid w:val="00B501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159"/>
    <w:pPr>
      <w:framePr w:wrap="auto" w:hAnchor="text" w:y="6049"/>
    </w:pPr>
    <w:rPr>
      <w:color w:val="000000"/>
      <w:sz w:val="40"/>
    </w:rPr>
  </w:style>
  <w:style w:type="paragraph" w:customStyle="1" w:styleId="TOCTitle">
    <w:name w:val="TOCTitle"/>
    <w:basedOn w:val="Heading1"/>
    <w:rsid w:val="00B50159"/>
    <w:pPr>
      <w:spacing w:after="240"/>
      <w:jc w:val="center"/>
      <w:outlineLvl w:val="9"/>
    </w:pPr>
    <w:rPr>
      <w:caps/>
    </w:rPr>
  </w:style>
  <w:style w:type="paragraph" w:customStyle="1" w:styleId="Version">
    <w:name w:val="Version"/>
    <w:rsid w:val="00B501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0159"/>
    <w:pPr>
      <w:numPr>
        <w:numId w:val="13"/>
      </w:numPr>
      <w:tabs>
        <w:tab w:val="clear" w:pos="680"/>
      </w:tabs>
    </w:pPr>
  </w:style>
  <w:style w:type="paragraph" w:styleId="Index1">
    <w:name w:val="index 1"/>
    <w:basedOn w:val="Normal"/>
    <w:next w:val="Normal"/>
    <w:semiHidden/>
    <w:rsid w:val="00B50159"/>
    <w:pPr>
      <w:keepNext w:val="0"/>
      <w:tabs>
        <w:tab w:val="right" w:pos="4176"/>
      </w:tabs>
      <w:ind w:left="198" w:hanging="198"/>
    </w:pPr>
    <w:rPr>
      <w:rFonts w:ascii="Garamond" w:hAnsi="Garamond"/>
    </w:rPr>
  </w:style>
  <w:style w:type="paragraph" w:styleId="IndexHeading">
    <w:name w:val="index heading"/>
    <w:basedOn w:val="Normal"/>
    <w:next w:val="Index1"/>
    <w:semiHidden/>
    <w:rsid w:val="00B50159"/>
    <w:pPr>
      <w:spacing w:before="120" w:after="120"/>
    </w:pPr>
    <w:rPr>
      <w:rFonts w:ascii="Arial" w:hAnsi="Arial"/>
      <w:b/>
      <w:color w:val="918585"/>
      <w:sz w:val="24"/>
    </w:rPr>
  </w:style>
  <w:style w:type="paragraph" w:customStyle="1" w:styleId="Chapter">
    <w:name w:val="Chapter"/>
    <w:basedOn w:val="Normal"/>
    <w:rsid w:val="00B50159"/>
    <w:pPr>
      <w:spacing w:before="240"/>
    </w:pPr>
    <w:rPr>
      <w:rFonts w:ascii="Times New Roman" w:hAnsi="Times New Roman"/>
      <w:smallCaps/>
      <w:spacing w:val="80"/>
      <w:sz w:val="28"/>
    </w:rPr>
  </w:style>
  <w:style w:type="paragraph" w:customStyle="1" w:styleId="InChapter">
    <w:name w:val="InChapter"/>
    <w:basedOn w:val="Heading3"/>
    <w:rsid w:val="00B50159"/>
    <w:pPr>
      <w:spacing w:after="240"/>
      <w:outlineLvl w:val="9"/>
    </w:pPr>
    <w:rPr>
      <w:noProof/>
    </w:rPr>
  </w:style>
  <w:style w:type="paragraph" w:styleId="Index2">
    <w:name w:val="index 2"/>
    <w:basedOn w:val="Normal"/>
    <w:next w:val="Normal"/>
    <w:semiHidden/>
    <w:rsid w:val="00B50159"/>
    <w:pPr>
      <w:tabs>
        <w:tab w:val="right" w:pos="4176"/>
      </w:tabs>
      <w:ind w:left="568" w:hanging="284"/>
    </w:pPr>
    <w:rPr>
      <w:rFonts w:ascii="Garamond" w:hAnsi="Garamond"/>
    </w:rPr>
  </w:style>
  <w:style w:type="paragraph" w:customStyle="1" w:styleId="Byline">
    <w:name w:val="Byline"/>
    <w:rsid w:val="00B501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159"/>
    <w:pPr>
      <w:tabs>
        <w:tab w:val="clear" w:pos="3600"/>
        <w:tab w:val="clear" w:pos="3958"/>
      </w:tabs>
      <w:jc w:val="right"/>
    </w:pPr>
  </w:style>
  <w:style w:type="character" w:styleId="Emphasis">
    <w:name w:val="Emphasis"/>
    <w:basedOn w:val="DefaultParagraphFont"/>
    <w:qFormat/>
    <w:rsid w:val="00B50159"/>
    <w:rPr>
      <w:i/>
    </w:rPr>
  </w:style>
  <w:style w:type="paragraph" w:styleId="Caption">
    <w:name w:val="caption"/>
    <w:basedOn w:val="BodyText"/>
    <w:next w:val="Normal"/>
    <w:qFormat/>
    <w:rsid w:val="00B50159"/>
    <w:pPr>
      <w:framePr w:w="2268" w:hSpace="181" w:vSpace="181" w:wrap="around" w:vAnchor="text" w:hAnchor="page" w:x="1135" w:y="285" w:anchorLock="1"/>
    </w:pPr>
    <w:rPr>
      <w:i/>
    </w:rPr>
  </w:style>
  <w:style w:type="paragraph" w:customStyle="1" w:styleId="MiniTOCTitle">
    <w:name w:val="MiniTOCTitle"/>
    <w:basedOn w:val="Heading4"/>
    <w:rsid w:val="00B50159"/>
    <w:pPr>
      <w:spacing w:before="240"/>
      <w:outlineLvl w:val="9"/>
    </w:pPr>
    <w:rPr>
      <w:noProof/>
      <w:sz w:val="24"/>
    </w:rPr>
  </w:style>
  <w:style w:type="paragraph" w:customStyle="1" w:styleId="MiniTOCItem">
    <w:name w:val="MiniTOCItem"/>
    <w:basedOn w:val="ListBullet"/>
    <w:rsid w:val="00B50159"/>
    <w:pPr>
      <w:numPr>
        <w:numId w:val="0"/>
      </w:numPr>
      <w:tabs>
        <w:tab w:val="right" w:leader="dot" w:pos="6521"/>
      </w:tabs>
      <w:spacing w:before="0" w:after="0"/>
    </w:pPr>
  </w:style>
  <w:style w:type="paragraph" w:customStyle="1" w:styleId="TOFTitle">
    <w:name w:val="TOFTitle"/>
    <w:basedOn w:val="TOCTitle"/>
    <w:rsid w:val="00B50159"/>
  </w:style>
  <w:style w:type="paragraph" w:styleId="TableofFigures">
    <w:name w:val="table of figures"/>
    <w:basedOn w:val="Normal"/>
    <w:next w:val="Normal"/>
    <w:semiHidden/>
    <w:rsid w:val="00B50159"/>
    <w:pPr>
      <w:tabs>
        <w:tab w:val="right" w:leader="dot" w:pos="9072"/>
      </w:tabs>
      <w:ind w:left="970" w:hanging="403"/>
    </w:pPr>
    <w:rPr>
      <w:rFonts w:ascii="Times New Roman" w:hAnsi="Times New Roman"/>
      <w:b/>
    </w:rPr>
  </w:style>
  <w:style w:type="paragraph" w:styleId="ListNumber">
    <w:name w:val="List Number"/>
    <w:basedOn w:val="List"/>
    <w:rsid w:val="00B50159"/>
    <w:pPr>
      <w:numPr>
        <w:numId w:val="10"/>
      </w:numPr>
    </w:pPr>
  </w:style>
  <w:style w:type="character" w:customStyle="1" w:styleId="WingdingSymbols">
    <w:name w:val="Wingding Symbols"/>
    <w:rsid w:val="00B50159"/>
    <w:rPr>
      <w:rFonts w:ascii="Wingdings" w:hAnsi="Wingdings"/>
    </w:rPr>
  </w:style>
  <w:style w:type="paragraph" w:customStyle="1" w:styleId="TableHeading">
    <w:name w:val="Table Heading"/>
    <w:basedOn w:val="HeadingBase"/>
    <w:rsid w:val="00B50159"/>
    <w:pPr>
      <w:keepLines/>
      <w:pBdr>
        <w:bottom w:val="single" w:sz="6" w:space="1" w:color="918585"/>
      </w:pBdr>
      <w:spacing w:before="240"/>
    </w:pPr>
  </w:style>
  <w:style w:type="character" w:customStyle="1" w:styleId="HotSpot">
    <w:name w:val="HotSpot"/>
    <w:rsid w:val="00B50159"/>
    <w:rPr>
      <w:color w:val="0033CC"/>
      <w:u w:val="none"/>
    </w:rPr>
  </w:style>
  <w:style w:type="paragraph" w:customStyle="1" w:styleId="BodyTextRight">
    <w:name w:val="Body Text Right"/>
    <w:basedOn w:val="BodyText"/>
    <w:rsid w:val="00B50159"/>
    <w:pPr>
      <w:spacing w:before="0" w:after="0"/>
      <w:jc w:val="right"/>
    </w:pPr>
  </w:style>
  <w:style w:type="paragraph" w:styleId="Index3">
    <w:name w:val="index 3"/>
    <w:basedOn w:val="ListNumber2"/>
    <w:next w:val="Normal"/>
    <w:semiHidden/>
    <w:rsid w:val="00B50159"/>
    <w:pPr>
      <w:numPr>
        <w:numId w:val="0"/>
      </w:numPr>
      <w:tabs>
        <w:tab w:val="right" w:leader="dot" w:pos="4176"/>
      </w:tabs>
    </w:pPr>
  </w:style>
  <w:style w:type="paragraph" w:styleId="ListNumber2">
    <w:name w:val="List Number 2"/>
    <w:basedOn w:val="List2"/>
    <w:rsid w:val="00B50159"/>
    <w:pPr>
      <w:numPr>
        <w:numId w:val="9"/>
      </w:numPr>
      <w:tabs>
        <w:tab w:val="clear" w:pos="1060"/>
      </w:tabs>
    </w:pPr>
  </w:style>
  <w:style w:type="paragraph" w:customStyle="1" w:styleId="MarginNote">
    <w:name w:val="Margin Note"/>
    <w:basedOn w:val="BodyText"/>
    <w:rsid w:val="00B501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1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1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0159"/>
    <w:rPr>
      <w:sz w:val="32"/>
    </w:rPr>
  </w:style>
  <w:style w:type="paragraph" w:customStyle="1" w:styleId="HeadingProcedure">
    <w:name w:val="Heading Procedure"/>
    <w:basedOn w:val="HeadingBase"/>
    <w:next w:val="Normal"/>
    <w:rsid w:val="00B50159"/>
    <w:pPr>
      <w:tabs>
        <w:tab w:val="left" w:pos="0"/>
      </w:tabs>
      <w:spacing w:before="120" w:after="60"/>
    </w:pPr>
    <w:rPr>
      <w:i/>
      <w:color w:val="918585"/>
      <w:sz w:val="22"/>
    </w:rPr>
  </w:style>
  <w:style w:type="paragraph" w:customStyle="1" w:styleId="TableBodyText">
    <w:name w:val="Table Body Text"/>
    <w:basedOn w:val="BodyText"/>
    <w:rsid w:val="00B50159"/>
    <w:pPr>
      <w:spacing w:before="60" w:after="60"/>
    </w:pPr>
  </w:style>
  <w:style w:type="paragraph" w:styleId="ListContinue">
    <w:name w:val="List Continue"/>
    <w:basedOn w:val="List"/>
    <w:rsid w:val="00B50159"/>
    <w:pPr>
      <w:ind w:firstLine="0"/>
    </w:pPr>
  </w:style>
  <w:style w:type="paragraph" w:customStyle="1" w:styleId="ListNote">
    <w:name w:val="List Note"/>
    <w:basedOn w:val="List"/>
    <w:rsid w:val="00B50159"/>
    <w:pPr>
      <w:pBdr>
        <w:top w:val="single" w:sz="6" w:space="2" w:color="918585"/>
        <w:bottom w:val="single" w:sz="6" w:space="2" w:color="918585"/>
      </w:pBdr>
      <w:tabs>
        <w:tab w:val="left" w:pos="1021"/>
      </w:tabs>
      <w:ind w:firstLine="0"/>
    </w:pPr>
  </w:style>
  <w:style w:type="paragraph" w:customStyle="1" w:styleId="Warning">
    <w:name w:val="Warning"/>
    <w:basedOn w:val="BodyText"/>
    <w:rsid w:val="00B50159"/>
    <w:pPr>
      <w:shd w:val="clear" w:color="auto" w:fill="D9D9D9"/>
      <w:tabs>
        <w:tab w:val="left" w:pos="992"/>
      </w:tabs>
      <w:ind w:left="119" w:right="119"/>
    </w:pPr>
    <w:rPr>
      <w:sz w:val="20"/>
    </w:rPr>
  </w:style>
  <w:style w:type="paragraph" w:customStyle="1" w:styleId="MarginIcons">
    <w:name w:val="Margin Icons"/>
    <w:basedOn w:val="BodyText"/>
    <w:rsid w:val="00B501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159"/>
    <w:rPr>
      <w:rFonts w:ascii="Courier New" w:hAnsi="Courier New"/>
    </w:rPr>
  </w:style>
  <w:style w:type="paragraph" w:customStyle="1" w:styleId="NoteBullet">
    <w:name w:val="Note Bullet"/>
    <w:basedOn w:val="Note"/>
    <w:rsid w:val="00B50159"/>
    <w:pPr>
      <w:tabs>
        <w:tab w:val="clear" w:pos="680"/>
      </w:tabs>
      <w:spacing w:before="60" w:after="60"/>
    </w:pPr>
  </w:style>
  <w:style w:type="paragraph" w:customStyle="1" w:styleId="SubHeading2">
    <w:name w:val="SubHeading2"/>
    <w:basedOn w:val="HeadingBase"/>
    <w:rsid w:val="00B50159"/>
    <w:pPr>
      <w:spacing w:before="240" w:after="60"/>
    </w:pPr>
    <w:rPr>
      <w:sz w:val="20"/>
    </w:rPr>
  </w:style>
  <w:style w:type="paragraph" w:customStyle="1" w:styleId="SubHeading1">
    <w:name w:val="SubHeading1"/>
    <w:basedOn w:val="HeadingBase"/>
    <w:rsid w:val="00B50159"/>
    <w:pPr>
      <w:spacing w:before="240" w:after="60"/>
    </w:pPr>
    <w:rPr>
      <w:color w:val="918585"/>
      <w:sz w:val="22"/>
    </w:rPr>
  </w:style>
  <w:style w:type="paragraph" w:customStyle="1" w:styleId="SideHeading">
    <w:name w:val="Side Heading"/>
    <w:basedOn w:val="HeadingBase"/>
    <w:rsid w:val="00B501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159"/>
    <w:pPr>
      <w:tabs>
        <w:tab w:val="num" w:pos="360"/>
      </w:tabs>
    </w:pPr>
  </w:style>
  <w:style w:type="paragraph" w:styleId="PlainText">
    <w:name w:val="Plain Text"/>
    <w:basedOn w:val="Normal"/>
    <w:link w:val="PlainTextChar"/>
    <w:rsid w:val="00B50159"/>
    <w:rPr>
      <w:sz w:val="20"/>
    </w:rPr>
  </w:style>
  <w:style w:type="character" w:customStyle="1" w:styleId="PlainTextChar">
    <w:name w:val="Plain Text Char"/>
    <w:basedOn w:val="DefaultParagraphFont"/>
    <w:link w:val="PlainText"/>
    <w:rsid w:val="00B501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0159"/>
    <w:rPr>
      <w:b/>
      <w:smallCaps/>
    </w:rPr>
  </w:style>
  <w:style w:type="paragraph" w:customStyle="1" w:styleId="TableListNumber">
    <w:name w:val="Table List Number"/>
    <w:basedOn w:val="ListNumber"/>
    <w:rsid w:val="00B50159"/>
    <w:pPr>
      <w:numPr>
        <w:numId w:val="0"/>
      </w:numPr>
    </w:pPr>
  </w:style>
  <w:style w:type="paragraph" w:styleId="TOC4">
    <w:name w:val="toc 4"/>
    <w:basedOn w:val="TOCBase"/>
    <w:next w:val="Normal"/>
    <w:semiHidden/>
    <w:rsid w:val="00B50159"/>
    <w:pPr>
      <w:tabs>
        <w:tab w:val="right" w:leader="dot" w:pos="9071"/>
      </w:tabs>
      <w:ind w:left="1701"/>
    </w:pPr>
  </w:style>
  <w:style w:type="paragraph" w:customStyle="1" w:styleId="ListAlpha">
    <w:name w:val="List Alpha"/>
    <w:basedOn w:val="List"/>
    <w:rsid w:val="00B50159"/>
    <w:pPr>
      <w:numPr>
        <w:numId w:val="8"/>
      </w:numPr>
    </w:pPr>
  </w:style>
  <w:style w:type="paragraph" w:customStyle="1" w:styleId="ListAlpha2">
    <w:name w:val="List Alpha 2"/>
    <w:basedOn w:val="List2"/>
    <w:rsid w:val="00B50159"/>
    <w:pPr>
      <w:numPr>
        <w:numId w:val="7"/>
      </w:numPr>
    </w:pPr>
  </w:style>
  <w:style w:type="paragraph" w:styleId="List2">
    <w:name w:val="List 2"/>
    <w:basedOn w:val="BodyText"/>
    <w:rsid w:val="00B50159"/>
    <w:pPr>
      <w:tabs>
        <w:tab w:val="left" w:pos="680"/>
      </w:tabs>
      <w:spacing w:before="60" w:after="60"/>
      <w:ind w:left="680" w:hanging="340"/>
    </w:pPr>
  </w:style>
  <w:style w:type="paragraph" w:styleId="List3">
    <w:name w:val="List 3"/>
    <w:basedOn w:val="BodyText"/>
    <w:rsid w:val="00B50159"/>
    <w:pPr>
      <w:tabs>
        <w:tab w:val="left" w:pos="1021"/>
      </w:tabs>
      <w:spacing w:before="60" w:after="60"/>
      <w:ind w:left="1020" w:hanging="340"/>
    </w:pPr>
  </w:style>
  <w:style w:type="paragraph" w:styleId="List4">
    <w:name w:val="List 4"/>
    <w:basedOn w:val="BodyText"/>
    <w:rsid w:val="00B50159"/>
    <w:pPr>
      <w:tabs>
        <w:tab w:val="left" w:pos="1361"/>
      </w:tabs>
      <w:spacing w:before="60" w:after="60"/>
      <w:ind w:left="1361" w:hanging="340"/>
    </w:pPr>
  </w:style>
  <w:style w:type="paragraph" w:styleId="List5">
    <w:name w:val="List 5"/>
    <w:basedOn w:val="BodyText"/>
    <w:rsid w:val="00B50159"/>
    <w:pPr>
      <w:tabs>
        <w:tab w:val="left" w:pos="1701"/>
      </w:tabs>
      <w:spacing w:before="60" w:after="60"/>
      <w:ind w:left="1701" w:hanging="340"/>
    </w:pPr>
  </w:style>
  <w:style w:type="paragraph" w:styleId="ListBullet3">
    <w:name w:val="List Bullet 3"/>
    <w:basedOn w:val="List3"/>
    <w:rsid w:val="00B50159"/>
    <w:pPr>
      <w:numPr>
        <w:numId w:val="14"/>
      </w:numPr>
      <w:tabs>
        <w:tab w:val="clear" w:pos="1021"/>
      </w:tabs>
      <w:ind w:left="1037" w:hanging="357"/>
    </w:pPr>
  </w:style>
  <w:style w:type="paragraph" w:styleId="ListBullet4">
    <w:name w:val="List Bullet 4"/>
    <w:basedOn w:val="List4"/>
    <w:rsid w:val="00B50159"/>
    <w:pPr>
      <w:numPr>
        <w:numId w:val="2"/>
      </w:numPr>
    </w:pPr>
  </w:style>
  <w:style w:type="paragraph" w:styleId="ListBullet5">
    <w:name w:val="List Bullet 5"/>
    <w:basedOn w:val="List5"/>
    <w:rsid w:val="00B50159"/>
    <w:pPr>
      <w:numPr>
        <w:numId w:val="3"/>
      </w:numPr>
    </w:pPr>
  </w:style>
  <w:style w:type="paragraph" w:styleId="ListContinue2">
    <w:name w:val="List Continue 2"/>
    <w:basedOn w:val="List2"/>
    <w:rsid w:val="00B50159"/>
    <w:pPr>
      <w:ind w:firstLine="0"/>
    </w:pPr>
  </w:style>
  <w:style w:type="paragraph" w:styleId="ListContinue3">
    <w:name w:val="List Continue 3"/>
    <w:basedOn w:val="List3"/>
    <w:rsid w:val="00B50159"/>
    <w:pPr>
      <w:ind w:left="1021" w:firstLine="0"/>
    </w:pPr>
  </w:style>
  <w:style w:type="paragraph" w:styleId="ListContinue4">
    <w:name w:val="List Continue 4"/>
    <w:basedOn w:val="List4"/>
    <w:rsid w:val="00B50159"/>
    <w:pPr>
      <w:ind w:firstLine="0"/>
    </w:pPr>
  </w:style>
  <w:style w:type="paragraph" w:styleId="ListContinue5">
    <w:name w:val="List Continue 5"/>
    <w:basedOn w:val="List5"/>
    <w:rsid w:val="00B50159"/>
    <w:pPr>
      <w:ind w:firstLine="0"/>
    </w:pPr>
  </w:style>
  <w:style w:type="paragraph" w:styleId="ListNumber3">
    <w:name w:val="List Number 3"/>
    <w:basedOn w:val="List3"/>
    <w:rsid w:val="00B50159"/>
    <w:pPr>
      <w:numPr>
        <w:numId w:val="4"/>
      </w:numPr>
    </w:pPr>
  </w:style>
  <w:style w:type="paragraph" w:styleId="ListNumber4">
    <w:name w:val="List Number 4"/>
    <w:basedOn w:val="List4"/>
    <w:rsid w:val="00B50159"/>
    <w:pPr>
      <w:numPr>
        <w:numId w:val="5"/>
      </w:numPr>
    </w:pPr>
  </w:style>
  <w:style w:type="paragraph" w:styleId="ListNumber5">
    <w:name w:val="List Number 5"/>
    <w:basedOn w:val="List5"/>
    <w:rsid w:val="00B50159"/>
    <w:pPr>
      <w:numPr>
        <w:numId w:val="6"/>
      </w:numPr>
    </w:pPr>
  </w:style>
  <w:style w:type="paragraph" w:styleId="BlockText">
    <w:name w:val="Block Text"/>
    <w:basedOn w:val="Normal"/>
    <w:rsid w:val="00B50159"/>
    <w:pPr>
      <w:spacing w:after="120"/>
      <w:ind w:left="1440" w:right="1440"/>
    </w:pPr>
  </w:style>
  <w:style w:type="character" w:customStyle="1" w:styleId="Subscript">
    <w:name w:val="Subscript"/>
    <w:basedOn w:val="DefaultParagraphFont"/>
    <w:rsid w:val="00B50159"/>
    <w:rPr>
      <w:sz w:val="16"/>
      <w:vertAlign w:val="subscript"/>
    </w:rPr>
  </w:style>
  <w:style w:type="character" w:customStyle="1" w:styleId="Superscript">
    <w:name w:val="Superscript"/>
    <w:basedOn w:val="DefaultParagraphFont"/>
    <w:rsid w:val="00B50159"/>
    <w:rPr>
      <w:sz w:val="16"/>
      <w:vertAlign w:val="superscript"/>
    </w:rPr>
  </w:style>
  <w:style w:type="character" w:customStyle="1" w:styleId="Symbols">
    <w:name w:val="Symbols"/>
    <w:basedOn w:val="DefaultParagraphFont"/>
    <w:rsid w:val="00B50159"/>
    <w:rPr>
      <w:rFonts w:ascii="Symbol" w:hAnsi="Symbol"/>
    </w:rPr>
  </w:style>
  <w:style w:type="character" w:customStyle="1" w:styleId="MenuOptions">
    <w:name w:val="Menu Options"/>
    <w:basedOn w:val="DefaultParagraphFont"/>
    <w:rsid w:val="00B50159"/>
    <w:rPr>
      <w:rFonts w:ascii="Arial Narrow" w:hAnsi="Arial Narrow"/>
      <w:smallCaps/>
    </w:rPr>
  </w:style>
  <w:style w:type="character" w:customStyle="1" w:styleId="Buttons">
    <w:name w:val="Buttons"/>
    <w:basedOn w:val="DefaultParagraphFont"/>
    <w:rsid w:val="00B50159"/>
    <w:rPr>
      <w:b/>
    </w:rPr>
  </w:style>
  <w:style w:type="character" w:customStyle="1" w:styleId="Underlined">
    <w:name w:val="Underlined"/>
    <w:basedOn w:val="DefaultParagraphFont"/>
    <w:rsid w:val="00B50159"/>
    <w:rPr>
      <w:u w:val="single"/>
    </w:rPr>
  </w:style>
  <w:style w:type="paragraph" w:customStyle="1" w:styleId="TableBodyTextRight">
    <w:name w:val="Table Body Text Right"/>
    <w:basedOn w:val="TableBodyText"/>
    <w:rsid w:val="00B50159"/>
    <w:pPr>
      <w:widowControl w:val="0"/>
      <w:autoSpaceDE w:val="0"/>
      <w:autoSpaceDN w:val="0"/>
      <w:adjustRightInd w:val="0"/>
      <w:jc w:val="right"/>
    </w:pPr>
    <w:rPr>
      <w:rFonts w:cs="Arial"/>
      <w:szCs w:val="18"/>
    </w:rPr>
  </w:style>
  <w:style w:type="paragraph" w:customStyle="1" w:styleId="CopyrightText">
    <w:name w:val="Copyright Text"/>
    <w:basedOn w:val="BodyText"/>
    <w:rsid w:val="00B50159"/>
    <w:rPr>
      <w:sz w:val="18"/>
    </w:rPr>
  </w:style>
  <w:style w:type="paragraph" w:customStyle="1" w:styleId="BodySmallRight">
    <w:name w:val="Body Small Right"/>
    <w:basedOn w:val="BodyTextRight"/>
    <w:rsid w:val="00B50159"/>
    <w:rPr>
      <w:sz w:val="18"/>
      <w:szCs w:val="18"/>
    </w:rPr>
  </w:style>
  <w:style w:type="paragraph" w:customStyle="1" w:styleId="MarginEdition">
    <w:name w:val="Margin Edition"/>
    <w:basedOn w:val="MarginNote"/>
    <w:rsid w:val="00B50159"/>
    <w:pPr>
      <w:spacing w:before="0" w:after="0"/>
    </w:pPr>
    <w:rPr>
      <w:rFonts w:ascii="Times New Roman" w:hAnsi="Times New Roman"/>
      <w:color w:val="999999"/>
    </w:rPr>
  </w:style>
  <w:style w:type="paragraph" w:customStyle="1" w:styleId="Spacer">
    <w:name w:val="Spacer"/>
    <w:basedOn w:val="Normal"/>
    <w:rsid w:val="00B50159"/>
    <w:rPr>
      <w:sz w:val="2"/>
      <w:szCs w:val="2"/>
    </w:rPr>
  </w:style>
  <w:style w:type="character" w:customStyle="1" w:styleId="Small">
    <w:name w:val="Small"/>
    <w:basedOn w:val="DefaultParagraphFont"/>
    <w:rsid w:val="00B50159"/>
    <w:rPr>
      <w:sz w:val="16"/>
    </w:rPr>
  </w:style>
  <w:style w:type="paragraph" w:customStyle="1" w:styleId="WideTable">
    <w:name w:val="Wide Table"/>
    <w:basedOn w:val="Normal"/>
    <w:rsid w:val="00B50159"/>
    <w:pPr>
      <w:ind w:left="-1418"/>
    </w:pPr>
    <w:rPr>
      <w:sz w:val="2"/>
      <w:szCs w:val="2"/>
    </w:rPr>
  </w:style>
  <w:style w:type="character" w:styleId="PageNumber">
    <w:name w:val="page number"/>
    <w:basedOn w:val="DefaultParagraphFont"/>
    <w:rsid w:val="00B50159"/>
  </w:style>
  <w:style w:type="paragraph" w:styleId="Quote">
    <w:name w:val="Quote"/>
    <w:basedOn w:val="Heading1"/>
    <w:link w:val="QuoteChar"/>
    <w:qFormat/>
    <w:rsid w:val="00B50159"/>
    <w:rPr>
      <w:b w:val="0"/>
      <w:sz w:val="72"/>
      <w:szCs w:val="72"/>
      <w:lang w:val="en-NZ"/>
    </w:rPr>
  </w:style>
  <w:style w:type="character" w:customStyle="1" w:styleId="QuoteChar">
    <w:name w:val="Quote Char"/>
    <w:basedOn w:val="DefaultParagraphFont"/>
    <w:link w:val="Quote"/>
    <w:rsid w:val="00B501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159"/>
    <w:pPr>
      <w:pageBreakBefore/>
    </w:pPr>
  </w:style>
  <w:style w:type="paragraph" w:customStyle="1" w:styleId="Border">
    <w:name w:val="Border"/>
    <w:basedOn w:val="Normal"/>
    <w:qFormat/>
    <w:rsid w:val="00B501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159"/>
    <w:rPr>
      <w:b/>
      <w:bCs/>
      <w:i/>
      <w:iCs/>
      <w:color w:val="auto"/>
    </w:rPr>
  </w:style>
  <w:style w:type="paragraph" w:styleId="IntenseQuote">
    <w:name w:val="Intense Quote"/>
    <w:basedOn w:val="Normal"/>
    <w:next w:val="Normal"/>
    <w:link w:val="IntenseQuoteChar"/>
    <w:uiPriority w:val="30"/>
    <w:qFormat/>
    <w:rsid w:val="00B501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1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0159"/>
    <w:rPr>
      <w:smallCaps/>
      <w:color w:val="auto"/>
      <w:u w:val="single"/>
    </w:rPr>
  </w:style>
  <w:style w:type="character" w:styleId="IntenseReference">
    <w:name w:val="Intense Reference"/>
    <w:basedOn w:val="DefaultParagraphFont"/>
    <w:uiPriority w:val="32"/>
    <w:qFormat/>
    <w:rsid w:val="00B50159"/>
    <w:rPr>
      <w:b/>
      <w:bCs/>
      <w:smallCaps/>
      <w:color w:val="auto"/>
      <w:spacing w:val="5"/>
      <w:u w:val="single"/>
    </w:rPr>
  </w:style>
  <w:style w:type="paragraph" w:customStyle="1" w:styleId="2ColumnHeading">
    <w:name w:val="2Column Heading"/>
    <w:basedOn w:val="BodyText"/>
    <w:qFormat/>
    <w:rsid w:val="00B50159"/>
    <w:pPr>
      <w:spacing w:after="60"/>
      <w:ind w:left="-2268"/>
    </w:pPr>
    <w:rPr>
      <w:b/>
    </w:rPr>
  </w:style>
  <w:style w:type="paragraph" w:customStyle="1" w:styleId="Heading1TOC">
    <w:name w:val="Heading1 TOC"/>
    <w:basedOn w:val="Normal"/>
    <w:qFormat/>
    <w:rsid w:val="00B50159"/>
    <w:pPr>
      <w:spacing w:before="240" w:after="120"/>
    </w:pPr>
    <w:rPr>
      <w:rFonts w:ascii="Times New Roman" w:hAnsi="Times New Roman"/>
      <w:b/>
      <w:sz w:val="32"/>
    </w:rPr>
  </w:style>
  <w:style w:type="paragraph" w:customStyle="1" w:styleId="Heading2TOC">
    <w:name w:val="Heading2 TOC"/>
    <w:basedOn w:val="Normal"/>
    <w:qFormat/>
    <w:rsid w:val="00B50159"/>
    <w:pPr>
      <w:spacing w:before="240" w:after="60"/>
    </w:pPr>
    <w:rPr>
      <w:rFonts w:ascii="Times New Roman" w:hAnsi="Times New Roman"/>
      <w:b/>
      <w:sz w:val="28"/>
    </w:rPr>
  </w:style>
  <w:style w:type="character" w:customStyle="1" w:styleId="Underline">
    <w:name w:val="Underline"/>
    <w:basedOn w:val="DefaultParagraphFont"/>
    <w:qFormat/>
    <w:rsid w:val="00B50159"/>
    <w:rPr>
      <w:u w:val="single"/>
    </w:rPr>
  </w:style>
  <w:style w:type="paragraph" w:styleId="BalloonText">
    <w:name w:val="Balloon Text"/>
    <w:basedOn w:val="Normal"/>
    <w:link w:val="BalloonTextChar"/>
    <w:rsid w:val="00B50159"/>
    <w:rPr>
      <w:rFonts w:ascii="Tahoma" w:hAnsi="Tahoma" w:cs="Tahoma"/>
      <w:sz w:val="16"/>
      <w:szCs w:val="16"/>
    </w:rPr>
  </w:style>
  <w:style w:type="character" w:customStyle="1" w:styleId="BalloonTextChar">
    <w:name w:val="Balloon Text Char"/>
    <w:basedOn w:val="DefaultParagraphFont"/>
    <w:link w:val="BalloonText"/>
    <w:rsid w:val="00B501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01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01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1610</Words>
  <Characters>9749</Characters>
  <Application>Microsoft Office Word</Application>
  <DocSecurity>0</DocSecurity>
  <Lines>363</Lines>
  <Paragraphs>151</Paragraphs>
  <ScaleCrop>false</ScaleCrop>
  <Company>Author-it Software Corporation Ltd.</Company>
  <LinksUpToDate>false</LinksUpToDate>
  <CharactersWithSpaces>11273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SITHASC009A Prepare curry paste and powder for Asian cuisines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2012-05-26T10:16:00Z</dcterms:created>
  <dcterms:modified xsi:type="dcterms:W3CDTF">2012-05-26T10:16:00Z</dcterms:modified>
</cp:coreProperties>
</file>