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D91" w:rsidP="00193D91">
      <w:pPr>
        <w:pStyle w:val="Title"/>
      </w:pPr>
      <w:bookmarkStart w:id="0" w:name="_GoBack"/>
      <w:bookmarkEnd w:id="0"/>
      <w:r>
        <w:fldChar w:fldCharType="begin"/>
      </w:r>
      <w:r>
        <w:instrText xml:space="preserve"> TITLE   \* MERGEFORMAT </w:instrText>
      </w:r>
      <w:r>
        <w:fldChar w:fldCharType="separate"/>
      </w:r>
      <w:r>
        <w:t>SITHASC007A Prepare meat, poultry, seafood and vegetables for Asian cuisines</w:t>
      </w:r>
      <w:r>
        <w:fldChar w:fldCharType="end"/>
      </w:r>
    </w:p>
    <w:p w:rsidR="00193D91" w:rsidP="00193D91">
      <w:pPr>
        <w:pStyle w:val="Version"/>
        <w:sectPr w:rsidSect="00697E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7EF1" w:rsidP="00697EF1">
      <w:pPr>
        <w:pStyle w:val="SuperHeading"/>
      </w:pPr>
      <w:r w:rsidRPr="00697EF1">
        <w:t>SITHASC007A Prepare meat, poultry, seafood and vegetables for Asian cuisines</w:t>
      </w:r>
    </w:p>
    <w:p w:rsidR="00000000" w:rsidRPr="00697EF1" w:rsidP="00697EF1">
      <w:pPr>
        <w:pStyle w:val="SuperHeading"/>
      </w:pPr>
    </w:p>
    <w:p w:rsidR="00000000" w:rsidRPr="00697EF1" w:rsidP="00697EF1">
      <w:pPr>
        <w:pStyle w:val="Heading1"/>
      </w:pPr>
      <w:bookmarkStart w:id="1" w:name="O_145947"/>
      <w:bookmarkEnd w:id="1"/>
      <w:r w:rsidRPr="00697EF1">
        <w:t>Modification History</w:t>
      </w:r>
    </w:p>
    <w:p w:rsidR="00000000" w:rsidRPr="00697EF1" w:rsidP="00697EF1">
      <w:pPr>
        <w:pStyle w:val="BodyText"/>
      </w:pPr>
      <w:r w:rsidRPr="00697EF1">
        <w:t>Not applicable.</w:t>
      </w:r>
    </w:p>
    <w:p w:rsidR="00000000" w:rsidRPr="00697EF1" w:rsidP="00697EF1">
      <w:pPr>
        <w:pStyle w:val="AllowPageBreak"/>
      </w:pPr>
    </w:p>
    <w:p w:rsidR="00000000" w:rsidRPr="00697EF1" w:rsidP="00697EF1">
      <w:pPr>
        <w:pStyle w:val="Heading1"/>
      </w:pPr>
      <w:bookmarkStart w:id="2" w:name="O_145948"/>
      <w:bookmarkEnd w:id="2"/>
      <w:r w:rsidRPr="00697EF1">
        <w:t>Unit Descriptor</w:t>
      </w:r>
    </w:p>
    <w:tbl>
      <w:tblPr>
        <w:tblW w:w="0" w:type="auto"/>
        <w:tblLayout w:type="fixed"/>
        <w:tblCellMar>
          <w:left w:w="62" w:type="dxa"/>
          <w:right w:w="62" w:type="dxa"/>
        </w:tblCellMar>
        <w:tblLook w:val="0000"/>
      </w:tblPr>
      <w:tblGrid>
        <w:gridCol w:w="2836"/>
        <w:gridCol w:w="6344"/>
      </w:tblGrid>
      <w:tr w:rsidTr="00193D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97EF1" w:rsidP="00697EF1">
            <w:pPr>
              <w:pStyle w:val="BodyText"/>
            </w:pPr>
            <w:r w:rsidRPr="00697EF1">
              <w:t>This unit describes the performance outcomes, ski</w:t>
            </w:r>
            <w:r w:rsidRPr="00697EF1">
              <w:t xml:space="preserve">lls and knowledge required to prepare meat, poultry, seafood and vegetables for national and regional Asian cuisines. </w:t>
            </w:r>
          </w:p>
          <w:p w:rsidR="00000000" w:rsidP="00697EF1">
            <w:pPr>
              <w:pStyle w:val="BodyText"/>
              <w:rPr>
                <w:lang w:val="en-NZ"/>
              </w:rPr>
            </w:pPr>
            <w:r w:rsidRPr="00697EF1">
              <w:t>No licensing, legislative, regulatory or certification requirements apply to this unit at the time of endorsement.</w:t>
            </w:r>
          </w:p>
        </w:tc>
      </w:tr>
      <w:tr w:rsidTr="00193D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97EF1" w:rsidP="00697EF1">
            <w:pPr>
              <w:pStyle w:val="BodyText"/>
            </w:pPr>
          </w:p>
        </w:tc>
      </w:tr>
    </w:tbl>
    <w:p w:rsidR="00000000" w:rsidRPr="00697EF1" w:rsidP="00697EF1">
      <w:pPr>
        <w:pStyle w:val="BodyText"/>
      </w:pPr>
    </w:p>
    <w:p w:rsidR="00000000" w:rsidRPr="00697EF1" w:rsidP="00697EF1">
      <w:pPr>
        <w:pStyle w:val="AllowPageBreak"/>
      </w:pPr>
    </w:p>
    <w:p w:rsidR="00000000" w:rsidRPr="00697EF1" w:rsidP="00697EF1">
      <w:pPr>
        <w:pStyle w:val="Heading1"/>
      </w:pPr>
      <w:bookmarkStart w:id="3" w:name="O_145949"/>
      <w:bookmarkEnd w:id="3"/>
      <w:r w:rsidRPr="00697EF1">
        <w:t>Application of the Unit</w:t>
      </w:r>
    </w:p>
    <w:tbl>
      <w:tblPr>
        <w:tblW w:w="0" w:type="auto"/>
        <w:tblLayout w:type="fixed"/>
        <w:tblCellMar>
          <w:left w:w="62" w:type="dxa"/>
          <w:right w:w="62" w:type="dxa"/>
        </w:tblCellMar>
        <w:tblLook w:val="0000"/>
      </w:tblPr>
      <w:tblGrid>
        <w:gridCol w:w="2836"/>
        <w:gridCol w:w="6344"/>
      </w:tblGrid>
      <w:tr w:rsidTr="00193D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697EF1" w:rsidP="00697EF1">
            <w:pPr>
              <w:pStyle w:val="BodyText"/>
            </w:pPr>
            <w:r w:rsidRPr="00697EF1">
              <w:t>This unit applies to all enterprises where Asian cuisines are prepared and served. It applies to Indonesian, Indian, Malay, Nonya, Japanese, Thai, Vietnamese and Chinese cuisines. It may be applied to a parti</w:t>
            </w:r>
            <w:r w:rsidRPr="00697EF1">
              <w:t>cular cuisine or across a variety, allowing for different needs and contexts.</w:t>
            </w:r>
          </w:p>
          <w:p w:rsidR="00000000" w:rsidRPr="00697EF1" w:rsidP="00697EF1">
            <w:pPr>
              <w:pStyle w:val="BodyText"/>
            </w:pPr>
            <w:r w:rsidRPr="00697EF1">
              <w:t>The precise application of the unit may vary within particular cuisines and is dependent on specific preparation techniques, ingredients and presentation requirements within ente</w:t>
            </w:r>
            <w:r w:rsidRPr="00697EF1">
              <w:t>rprises.</w:t>
            </w:r>
          </w:p>
          <w:p w:rsidR="00000000" w:rsidP="00697EF1">
            <w:pPr>
              <w:pStyle w:val="BodyText"/>
              <w:rPr>
                <w:lang w:val="en-NZ"/>
              </w:rPr>
            </w:pPr>
            <w:r w:rsidRPr="00697EF1">
              <w:t>The unit applies to cooks who usually work as part of a team and under supervision.</w:t>
            </w:r>
          </w:p>
        </w:tc>
      </w:tr>
      <w:tr w:rsidTr="00193D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97EF1" w:rsidP="00697EF1">
            <w:pPr>
              <w:pStyle w:val="BodyText"/>
            </w:pPr>
          </w:p>
        </w:tc>
      </w:tr>
    </w:tbl>
    <w:p w:rsidR="00000000" w:rsidRPr="00697EF1" w:rsidP="00697EF1">
      <w:pPr>
        <w:pStyle w:val="BodyText"/>
      </w:pPr>
    </w:p>
    <w:p w:rsidR="00000000" w:rsidRPr="00697EF1" w:rsidP="00697EF1">
      <w:pPr>
        <w:pStyle w:val="AllowPageBreak"/>
      </w:pPr>
    </w:p>
    <w:p w:rsidR="00000000" w:rsidRPr="00697EF1" w:rsidP="00697EF1">
      <w:pPr>
        <w:pStyle w:val="Heading1"/>
      </w:pPr>
      <w:bookmarkStart w:id="4" w:name="O_145950"/>
      <w:bookmarkEnd w:id="4"/>
      <w:r w:rsidRPr="00697EF1">
        <w:t>Licensing/Regulatory Information</w:t>
      </w:r>
    </w:p>
    <w:p w:rsidR="00000000" w:rsidRPr="00697EF1" w:rsidP="00697EF1">
      <w:pPr>
        <w:pStyle w:val="BodyText"/>
      </w:pPr>
      <w:r w:rsidRPr="00697EF1">
        <w:t>Not applicable.</w:t>
      </w:r>
    </w:p>
    <w:p w:rsidR="00000000" w:rsidRPr="00697EF1" w:rsidP="00697EF1">
      <w:pPr>
        <w:pStyle w:val="AllowPageBreak"/>
      </w:pPr>
    </w:p>
    <w:p w:rsidR="00000000" w:rsidRPr="00697EF1" w:rsidP="00697EF1">
      <w:pPr>
        <w:pStyle w:val="Heading1"/>
      </w:pPr>
      <w:bookmarkStart w:id="5" w:name="O_145952"/>
      <w:bookmarkEnd w:id="5"/>
      <w:r w:rsidRPr="00697EF1">
        <w:t>Pre-Requisites</w:t>
      </w:r>
    </w:p>
    <w:tbl>
      <w:tblPr>
        <w:tblW w:w="0" w:type="auto"/>
        <w:tblLayout w:type="fixed"/>
        <w:tblCellMar>
          <w:left w:w="62" w:type="dxa"/>
          <w:right w:w="62" w:type="dxa"/>
        </w:tblCellMar>
        <w:tblLook w:val="0000"/>
      </w:tblPr>
      <w:tblGrid>
        <w:gridCol w:w="2836"/>
        <w:gridCol w:w="6344"/>
      </w:tblGrid>
      <w:tr w:rsidTr="00193D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697EF1" w:rsidP="00697EF1">
            <w:pPr>
              <w:pStyle w:val="BodyText"/>
            </w:pPr>
            <w:r w:rsidRPr="00697EF1">
              <w:t>This unit must be assessed after the following prerequisite units:</w:t>
            </w:r>
          </w:p>
          <w:p w:rsidR="00000000" w:rsidRPr="00697EF1" w:rsidP="00697EF1">
            <w:pPr>
              <w:pStyle w:val="BodyText"/>
            </w:pPr>
            <w:r w:rsidRPr="00697EF1">
              <w:t xml:space="preserve">SITHASC001A Use basic Asian methods of cookery </w:t>
            </w:r>
          </w:p>
          <w:p w:rsidR="00000000" w:rsidRPr="00697EF1" w:rsidP="00697EF1">
            <w:pPr>
              <w:pStyle w:val="BodyText"/>
            </w:pPr>
            <w:r w:rsidRPr="00697EF1">
              <w:t>SITHCCC001B Organise and prepare food</w:t>
            </w:r>
          </w:p>
          <w:p w:rsidR="00000000" w:rsidRPr="00697EF1" w:rsidP="00697EF1">
            <w:pPr>
              <w:pStyle w:val="BodyText"/>
            </w:pPr>
            <w:r w:rsidRPr="00697EF1">
              <w:t>SITHCCC002A Present food</w:t>
            </w:r>
          </w:p>
          <w:p w:rsidR="00000000" w:rsidP="00697EF1">
            <w:pPr>
              <w:pStyle w:val="BodyText"/>
              <w:rPr>
                <w:lang w:val="en-NZ"/>
              </w:rPr>
            </w:pPr>
            <w:r w:rsidRPr="00697EF1">
              <w:t>SITXOHS002A Follow workplace hygiene procedures.</w:t>
            </w:r>
          </w:p>
        </w:tc>
      </w:tr>
      <w:tr w:rsidTr="00193D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97EF1" w:rsidP="00697EF1">
            <w:pPr>
              <w:pStyle w:val="BodyText"/>
            </w:pPr>
          </w:p>
        </w:tc>
      </w:tr>
    </w:tbl>
    <w:p w:rsidR="00000000" w:rsidRPr="00697EF1" w:rsidP="00697EF1">
      <w:pPr>
        <w:pStyle w:val="BodyText"/>
      </w:pPr>
    </w:p>
    <w:p w:rsidR="00000000" w:rsidRPr="00697EF1" w:rsidP="00697EF1">
      <w:pPr>
        <w:pStyle w:val="AllowPageBreak"/>
      </w:pPr>
    </w:p>
    <w:p w:rsidR="00000000" w:rsidRPr="00697EF1" w:rsidP="00697EF1">
      <w:pPr>
        <w:pStyle w:val="Heading1"/>
      </w:pPr>
      <w:bookmarkStart w:id="6" w:name="O_145951"/>
      <w:bookmarkEnd w:id="6"/>
      <w:r w:rsidRPr="00697EF1">
        <w:t>Employability Skills Information</w:t>
      </w:r>
    </w:p>
    <w:tbl>
      <w:tblPr>
        <w:tblW w:w="0" w:type="auto"/>
        <w:tblLayout w:type="fixed"/>
        <w:tblCellMar>
          <w:left w:w="62" w:type="dxa"/>
          <w:right w:w="62" w:type="dxa"/>
        </w:tblCellMar>
        <w:tblLook w:val="0000"/>
      </w:tblPr>
      <w:tblGrid>
        <w:gridCol w:w="2836"/>
        <w:gridCol w:w="6344"/>
      </w:tblGrid>
      <w:tr w:rsidTr="00193D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t>The required outcomes described in this unit of competency contain applicable facets of employability skills. The Employability Skills Summary of the qualification in which this unit is packaged will as</w:t>
            </w:r>
            <w:r w:rsidRPr="00697EF1">
              <w:t>sist in identifying employability skills requirements.</w:t>
            </w:r>
          </w:p>
        </w:tc>
      </w:tr>
      <w:tr w:rsidTr="00193D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97EF1" w:rsidP="00697EF1">
            <w:pPr>
              <w:pStyle w:val="BodyText"/>
            </w:pPr>
          </w:p>
        </w:tc>
      </w:tr>
    </w:tbl>
    <w:p w:rsidR="00000000" w:rsidRPr="00697EF1" w:rsidP="00697EF1">
      <w:pPr>
        <w:pStyle w:val="BodyText"/>
      </w:pPr>
    </w:p>
    <w:p w:rsidR="00000000" w:rsidRPr="00697EF1" w:rsidP="00697EF1">
      <w:pPr>
        <w:pStyle w:val="AllowPageBreak"/>
      </w:pPr>
    </w:p>
    <w:p w:rsidR="00000000" w:rsidRPr="00697EF1" w:rsidP="00697EF1">
      <w:pPr>
        <w:pStyle w:val="Heading1"/>
      </w:pPr>
      <w:bookmarkStart w:id="7" w:name="O_145953"/>
      <w:bookmarkEnd w:id="7"/>
      <w:r w:rsidRPr="00697EF1">
        <w:t>Elements and Performance Criteria Pre-Content</w:t>
      </w:r>
    </w:p>
    <w:tbl>
      <w:tblPr>
        <w:tblW w:w="0" w:type="auto"/>
        <w:tblLayout w:type="fixed"/>
        <w:tblCellMar>
          <w:left w:w="62" w:type="dxa"/>
          <w:right w:w="62" w:type="dxa"/>
        </w:tblCellMar>
        <w:tblLook w:val="0000"/>
      </w:tblPr>
      <w:tblGrid>
        <w:gridCol w:w="2836"/>
        <w:gridCol w:w="6344"/>
      </w:tblGrid>
      <w:tr w:rsidTr="00193D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97EF1" w:rsidP="00697EF1">
            <w:pPr>
              <w:pStyle w:val="BodyText"/>
            </w:pPr>
            <w:r w:rsidRPr="00697EF1">
              <w:t>Performance criteria describe the required performance needed to de</w:t>
            </w:r>
            <w:r w:rsidRPr="00697EF1">
              <w:t xml:space="preserve">monstrate achievement of the element. Where </w:t>
            </w:r>
            <w:r w:rsidRPr="00697EF1">
              <w:rPr>
                <w:rStyle w:val="BoldandItalics"/>
              </w:rPr>
              <w:t>bold italicised</w:t>
            </w:r>
            <w:r w:rsidRPr="00697EF1">
              <w:t xml:space="preserve"> text is used, further information is detailed in the required skills and knowledge and/or the range statement. Assessment of performance is to be consistent with the evidence guide.</w:t>
            </w:r>
          </w:p>
        </w:tc>
      </w:tr>
    </w:tbl>
    <w:p w:rsidR="00000000" w:rsidRPr="00697EF1" w:rsidP="00697EF1">
      <w:pPr>
        <w:pStyle w:val="BodyText"/>
      </w:pPr>
    </w:p>
    <w:p w:rsidR="00000000" w:rsidRPr="00697EF1" w:rsidP="00697EF1">
      <w:pPr>
        <w:pStyle w:val="AllowPageBreak"/>
      </w:pPr>
    </w:p>
    <w:p w:rsidR="00000000" w:rsidRPr="00697EF1" w:rsidP="00697EF1">
      <w:pPr>
        <w:pStyle w:val="Heading1"/>
      </w:pPr>
      <w:bookmarkStart w:id="8" w:name="O_145954"/>
      <w:bookmarkEnd w:id="8"/>
      <w:r w:rsidRPr="00697EF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93D9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97EF1" w:rsidP="00697EF1">
            <w:pPr>
              <w:pStyle w:val="List"/>
            </w:pPr>
            <w:r w:rsidRPr="00697EF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rPr>
                <w:rStyle w:val="SpecialBold"/>
              </w:rPr>
              <w:t>PERFORMANCE CRITERIA</w:t>
            </w:r>
          </w:p>
        </w:tc>
      </w:tr>
      <w:tr w:rsidTr="00193D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1</w:t>
            </w:r>
          </w:p>
        </w:tc>
        <w:tc>
          <w:tcPr>
            <w:tcW w:w="2410" w:type="dxa"/>
            <w:vMerge w:val="restart"/>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Select key commodities and other ingredients.</w:t>
            </w:r>
          </w:p>
        </w:tc>
        <w:tc>
          <w:tcPr>
            <w:tcW w:w="56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1.1</w:t>
            </w:r>
          </w:p>
        </w:tc>
        <w:tc>
          <w:tcPr>
            <w:tcW w:w="577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Identify and assemble a range of fresh, dried and preserved commodities and other ingredients, required by recipes and appropriate to specific national and regional cuisines.</w:t>
            </w:r>
          </w:p>
        </w:tc>
      </w:tr>
      <w:tr w:rsidTr="00193D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1.2</w:t>
            </w:r>
          </w:p>
        </w:tc>
        <w:tc>
          <w:tcPr>
            <w:tcW w:w="577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Select appropriate commodities for preparation of specific menu items, inc</w:t>
            </w:r>
            <w:r w:rsidRPr="00697EF1">
              <w:t xml:space="preserve">luding </w:t>
            </w:r>
            <w:r w:rsidRPr="00697EF1">
              <w:rPr>
                <w:rStyle w:val="BoldandItalics"/>
              </w:rPr>
              <w:t>specialised ingredients and accompaniments</w:t>
            </w:r>
            <w:r w:rsidRPr="00697EF1">
              <w:t>.</w:t>
            </w:r>
          </w:p>
        </w:tc>
      </w:tr>
      <w:tr w:rsidTr="00193D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2</w:t>
            </w:r>
          </w:p>
        </w:tc>
        <w:tc>
          <w:tcPr>
            <w:tcW w:w="2410" w:type="dxa"/>
            <w:vMerge w:val="restart"/>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Prepare ingredients.</w:t>
            </w:r>
          </w:p>
        </w:tc>
        <w:tc>
          <w:tcPr>
            <w:tcW w:w="56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2.1</w:t>
            </w:r>
          </w:p>
        </w:tc>
        <w:tc>
          <w:tcPr>
            <w:tcW w:w="577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 xml:space="preserve">Prepare and portion ingredients according to recipe specifications, using appropriate </w:t>
            </w:r>
            <w:r w:rsidRPr="00697EF1">
              <w:rPr>
                <w:rStyle w:val="BoldandItalics"/>
              </w:rPr>
              <w:t>preparation techniques</w:t>
            </w:r>
            <w:r w:rsidRPr="00697EF1">
              <w:t>.</w:t>
            </w:r>
          </w:p>
        </w:tc>
      </w:tr>
      <w:tr w:rsidTr="00193D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2.2</w:t>
            </w:r>
          </w:p>
        </w:tc>
        <w:tc>
          <w:tcPr>
            <w:tcW w:w="577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Prepare marinades using flavouring agents, according to cuisine requirements and enterprise practices.</w:t>
            </w:r>
          </w:p>
        </w:tc>
      </w:tr>
      <w:tr w:rsidTr="00193D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2.3</w:t>
            </w:r>
          </w:p>
        </w:tc>
        <w:tc>
          <w:tcPr>
            <w:tcW w:w="577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 xml:space="preserve">Select and use appropriate cooking </w:t>
            </w:r>
            <w:r w:rsidRPr="00697EF1">
              <w:rPr>
                <w:rStyle w:val="BoldandItalics"/>
              </w:rPr>
              <w:t>equipment</w:t>
            </w:r>
            <w:r w:rsidRPr="00697EF1">
              <w:t>.</w:t>
            </w:r>
          </w:p>
        </w:tc>
      </w:tr>
      <w:tr w:rsidTr="00193D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2.4</w:t>
            </w:r>
          </w:p>
        </w:tc>
        <w:tc>
          <w:tcPr>
            <w:tcW w:w="577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Prepare sauces and accompaniments according to cuisine and enterprise requirements.</w:t>
            </w:r>
          </w:p>
        </w:tc>
      </w:tr>
      <w:tr w:rsidTr="00193D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3</w:t>
            </w:r>
          </w:p>
        </w:tc>
        <w:tc>
          <w:tcPr>
            <w:tcW w:w="2410" w:type="dxa"/>
            <w:vMerge w:val="restart"/>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Produce a range of menu items.</w:t>
            </w:r>
          </w:p>
        </w:tc>
        <w:tc>
          <w:tcPr>
            <w:tcW w:w="56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3.1</w:t>
            </w:r>
          </w:p>
        </w:tc>
        <w:tc>
          <w:tcPr>
            <w:tcW w:w="577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 xml:space="preserve">Produce </w:t>
            </w:r>
            <w:r w:rsidRPr="00697EF1">
              <w:rPr>
                <w:rStyle w:val="BoldandItalics"/>
              </w:rPr>
              <w:t>dishes</w:t>
            </w:r>
            <w:r w:rsidRPr="00697EF1">
              <w:t xml:space="preserve"> following standard recipes accurately, according to cuisine requirements and enterprise practices and specifications.</w:t>
            </w:r>
          </w:p>
        </w:tc>
      </w:tr>
      <w:tr w:rsidTr="00193D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3.2</w:t>
            </w:r>
          </w:p>
        </w:tc>
        <w:tc>
          <w:tcPr>
            <w:tcW w:w="577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 xml:space="preserve">Use suitable </w:t>
            </w:r>
            <w:r w:rsidRPr="00697EF1">
              <w:rPr>
                <w:rStyle w:val="BoldandItalics"/>
              </w:rPr>
              <w:t>cookery techniques</w:t>
            </w:r>
            <w:r w:rsidRPr="00697EF1">
              <w:t xml:space="preserve"> and </w:t>
            </w:r>
            <w:r w:rsidRPr="00697EF1">
              <w:rPr>
                <w:rStyle w:val="BoldandItalics"/>
              </w:rPr>
              <w:t>specialised techniques</w:t>
            </w:r>
            <w:r w:rsidRPr="00697EF1">
              <w:t xml:space="preserve"> according to requirements of commodities, cuisine style and menu.</w:t>
            </w:r>
          </w:p>
        </w:tc>
      </w:tr>
      <w:tr w:rsidTr="00193D9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3.3</w:t>
            </w:r>
          </w:p>
        </w:tc>
        <w:tc>
          <w:tcPr>
            <w:tcW w:w="577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Follow food hygiene and OHS regulations and requirements.</w:t>
            </w:r>
          </w:p>
        </w:tc>
      </w:tr>
      <w:tr w:rsidTr="00193D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4</w:t>
            </w:r>
          </w:p>
        </w:tc>
        <w:tc>
          <w:tcPr>
            <w:tcW w:w="2410"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Present menu items.</w:t>
            </w:r>
          </w:p>
        </w:tc>
        <w:tc>
          <w:tcPr>
            <w:tcW w:w="56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4.1</w:t>
            </w:r>
          </w:p>
        </w:tc>
        <w:tc>
          <w:tcPr>
            <w:tcW w:w="577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Present menu items attractively using appropriate serviceware that takes into consideration shape, colour and texture, and according to cuisine style and enterprise requirements.</w:t>
            </w:r>
          </w:p>
        </w:tc>
      </w:tr>
      <w:tr w:rsidTr="00193D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5</w:t>
            </w:r>
          </w:p>
        </w:tc>
        <w:tc>
          <w:tcPr>
            <w:tcW w:w="2410"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Store menu items.</w:t>
            </w:r>
          </w:p>
        </w:tc>
        <w:tc>
          <w:tcPr>
            <w:tcW w:w="567" w:type="dxa"/>
            <w:tcBorders>
              <w:top w:val="nil"/>
              <w:left w:val="nil"/>
              <w:bottom w:val="nil"/>
              <w:right w:val="nil"/>
            </w:tcBorders>
            <w:tcMar>
              <w:top w:w="0" w:type="dxa"/>
              <w:left w:w="62" w:type="dxa"/>
              <w:bottom w:w="0" w:type="dxa"/>
              <w:right w:w="62" w:type="dxa"/>
            </w:tcMar>
          </w:tcPr>
          <w:p w:rsidR="00000000" w:rsidP="00697EF1">
            <w:pPr>
              <w:pStyle w:val="List"/>
              <w:rPr>
                <w:lang w:val="en-NZ"/>
              </w:rPr>
            </w:pPr>
            <w:r w:rsidRPr="00697EF1">
              <w:t>5.1</w:t>
            </w:r>
          </w:p>
        </w:tc>
        <w:tc>
          <w:tcPr>
            <w:tcW w:w="5777" w:type="dxa"/>
            <w:tcBorders>
              <w:top w:val="nil"/>
              <w:left w:val="nil"/>
              <w:bottom w:val="nil"/>
              <w:right w:val="nil"/>
            </w:tcBorders>
            <w:tcMar>
              <w:top w:w="0" w:type="dxa"/>
              <w:left w:w="62" w:type="dxa"/>
              <w:bottom w:w="0" w:type="dxa"/>
              <w:right w:w="62" w:type="dxa"/>
            </w:tcMar>
          </w:tcPr>
          <w:p w:rsidR="00000000" w:rsidRPr="00697EF1" w:rsidP="00697EF1">
            <w:pPr>
              <w:pStyle w:val="List"/>
            </w:pPr>
            <w:r w:rsidRPr="00697EF1">
              <w:t xml:space="preserve">Store menu items as required according to food </w:t>
            </w:r>
            <w:r w:rsidRPr="00697EF1">
              <w:t>hygiene and safety, under correct conditions and temperatures to maintain quality, extend shelf life and maximise appearance and eating characteristics.</w:t>
            </w:r>
          </w:p>
        </w:tc>
      </w:tr>
    </w:tbl>
    <w:p w:rsidR="00000000" w:rsidRPr="00697EF1" w:rsidP="00697EF1">
      <w:pPr>
        <w:pStyle w:val="BodyText"/>
      </w:pPr>
    </w:p>
    <w:p w:rsidR="00000000" w:rsidRPr="00697EF1" w:rsidP="00697EF1">
      <w:pPr>
        <w:pStyle w:val="AllowPageBreak"/>
      </w:pPr>
    </w:p>
    <w:p w:rsidR="00000000" w:rsidRPr="00697EF1" w:rsidP="00697EF1">
      <w:pPr>
        <w:pStyle w:val="Heading1"/>
      </w:pPr>
      <w:bookmarkStart w:id="9" w:name="O_145955"/>
      <w:bookmarkEnd w:id="9"/>
      <w:r w:rsidRPr="00697EF1">
        <w:t>Required Skills and Knowledge</w:t>
      </w:r>
    </w:p>
    <w:tbl>
      <w:tblPr>
        <w:tblW w:w="0" w:type="auto"/>
        <w:tblLayout w:type="fixed"/>
        <w:tblCellMar>
          <w:left w:w="62" w:type="dxa"/>
          <w:right w:w="62" w:type="dxa"/>
        </w:tblCellMar>
        <w:tblLook w:val="0000"/>
      </w:tblPr>
      <w:tblGrid>
        <w:gridCol w:w="9180"/>
      </w:tblGrid>
      <w:tr w:rsidTr="00193D9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REQUIRED SKILLS AND KNOWLEDGE</w:t>
            </w:r>
          </w:p>
        </w:tc>
      </w:tr>
      <w:tr w:rsidTr="00193D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t>This section describes the essential skills and knowledge and their level, required for this unit.</w:t>
            </w:r>
          </w:p>
        </w:tc>
      </w:tr>
      <w:tr w:rsidTr="00193D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97EF1" w:rsidP="00697EF1">
            <w:pPr>
              <w:pStyle w:val="BodyText"/>
            </w:pPr>
            <w:r w:rsidRPr="00697EF1">
              <w:t>The following skills must be assessed as part of this unit:</w:t>
            </w:r>
          </w:p>
          <w:p w:rsidR="00000000" w:rsidRPr="00697EF1" w:rsidP="00697EF1">
            <w:pPr>
              <w:pStyle w:val="ListBullet"/>
            </w:pPr>
            <w:r w:rsidRPr="00697EF1">
              <w:t>evaluating quality of ingredients, dishes and food items, including blending and balancing fla</w:t>
            </w:r>
            <w:r w:rsidRPr="00697EF1">
              <w:t>vours and aromatics; correct flavour structure, texture and consistency; correct acid balance; correct colour and plate presentation</w:t>
            </w:r>
          </w:p>
          <w:p w:rsidR="00000000" w:rsidRPr="00697EF1" w:rsidP="00697EF1">
            <w:pPr>
              <w:pStyle w:val="ListBullet"/>
            </w:pPr>
            <w:r w:rsidRPr="00697EF1">
              <w:t>using garnishes for presentation, including consideration of colour and eye appeal</w:t>
            </w:r>
          </w:p>
          <w:p w:rsidR="00000000" w:rsidRPr="00697EF1" w:rsidP="00697EF1">
            <w:pPr>
              <w:pStyle w:val="ListBullet"/>
            </w:pPr>
            <w:r w:rsidRPr="00697EF1">
              <w:t>using specialised serviceware for presen</w:t>
            </w:r>
            <w:r w:rsidRPr="00697EF1">
              <w:t>tation</w:t>
            </w:r>
          </w:p>
          <w:p w:rsidR="00000000" w:rsidRPr="00697EF1" w:rsidP="00697EF1">
            <w:pPr>
              <w:pStyle w:val="ListBullet"/>
            </w:pPr>
            <w:r w:rsidRPr="00697EF1">
              <w:t>maintaining a tidy workstation</w:t>
            </w:r>
          </w:p>
          <w:p w:rsidR="00000000" w:rsidRPr="00697EF1" w:rsidP="00697EF1">
            <w:pPr>
              <w:pStyle w:val="ListBullet"/>
            </w:pPr>
            <w:r w:rsidRPr="00697EF1">
              <w:t>planning and organising</w:t>
            </w:r>
          </w:p>
          <w:p w:rsidR="00000000" w:rsidRPr="00697EF1" w:rsidP="00697EF1">
            <w:pPr>
              <w:pStyle w:val="ListBullet"/>
            </w:pPr>
            <w:r w:rsidRPr="00697EF1">
              <w:t>working in teams</w:t>
            </w:r>
          </w:p>
          <w:p w:rsidR="00000000" w:rsidRPr="00697EF1" w:rsidP="00697EF1">
            <w:pPr>
              <w:pStyle w:val="ListBullet"/>
            </w:pPr>
            <w:r w:rsidRPr="00697EF1">
              <w:t>safe work practices, particularly in relation to bending and lifting, and using cutting implements, appliances, heated surfaces and other equipment that carries a risk of burns</w:t>
            </w:r>
          </w:p>
          <w:p w:rsidR="00000000" w:rsidRPr="00697EF1" w:rsidP="00697EF1">
            <w:pPr>
              <w:pStyle w:val="ListBullet"/>
            </w:pPr>
            <w:r w:rsidRPr="00697EF1">
              <w:t>waste minimisation techniques and environmental considerations in relation to meat, seafood and poultry for Asian cuisines</w:t>
            </w:r>
          </w:p>
          <w:p w:rsidR="00000000" w:rsidRPr="00697EF1" w:rsidP="00697EF1">
            <w:pPr>
              <w:pStyle w:val="ListBullet"/>
            </w:pPr>
            <w:r w:rsidRPr="00697EF1">
              <w:t>problem-solving skills to adjust flavourings where dishes and accompaniments are not balanced as required by a particular cuisine</w:t>
            </w:r>
          </w:p>
          <w:p w:rsidR="00000000" w:rsidRPr="00697EF1" w:rsidP="00697EF1">
            <w:pPr>
              <w:pStyle w:val="ListBullet"/>
            </w:pPr>
            <w:r w:rsidRPr="00697EF1">
              <w:t>lit</w:t>
            </w:r>
            <w:r w:rsidRPr="00697EF1">
              <w:t>eracy skills to read requirements of orders and recipes</w:t>
            </w:r>
          </w:p>
          <w:p w:rsidR="00000000" w:rsidP="00697EF1">
            <w:pPr>
              <w:pStyle w:val="ListBullet"/>
              <w:rPr>
                <w:lang w:val="en-NZ"/>
              </w:rPr>
            </w:pPr>
            <w:r w:rsidRPr="00697EF1">
              <w:t>numeracy skills to calculate quantities and portions against menus and orders, and to ascertain amounts of flavourings required to achieve required strength and flavour characteristics.</w:t>
            </w:r>
          </w:p>
        </w:tc>
      </w:tr>
      <w:tr w:rsidTr="00193D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97EF1" w:rsidP="00697EF1">
            <w:pPr>
              <w:pStyle w:val="BodyText"/>
            </w:pPr>
            <w:r w:rsidRPr="00697EF1">
              <w:t>The followi</w:t>
            </w:r>
            <w:r w:rsidRPr="00697EF1">
              <w:t>ng knowledge must be assessed as part of this unit:</w:t>
            </w:r>
          </w:p>
          <w:p w:rsidR="00000000" w:rsidRPr="00697EF1" w:rsidP="00697EF1">
            <w:pPr>
              <w:pStyle w:val="ListBullet"/>
            </w:pPr>
            <w:r w:rsidRPr="00697EF1">
              <w:t>effects of cooking techniques on nutrition, taste, texture and appearance</w:t>
            </w:r>
          </w:p>
          <w:p w:rsidR="00000000" w:rsidRPr="00697EF1" w:rsidP="00697EF1">
            <w:pPr>
              <w:pStyle w:val="ListBullet"/>
            </w:pPr>
            <w:r w:rsidRPr="00697EF1">
              <w:t>principles and practices of personal and professional hygiene related to working in a kitchen, including suitable dress.</w:t>
            </w:r>
          </w:p>
        </w:tc>
      </w:tr>
    </w:tbl>
    <w:p w:rsidR="00193D91" w:rsidP="00697EF1">
      <w:pPr>
        <w:pStyle w:val="BodyText"/>
      </w:pPr>
    </w:p>
    <w:p w:rsidR="00193D91" w:rsidP="00697EF1">
      <w:pPr>
        <w:pStyle w:val="BodyText"/>
      </w:pPr>
    </w:p>
    <w:p w:rsidR="00000000" w:rsidRPr="00697EF1" w:rsidP="00697EF1">
      <w:pPr>
        <w:pStyle w:val="Heading1"/>
      </w:pPr>
      <w:bookmarkStart w:id="10" w:name="O_145956"/>
      <w:bookmarkEnd w:id="10"/>
      <w:r w:rsidRPr="00697EF1">
        <w:t>Evidence Guide</w:t>
      </w:r>
    </w:p>
    <w:tbl>
      <w:tblPr>
        <w:tblW w:w="0" w:type="auto"/>
        <w:tblLayout w:type="fixed"/>
        <w:tblCellMar>
          <w:left w:w="62" w:type="dxa"/>
          <w:right w:w="62" w:type="dxa"/>
        </w:tblCellMar>
        <w:tblLook w:val="0000"/>
      </w:tblPr>
      <w:tblGrid>
        <w:gridCol w:w="3345"/>
        <w:gridCol w:w="5835"/>
      </w:tblGrid>
      <w:tr w:rsidTr="00193D9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EVIDENCE GUIDE</w:t>
            </w:r>
          </w:p>
        </w:tc>
      </w:tr>
      <w:tr w:rsidTr="00193D9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t xml:space="preserve">The evidence guide provides advice on assessment and must be read in conjunction with the performance criteria, required skills and knowledge, </w:t>
            </w:r>
            <w:r w:rsidRPr="00697EF1">
              <w:t>the range statement and the Assessment Guidelines for this Training Package.</w:t>
            </w: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 xml:space="preserve">Critical aspects for assessment </w:t>
            </w:r>
            <w:r w:rsidRPr="00697EF1">
              <w:rPr>
                <w:rStyle w:val="SpecialBold"/>
              </w:rPr>
              <w:t>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697EF1" w:rsidP="00697EF1">
            <w:pPr>
              <w:pStyle w:val="BodyText"/>
            </w:pPr>
            <w:r w:rsidRPr="00697EF1">
              <w:t>Evidence of the following is essential:</w:t>
            </w:r>
          </w:p>
          <w:p w:rsidR="00000000" w:rsidRPr="00697EF1" w:rsidP="00697EF1">
            <w:pPr>
              <w:pStyle w:val="ListBullet"/>
            </w:pPr>
            <w:r w:rsidRPr="00697EF1">
              <w:t>ability to prepare, produce and present a variety of meat</w:t>
            </w:r>
            <w:r w:rsidRPr="00697EF1">
              <w:t>, poultry, seafood and vegetable dishes and accompaniments within realistic time constraints using a range of cookery methods appropriate to the Asian cuisine</w:t>
            </w:r>
          </w:p>
          <w:p w:rsidR="00000000" w:rsidRPr="00697EF1" w:rsidP="00697EF1">
            <w:pPr>
              <w:pStyle w:val="ListBullet"/>
            </w:pPr>
            <w:r w:rsidRPr="00697EF1">
              <w:t xml:space="preserve">knowledge of cuisine style, including cultural considerations, commodities, culinary terminology </w:t>
            </w:r>
            <w:r w:rsidRPr="00697EF1">
              <w:t>and equipment</w:t>
            </w:r>
          </w:p>
          <w:p w:rsidR="00000000" w:rsidRPr="00697EF1" w:rsidP="00697EF1">
            <w:pPr>
              <w:pStyle w:val="ListBullet"/>
            </w:pPr>
            <w:r w:rsidRPr="00697EF1">
              <w:t>preparation of a variety of meat, poultry, seafood and vegetable dishes and accompaniments relevant to the particular Asian cuisine, using authentic and appropriate ingredients</w:t>
            </w:r>
          </w:p>
          <w:p w:rsidR="00000000" w:rsidP="00697EF1">
            <w:pPr>
              <w:pStyle w:val="ListBullet"/>
              <w:rPr>
                <w:lang w:val="en-NZ"/>
              </w:rPr>
            </w:pPr>
            <w:r w:rsidRPr="00697EF1">
              <w:t>safe occupational health and food hygiene practices for preparing</w:t>
            </w:r>
            <w:r w:rsidRPr="00697EF1">
              <w:t>, cooking, presenting and storing meat, poultry, seafood and vegetable dishes.</w:t>
            </w: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Context of and specific resources for assessment</w:t>
            </w:r>
            <w:r w:rsidRPr="00697EF1">
              <w:t xml:space="preserve"> </w:t>
            </w:r>
          </w:p>
        </w:tc>
        <w:tc>
          <w:tcPr>
            <w:tcW w:w="5835" w:type="dxa"/>
            <w:tcBorders>
              <w:top w:val="nil"/>
              <w:left w:val="nil"/>
              <w:bottom w:val="nil"/>
              <w:right w:val="nil"/>
            </w:tcBorders>
            <w:tcMar>
              <w:top w:w="0" w:type="dxa"/>
              <w:left w:w="62" w:type="dxa"/>
              <w:bottom w:w="0" w:type="dxa"/>
              <w:right w:w="62" w:type="dxa"/>
            </w:tcMar>
          </w:tcPr>
          <w:p w:rsidR="00000000" w:rsidRPr="00697EF1" w:rsidP="00697EF1">
            <w:pPr>
              <w:pStyle w:val="BodyText"/>
            </w:pPr>
            <w:r w:rsidRPr="00697EF1">
              <w:t>Assessment must ensure:</w:t>
            </w:r>
          </w:p>
          <w:p w:rsidR="00000000" w:rsidRPr="00697EF1" w:rsidP="00697EF1">
            <w:pPr>
              <w:pStyle w:val="ListBullet"/>
            </w:pPr>
            <w:r w:rsidRPr="00697EF1">
              <w:t>demonstration of skills within a fully equipped, operational commercial kitchen suitable for Asian cooking, including industry-current equipment, as defined in the Assessment Guidelines</w:t>
            </w:r>
          </w:p>
          <w:p w:rsidR="00000000" w:rsidRPr="00697EF1" w:rsidP="00697EF1">
            <w:pPr>
              <w:pStyle w:val="ListBullet"/>
            </w:pPr>
            <w:r w:rsidRPr="00697EF1">
              <w:t>industry-realistic ratios of kitchen staff to customers</w:t>
            </w:r>
          </w:p>
          <w:p w:rsidR="00000000" w:rsidP="00697EF1">
            <w:pPr>
              <w:pStyle w:val="ListBullet"/>
              <w:rPr>
                <w:lang w:val="en-NZ"/>
              </w:rPr>
            </w:pPr>
            <w:r w:rsidRPr="00697EF1">
              <w:t>preparation of</w:t>
            </w:r>
            <w:r w:rsidRPr="00697EF1">
              <w:t xml:space="preserve"> dishes for real customers within typical workplace time constraints.</w:t>
            </w: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Methods of assessment</w:t>
            </w:r>
            <w:r w:rsidRPr="00697EF1">
              <w:t xml:space="preserve"> </w:t>
            </w:r>
          </w:p>
        </w:tc>
        <w:tc>
          <w:tcPr>
            <w:tcW w:w="5835" w:type="dxa"/>
            <w:tcBorders>
              <w:top w:val="nil"/>
              <w:left w:val="nil"/>
              <w:bottom w:val="nil"/>
              <w:right w:val="nil"/>
            </w:tcBorders>
            <w:tcMar>
              <w:top w:w="0" w:type="dxa"/>
              <w:left w:w="62" w:type="dxa"/>
              <w:bottom w:w="0" w:type="dxa"/>
              <w:right w:w="62" w:type="dxa"/>
            </w:tcMar>
          </w:tcPr>
          <w:p w:rsidR="00000000" w:rsidRPr="00697EF1" w:rsidP="00697EF1">
            <w:pPr>
              <w:pStyle w:val="BodyText"/>
            </w:pPr>
            <w:r w:rsidRPr="00697EF1">
              <w:t xml:space="preserve">A range of assessment methods should be used to assess practical skills and knowledge. The following examples are appropriate for this unit: </w:t>
            </w:r>
          </w:p>
          <w:p w:rsidR="00000000" w:rsidRPr="00697EF1" w:rsidP="00697EF1">
            <w:pPr>
              <w:pStyle w:val="ListBullet"/>
            </w:pPr>
            <w:r w:rsidRPr="00697EF1">
              <w:t>direct observatio</w:t>
            </w:r>
            <w:r w:rsidRPr="00697EF1">
              <w:t>n of practical demonstration of preparing, cooking and presenting a variety of meat, poultry, seafood and vegetable dishes and accompaniments</w:t>
            </w:r>
          </w:p>
          <w:p w:rsidR="00000000" w:rsidRPr="00697EF1" w:rsidP="00697EF1">
            <w:pPr>
              <w:pStyle w:val="ListBullet"/>
            </w:pPr>
            <w:r w:rsidRPr="00697EF1">
              <w:t>sampling of dishes prepared by the candidate</w:t>
            </w:r>
          </w:p>
          <w:p w:rsidR="00000000" w:rsidRPr="00697EF1" w:rsidP="00697EF1">
            <w:pPr>
              <w:pStyle w:val="ListBullet"/>
            </w:pPr>
            <w:r w:rsidRPr="00697EF1">
              <w:t xml:space="preserve">written or oral questions to test knowledge of Asian cuisine styles, </w:t>
            </w:r>
            <w:r w:rsidRPr="00697EF1">
              <w:t>cultural aspects, use and importance of typical commodities and flavourings, safety issues and food quality indicators</w:t>
            </w:r>
          </w:p>
          <w:p w:rsidR="00000000" w:rsidRPr="00697EF1" w:rsidP="00697EF1">
            <w:pPr>
              <w:pStyle w:val="ListBullet"/>
            </w:pPr>
            <w:r w:rsidRPr="00697EF1">
              <w:t>review of portfolios of evidence and third-party workplace reports of on-the-job performance by the candidate, such as menus and photogra</w:t>
            </w:r>
            <w:r w:rsidRPr="00697EF1">
              <w:t>phs.</w:t>
            </w:r>
          </w:p>
          <w:p w:rsidR="00000000" w:rsidP="00697EF1">
            <w:pPr>
              <w:pStyle w:val="BodyText"/>
              <w:rPr>
                <w:lang w:val="en-NZ"/>
              </w:rPr>
            </w:pPr>
            <w:r w:rsidRPr="00697EF1">
              <w:t>Holistic assessment with other units relevant to the industry sector, workplace and job role is recommended.</w:t>
            </w: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97EF1" w:rsidP="00697EF1">
            <w:pPr>
              <w:pStyle w:val="BodyText"/>
            </w:pPr>
            <w:r w:rsidRPr="00697EF1">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697EF1" w:rsidP="00697EF1">
            <w:pPr>
              <w:pStyle w:val="BodyText"/>
            </w:pPr>
            <w:r w:rsidRPr="00697EF1">
              <w:t>Emp</w:t>
            </w:r>
            <w:r w:rsidRPr="00697EF1">
              <w:t>loyability skills embedded in this unit should be assessed holistically with other relevant units that make up the skill set or qualification and in the context of the job role.</w:t>
            </w:r>
          </w:p>
        </w:tc>
      </w:tr>
    </w:tbl>
    <w:p w:rsidR="00193D91" w:rsidP="00697EF1">
      <w:pPr>
        <w:pStyle w:val="BodyText"/>
      </w:pPr>
    </w:p>
    <w:p w:rsidR="00193D91" w:rsidP="00697EF1">
      <w:pPr>
        <w:pStyle w:val="BodyText"/>
      </w:pPr>
    </w:p>
    <w:p w:rsidR="00000000" w:rsidRPr="00697EF1" w:rsidP="00697EF1">
      <w:pPr>
        <w:pStyle w:val="Heading1"/>
      </w:pPr>
      <w:bookmarkStart w:id="11" w:name="O_145957"/>
      <w:bookmarkEnd w:id="11"/>
      <w:r w:rsidRPr="00697EF1">
        <w:t>Range Statement</w:t>
      </w:r>
    </w:p>
    <w:tbl>
      <w:tblPr>
        <w:tblW w:w="0" w:type="auto"/>
        <w:tblLayout w:type="fixed"/>
        <w:tblCellMar>
          <w:left w:w="62" w:type="dxa"/>
          <w:right w:w="62" w:type="dxa"/>
        </w:tblCellMar>
        <w:tblLook w:val="0000"/>
      </w:tblPr>
      <w:tblGrid>
        <w:gridCol w:w="3345"/>
        <w:gridCol w:w="5835"/>
      </w:tblGrid>
      <w:tr w:rsidTr="00193D9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RANGE STATEMENT</w:t>
            </w:r>
          </w:p>
        </w:tc>
      </w:tr>
      <w:tr w:rsidTr="00193D9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t>The range statement relates to the unit of competency as a whole. It allows for different work environments and situations that may affect performance. Bold italicised wording in the performance criteria is detailed below.</w:t>
            </w:r>
          </w:p>
        </w:tc>
      </w:tr>
      <w:tr w:rsidTr="00193D9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BoldandItalics"/>
              </w:rPr>
              <w:t xml:space="preserve">Specialised ingredients and </w:t>
            </w:r>
            <w:r w:rsidRPr="00697EF1">
              <w:rPr>
                <w:rStyle w:val="BoldandItalics"/>
              </w:rPr>
              <w:t>accompaniments</w:t>
            </w:r>
            <w:r w:rsidRPr="00697E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97EF1" w:rsidP="00697EF1">
            <w:pPr>
              <w:pStyle w:val="ListBullet"/>
            </w:pPr>
            <w:r w:rsidRPr="00697EF1">
              <w:t>sauces, including nam prik pao, nam pla, oyster and black bean</w:t>
            </w:r>
          </w:p>
          <w:p w:rsidR="00000000" w:rsidRPr="00697EF1" w:rsidP="00697EF1">
            <w:pPr>
              <w:pStyle w:val="ListBullet"/>
            </w:pPr>
            <w:r w:rsidRPr="00697EF1">
              <w:t>nuts, such as peanuts and cashews</w:t>
            </w:r>
          </w:p>
          <w:p w:rsidR="00000000" w:rsidP="00697EF1">
            <w:pPr>
              <w:pStyle w:val="ListBullet"/>
              <w:rPr>
                <w:lang w:val="en-NZ"/>
              </w:rPr>
            </w:pPr>
            <w:r w:rsidRPr="00697EF1">
              <w:t>fresh whole root spices, such as ginger, galangal and turmeric.</w:t>
            </w: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BoldandItalics"/>
              </w:rPr>
              <w:t>Preparation techniques</w:t>
            </w:r>
            <w:r w:rsidRPr="00697E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97EF1" w:rsidP="00697EF1">
            <w:pPr>
              <w:pStyle w:val="ListBullet"/>
            </w:pPr>
            <w:r w:rsidRPr="00697EF1">
              <w:t>filleting</w:t>
            </w:r>
          </w:p>
          <w:p w:rsidR="00000000" w:rsidRPr="00697EF1" w:rsidP="00697EF1">
            <w:pPr>
              <w:pStyle w:val="ListBullet"/>
            </w:pPr>
            <w:r w:rsidRPr="00697EF1">
              <w:t>portioning</w:t>
            </w:r>
          </w:p>
          <w:p w:rsidR="00000000" w:rsidRPr="00697EF1" w:rsidP="00697EF1">
            <w:pPr>
              <w:pStyle w:val="ListBullet"/>
            </w:pPr>
            <w:r w:rsidRPr="00697EF1">
              <w:t>cutting</w:t>
            </w:r>
          </w:p>
          <w:p w:rsidR="00000000" w:rsidRPr="00697EF1" w:rsidP="00697EF1">
            <w:pPr>
              <w:pStyle w:val="ListBullet"/>
            </w:pPr>
            <w:r w:rsidRPr="00697EF1">
              <w:t>skinning and peeling</w:t>
            </w:r>
          </w:p>
          <w:p w:rsidR="00000000" w:rsidRPr="00697EF1" w:rsidP="00697EF1">
            <w:pPr>
              <w:pStyle w:val="ListBullet"/>
            </w:pPr>
            <w:r w:rsidRPr="00697EF1">
              <w:t>cleaning and gutting</w:t>
            </w:r>
          </w:p>
          <w:p w:rsidR="00000000" w:rsidRPr="00697EF1" w:rsidP="00697EF1">
            <w:pPr>
              <w:pStyle w:val="ListBullet"/>
            </w:pPr>
            <w:r w:rsidRPr="00697EF1">
              <w:t>dicing</w:t>
            </w:r>
          </w:p>
          <w:p w:rsidR="00000000" w:rsidRPr="00697EF1" w:rsidP="00697EF1">
            <w:pPr>
              <w:pStyle w:val="ListBullet"/>
            </w:pPr>
            <w:r w:rsidRPr="00697EF1">
              <w:t>slicing</w:t>
            </w:r>
          </w:p>
          <w:p w:rsidR="00000000" w:rsidRPr="00697EF1" w:rsidP="00697EF1">
            <w:pPr>
              <w:pStyle w:val="ListBullet"/>
            </w:pPr>
            <w:r w:rsidRPr="00697EF1">
              <w:t>trimming</w:t>
            </w:r>
          </w:p>
          <w:p w:rsidR="00000000" w:rsidRPr="00697EF1" w:rsidP="00697EF1">
            <w:pPr>
              <w:pStyle w:val="ListBullet"/>
            </w:pPr>
            <w:r w:rsidRPr="00697EF1">
              <w:t>chopping</w:t>
            </w:r>
          </w:p>
          <w:p w:rsidR="00000000" w:rsidRPr="00697EF1" w:rsidP="00697EF1">
            <w:pPr>
              <w:pStyle w:val="ListBullet"/>
            </w:pPr>
            <w:r w:rsidRPr="00697EF1">
              <w:t>blanching</w:t>
            </w:r>
          </w:p>
          <w:p w:rsidR="00000000" w:rsidRPr="00697EF1" w:rsidP="00697EF1">
            <w:pPr>
              <w:pStyle w:val="ListBullet"/>
            </w:pPr>
            <w:r w:rsidRPr="00697EF1">
              <w:t>marinating</w:t>
            </w:r>
          </w:p>
          <w:p w:rsidR="00000000" w:rsidRPr="00697EF1" w:rsidP="00697EF1">
            <w:pPr>
              <w:pStyle w:val="ListBullet"/>
            </w:pPr>
            <w:r w:rsidRPr="00697EF1">
              <w:t>tenderising</w:t>
            </w:r>
          </w:p>
          <w:p w:rsidR="00000000" w:rsidP="00697EF1">
            <w:pPr>
              <w:pStyle w:val="ListBullet"/>
              <w:rPr>
                <w:lang w:val="en-NZ"/>
              </w:rPr>
            </w:pPr>
            <w:r w:rsidRPr="00697EF1">
              <w:t>coating with curry pastes, marinades and batters.</w:t>
            </w: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BoldandItalics"/>
              </w:rPr>
              <w:t>Equipment</w:t>
            </w:r>
            <w:r w:rsidRPr="00697E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97EF1" w:rsidP="00697EF1">
            <w:pPr>
              <w:pStyle w:val="ListBullet"/>
            </w:pPr>
            <w:r w:rsidRPr="00697EF1">
              <w:t>ovens</w:t>
            </w:r>
          </w:p>
          <w:p w:rsidR="00000000" w:rsidRPr="00697EF1" w:rsidP="00697EF1">
            <w:pPr>
              <w:pStyle w:val="ListBullet"/>
            </w:pPr>
            <w:r w:rsidRPr="00697EF1">
              <w:t>roasting drums</w:t>
            </w:r>
          </w:p>
          <w:p w:rsidR="00000000" w:rsidRPr="00697EF1" w:rsidP="00697EF1">
            <w:pPr>
              <w:pStyle w:val="ListBullet"/>
            </w:pPr>
            <w:r w:rsidRPr="00697EF1">
              <w:t>open spit smoke ovens</w:t>
            </w:r>
          </w:p>
          <w:p w:rsidR="00000000" w:rsidRPr="00697EF1" w:rsidP="00697EF1">
            <w:pPr>
              <w:pStyle w:val="ListBullet"/>
            </w:pPr>
            <w:r w:rsidRPr="00697EF1">
              <w:t>woks</w:t>
            </w:r>
          </w:p>
          <w:p w:rsidR="00000000" w:rsidRPr="00697EF1" w:rsidP="00697EF1">
            <w:pPr>
              <w:pStyle w:val="ListBullet"/>
            </w:pPr>
            <w:r w:rsidRPr="00697EF1">
              <w:t>tandoori ovens</w:t>
            </w:r>
          </w:p>
          <w:p w:rsidR="00000000" w:rsidRPr="00697EF1" w:rsidP="00697EF1">
            <w:pPr>
              <w:pStyle w:val="ListBullet"/>
            </w:pPr>
            <w:r w:rsidRPr="00697EF1">
              <w:t>steamers</w:t>
            </w:r>
          </w:p>
          <w:p w:rsidR="00000000" w:rsidRPr="00697EF1" w:rsidP="00697EF1">
            <w:pPr>
              <w:pStyle w:val="ListBullet"/>
            </w:pPr>
            <w:r w:rsidRPr="00697EF1">
              <w:t>barbecues</w:t>
            </w:r>
          </w:p>
          <w:p w:rsidR="00000000" w:rsidRPr="00697EF1" w:rsidP="00697EF1">
            <w:pPr>
              <w:pStyle w:val="ListBullet"/>
            </w:pPr>
            <w:r w:rsidRPr="00697EF1">
              <w:t>grills</w:t>
            </w:r>
          </w:p>
          <w:p w:rsidR="00000000" w:rsidRPr="00697EF1" w:rsidP="00697EF1">
            <w:pPr>
              <w:pStyle w:val="ListBullet"/>
            </w:pPr>
            <w:r w:rsidRPr="00697EF1">
              <w:t>hot plates</w:t>
            </w:r>
          </w:p>
          <w:p w:rsidR="00000000" w:rsidP="00697EF1">
            <w:pPr>
              <w:pStyle w:val="ListBullet"/>
              <w:rPr>
                <w:lang w:val="en-NZ"/>
              </w:rPr>
            </w:pPr>
            <w:r w:rsidRPr="00697EF1">
              <w:t>spits.</w:t>
            </w: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BoldandItalics"/>
              </w:rPr>
              <w:t>Dishes</w:t>
            </w:r>
            <w:r w:rsidRPr="00697EF1">
              <w:t xml:space="preserve"> to be produced must include a wide variety of meat, poultry, seafood and vegetable dishes, either stand-alone or in combination and may include:</w:t>
            </w:r>
          </w:p>
        </w:tc>
        <w:tc>
          <w:tcPr>
            <w:tcW w:w="5835" w:type="dxa"/>
            <w:tcBorders>
              <w:top w:val="nil"/>
              <w:left w:val="nil"/>
              <w:bottom w:val="nil"/>
              <w:right w:val="nil"/>
            </w:tcBorders>
            <w:tcMar>
              <w:top w:w="0" w:type="dxa"/>
              <w:left w:w="62" w:type="dxa"/>
              <w:bottom w:w="0" w:type="dxa"/>
              <w:right w:w="62" w:type="dxa"/>
            </w:tcMar>
          </w:tcPr>
          <w:p w:rsidR="00000000" w:rsidRPr="00697EF1" w:rsidP="00697EF1">
            <w:pPr>
              <w:pStyle w:val="ListBullet"/>
            </w:pPr>
            <w:r w:rsidRPr="00697EF1">
              <w:t>Chinese: roast pork and duck, beef with cashews, and sti</w:t>
            </w:r>
            <w:r w:rsidRPr="00697EF1">
              <w:t>r fried vegetables</w:t>
            </w:r>
          </w:p>
          <w:p w:rsidR="00000000" w:rsidRPr="00697EF1" w:rsidP="00697EF1">
            <w:pPr>
              <w:pStyle w:val="ListBullet"/>
            </w:pPr>
            <w:r w:rsidRPr="00697EF1">
              <w:t>Indian: fish in tamarind sauce, lamb kebabs and kari</w:t>
            </w:r>
          </w:p>
          <w:p w:rsidR="00000000" w:rsidRPr="00697EF1" w:rsidP="00697EF1">
            <w:pPr>
              <w:pStyle w:val="ListBullet"/>
            </w:pPr>
            <w:r w:rsidRPr="00697EF1">
              <w:t>Thai: kapi, takrai, gaeng, nam pla, makrut and krung gaeng</w:t>
            </w:r>
          </w:p>
          <w:p w:rsidR="00000000" w:rsidRPr="00697EF1" w:rsidP="00697EF1">
            <w:pPr>
              <w:pStyle w:val="ListBullet"/>
            </w:pPr>
            <w:r w:rsidRPr="00697EF1">
              <w:t>Indonesian: gado gado, and grilled skewered chicken</w:t>
            </w:r>
          </w:p>
          <w:p w:rsidR="00000000" w:rsidRPr="00697EF1" w:rsidP="00697EF1">
            <w:pPr>
              <w:pStyle w:val="ListBullet"/>
            </w:pPr>
            <w:r w:rsidRPr="00697EF1">
              <w:t xml:space="preserve">Vietnamese: beef in coconut milk, ginger chicken, and steamed vegetables </w:t>
            </w:r>
          </w:p>
          <w:p w:rsidR="00000000" w:rsidRPr="00697EF1" w:rsidP="00697EF1">
            <w:pPr>
              <w:pStyle w:val="ListBullet"/>
            </w:pPr>
            <w:r w:rsidRPr="00697EF1">
              <w:t>Japanese: beef, chicken and fish teriyaki</w:t>
            </w:r>
          </w:p>
          <w:p w:rsidR="00000000" w:rsidP="00697EF1">
            <w:pPr>
              <w:pStyle w:val="ListBullet"/>
              <w:rPr>
                <w:lang w:val="en-NZ"/>
              </w:rPr>
            </w:pPr>
            <w:r w:rsidRPr="00697EF1">
              <w:t>Malay and Nonya: sugar cane chicken, chargrilled coconut fish, ikan panggang, and rending daging lembu.</w:t>
            </w: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BoldandItalics"/>
              </w:rPr>
              <w:t>Cookery techniques</w:t>
            </w:r>
            <w:r w:rsidRPr="00697E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97EF1" w:rsidP="00697EF1">
            <w:pPr>
              <w:pStyle w:val="ListBullet"/>
            </w:pPr>
            <w:r w:rsidRPr="00697EF1">
              <w:t>steaming</w:t>
            </w:r>
          </w:p>
          <w:p w:rsidR="00000000" w:rsidRPr="00697EF1" w:rsidP="00697EF1">
            <w:pPr>
              <w:pStyle w:val="ListBullet"/>
            </w:pPr>
            <w:r w:rsidRPr="00697EF1">
              <w:t>boiling</w:t>
            </w:r>
          </w:p>
          <w:p w:rsidR="00000000" w:rsidRPr="00697EF1" w:rsidP="00697EF1">
            <w:pPr>
              <w:pStyle w:val="ListBullet"/>
            </w:pPr>
            <w:r w:rsidRPr="00697EF1">
              <w:t>baking</w:t>
            </w:r>
          </w:p>
          <w:p w:rsidR="00000000" w:rsidRPr="00697EF1" w:rsidP="00697EF1">
            <w:pPr>
              <w:pStyle w:val="ListBullet"/>
            </w:pPr>
            <w:r w:rsidRPr="00697EF1">
              <w:t>roasting</w:t>
            </w:r>
          </w:p>
          <w:p w:rsidR="00000000" w:rsidRPr="00697EF1" w:rsidP="00697EF1">
            <w:pPr>
              <w:pStyle w:val="ListBullet"/>
            </w:pPr>
            <w:r w:rsidRPr="00697EF1">
              <w:t>grilling</w:t>
            </w:r>
          </w:p>
          <w:p w:rsidR="00000000" w:rsidRPr="00697EF1" w:rsidP="00697EF1">
            <w:pPr>
              <w:pStyle w:val="ListBullet"/>
            </w:pPr>
            <w:r w:rsidRPr="00697EF1">
              <w:t>barbecuing</w:t>
            </w:r>
          </w:p>
          <w:p w:rsidR="00000000" w:rsidRPr="00697EF1" w:rsidP="00697EF1">
            <w:pPr>
              <w:pStyle w:val="ListBullet"/>
            </w:pPr>
            <w:r w:rsidRPr="00697EF1">
              <w:t>stir-frying</w:t>
            </w:r>
          </w:p>
          <w:p w:rsidR="00000000" w:rsidP="00697EF1">
            <w:pPr>
              <w:pStyle w:val="ListBullet"/>
              <w:rPr>
                <w:lang w:val="en-NZ"/>
              </w:rPr>
            </w:pPr>
            <w:r w:rsidRPr="00697EF1">
              <w:t>deep-fry</w:t>
            </w:r>
            <w:r w:rsidRPr="00697EF1">
              <w:t>ing.</w:t>
            </w: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p>
        </w:tc>
      </w:tr>
      <w:tr w:rsidTr="00193D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BoldandItalics"/>
              </w:rPr>
              <w:t>Specialised techniques</w:t>
            </w:r>
            <w:r w:rsidRPr="00697E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97EF1" w:rsidP="00697EF1">
            <w:pPr>
              <w:pStyle w:val="ListBullet"/>
            </w:pPr>
            <w:r w:rsidRPr="00697EF1">
              <w:t>tandoor cookery</w:t>
            </w:r>
          </w:p>
          <w:p w:rsidR="00000000" w:rsidRPr="00697EF1" w:rsidP="00697EF1">
            <w:pPr>
              <w:pStyle w:val="ListBullet"/>
            </w:pPr>
            <w:r w:rsidRPr="00697EF1">
              <w:t>wok cookery</w:t>
            </w:r>
          </w:p>
          <w:p w:rsidR="00000000" w:rsidRPr="00697EF1" w:rsidP="00697EF1">
            <w:pPr>
              <w:pStyle w:val="ListBullet"/>
            </w:pPr>
            <w:r w:rsidRPr="00697EF1">
              <w:t>smoking</w:t>
            </w:r>
          </w:p>
          <w:p w:rsidR="00000000" w:rsidRPr="00697EF1" w:rsidP="00697EF1">
            <w:pPr>
              <w:pStyle w:val="ListBullet"/>
            </w:pPr>
            <w:r w:rsidRPr="00697EF1">
              <w:t>marinating</w:t>
            </w:r>
          </w:p>
          <w:p w:rsidR="00000000" w:rsidRPr="00697EF1" w:rsidP="00697EF1">
            <w:pPr>
              <w:pStyle w:val="ListBullet"/>
            </w:pPr>
            <w:r w:rsidRPr="00697EF1">
              <w:t>drying</w:t>
            </w:r>
          </w:p>
          <w:p w:rsidR="00000000" w:rsidRPr="00697EF1" w:rsidP="00697EF1">
            <w:pPr>
              <w:pStyle w:val="ListBullet"/>
            </w:pPr>
            <w:r w:rsidRPr="00697EF1">
              <w:t>pickling.</w:t>
            </w:r>
          </w:p>
        </w:tc>
      </w:tr>
    </w:tbl>
    <w:p w:rsidR="00193D91" w:rsidP="00697EF1">
      <w:pPr>
        <w:pStyle w:val="BodyText"/>
      </w:pPr>
    </w:p>
    <w:p w:rsidR="00193D91" w:rsidP="00697EF1">
      <w:pPr>
        <w:pStyle w:val="BodyText"/>
      </w:pPr>
    </w:p>
    <w:p w:rsidR="00000000" w:rsidRPr="00697EF1" w:rsidP="00697EF1">
      <w:pPr>
        <w:pStyle w:val="Heading1"/>
      </w:pPr>
      <w:bookmarkStart w:id="12" w:name="O_145958"/>
      <w:bookmarkEnd w:id="12"/>
      <w:r w:rsidRPr="00697EF1">
        <w:t>Unit Sector(s)</w:t>
      </w:r>
    </w:p>
    <w:tbl>
      <w:tblPr>
        <w:tblW w:w="0" w:type="auto"/>
        <w:tblLayout w:type="fixed"/>
        <w:tblCellMar>
          <w:left w:w="62" w:type="dxa"/>
          <w:right w:w="62" w:type="dxa"/>
        </w:tblCellMar>
        <w:tblLook w:val="0000"/>
      </w:tblPr>
      <w:tblGrid>
        <w:gridCol w:w="2836"/>
        <w:gridCol w:w="6344"/>
      </w:tblGrid>
      <w:tr w:rsidTr="00193D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97EF1" w:rsidP="00697EF1">
            <w:pPr>
              <w:pStyle w:val="BodyText"/>
            </w:pPr>
            <w:r w:rsidRPr="00697EF1">
              <w:t>Hospitality</w:t>
            </w:r>
          </w:p>
        </w:tc>
      </w:tr>
    </w:tbl>
    <w:p w:rsidR="00000000" w:rsidRPr="00697EF1" w:rsidP="00697EF1">
      <w:pPr>
        <w:pStyle w:val="BodyText"/>
      </w:pPr>
    </w:p>
    <w:p w:rsidR="00000000" w:rsidRPr="00697EF1" w:rsidP="00697EF1">
      <w:pPr>
        <w:pStyle w:val="AllowPageBreak"/>
      </w:pPr>
    </w:p>
    <w:p w:rsidR="00000000" w:rsidRPr="00697EF1" w:rsidP="00697EF1">
      <w:pPr>
        <w:pStyle w:val="Heading1"/>
      </w:pPr>
      <w:bookmarkStart w:id="13" w:name="O_163247"/>
      <w:bookmarkEnd w:id="13"/>
      <w:r w:rsidRPr="00697EF1">
        <w:t>Competency field</w:t>
      </w:r>
    </w:p>
    <w:tbl>
      <w:tblPr>
        <w:tblW w:w="0" w:type="auto"/>
        <w:tblLayout w:type="fixed"/>
        <w:tblCellMar>
          <w:left w:w="62" w:type="dxa"/>
          <w:right w:w="62" w:type="dxa"/>
        </w:tblCellMar>
        <w:tblLook w:val="0000"/>
      </w:tblPr>
      <w:tblGrid>
        <w:gridCol w:w="2836"/>
        <w:gridCol w:w="6344"/>
      </w:tblGrid>
      <w:tr w:rsidTr="00193D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97EF1">
            <w:pPr>
              <w:pStyle w:val="BodyText"/>
              <w:rPr>
                <w:lang w:val="en-NZ"/>
              </w:rPr>
            </w:pPr>
            <w:r w:rsidRPr="00697EF1">
              <w:t>Asian Cookery</w:t>
            </w:r>
          </w:p>
        </w:tc>
      </w:tr>
      <w:tr w:rsidTr="00193D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97EF1" w:rsidP="00697EF1">
            <w:pPr>
              <w:pStyle w:val="BodyText"/>
            </w:pPr>
          </w:p>
        </w:tc>
      </w:tr>
    </w:tbl>
    <w:p w:rsidR="00000000" w:rsidRPr="00697EF1" w:rsidP="00697EF1">
      <w:pPr>
        <w:pStyle w:val="BodyText"/>
      </w:pPr>
    </w:p>
    <w:p w:rsidR="00000000" w:rsidRPr="00697EF1" w:rsidP="00697EF1"/>
    <w:sectPr w:rsidSect="00697E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D91" w:rsidP="00193D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91" w:rsidP="00697E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3D91" w:rsidP="00697E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93D91" w:rsidP="00697E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F1" w:rsidRPr="00193D91" w:rsidP="00193D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91" w:rsidRPr="002D2AF8" w:rsidP="00697EF1">
    <w:pPr>
      <w:pStyle w:val="Header"/>
      <w:framePr w:wrap="around"/>
    </w:pPr>
    <w:r>
      <w:fldChar w:fldCharType="begin"/>
    </w:r>
    <w:r>
      <w:instrText xml:space="preserve"> TITLE   \* MERGEFORMAT </w:instrText>
    </w:r>
    <w:r>
      <w:fldChar w:fldCharType="separate"/>
    </w:r>
    <w:r>
      <w:t>SITHASC007A Prepare meat, poultry, seafood and vegetables for Asian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93D91" w:rsidP="00697E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18C5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E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EF1"/>
    <w:pPr>
      <w:spacing w:before="360" w:after="60"/>
      <w:outlineLvl w:val="0"/>
    </w:pPr>
    <w:rPr>
      <w:sz w:val="32"/>
    </w:rPr>
  </w:style>
  <w:style w:type="paragraph" w:styleId="Heading2">
    <w:name w:val="heading 2"/>
    <w:basedOn w:val="HeadingBase"/>
    <w:next w:val="BodyText"/>
    <w:link w:val="Heading2Char"/>
    <w:qFormat/>
    <w:rsid w:val="00697EF1"/>
    <w:pPr>
      <w:keepLines/>
      <w:spacing w:before="240" w:after="120"/>
      <w:outlineLvl w:val="1"/>
    </w:pPr>
    <w:rPr>
      <w:sz w:val="28"/>
      <w:szCs w:val="40"/>
    </w:rPr>
  </w:style>
  <w:style w:type="paragraph" w:styleId="Heading3">
    <w:name w:val="heading 3"/>
    <w:basedOn w:val="HeadingBase"/>
    <w:next w:val="BodyText"/>
    <w:link w:val="Heading3Char"/>
    <w:qFormat/>
    <w:rsid w:val="00697EF1"/>
    <w:pPr>
      <w:spacing w:before="180" w:after="120"/>
      <w:outlineLvl w:val="2"/>
    </w:pPr>
    <w:rPr>
      <w:spacing w:val="-10"/>
      <w:kern w:val="32"/>
    </w:rPr>
  </w:style>
  <w:style w:type="paragraph" w:styleId="Heading4">
    <w:name w:val="heading 4"/>
    <w:basedOn w:val="HeadingBase"/>
    <w:next w:val="BodyText"/>
    <w:link w:val="Heading4Char"/>
    <w:qFormat/>
    <w:rsid w:val="00697EF1"/>
    <w:pPr>
      <w:spacing w:before="160" w:after="120"/>
      <w:outlineLvl w:val="3"/>
    </w:pPr>
    <w:rPr>
      <w:sz w:val="22"/>
    </w:rPr>
  </w:style>
  <w:style w:type="paragraph" w:styleId="Heading5">
    <w:name w:val="heading 5"/>
    <w:basedOn w:val="HeadingBase"/>
    <w:next w:val="Normal"/>
    <w:link w:val="Heading5Char"/>
    <w:qFormat/>
    <w:rsid w:val="00697EF1"/>
    <w:pPr>
      <w:spacing w:before="80"/>
      <w:outlineLvl w:val="4"/>
    </w:pPr>
    <w:rPr>
      <w:color w:val="918585"/>
      <w:sz w:val="20"/>
    </w:rPr>
  </w:style>
  <w:style w:type="paragraph" w:styleId="Heading6">
    <w:name w:val="heading 6"/>
    <w:basedOn w:val="HeadingBase"/>
    <w:next w:val="Normal"/>
    <w:link w:val="Heading6Char"/>
    <w:qFormat/>
    <w:rsid w:val="00697EF1"/>
    <w:pPr>
      <w:spacing w:before="60"/>
      <w:outlineLvl w:val="5"/>
    </w:pPr>
    <w:rPr>
      <w:color w:val="918585"/>
      <w:sz w:val="20"/>
    </w:rPr>
  </w:style>
  <w:style w:type="paragraph" w:styleId="Heading7">
    <w:name w:val="heading 7"/>
    <w:basedOn w:val="Normal"/>
    <w:next w:val="Normal"/>
    <w:link w:val="Heading7Char"/>
    <w:qFormat/>
    <w:rsid w:val="00697EF1"/>
    <w:pPr>
      <w:ind w:left="720"/>
      <w:outlineLvl w:val="6"/>
    </w:pPr>
    <w:rPr>
      <w:i/>
    </w:rPr>
  </w:style>
  <w:style w:type="paragraph" w:styleId="Heading8">
    <w:name w:val="heading 8"/>
    <w:basedOn w:val="Normal"/>
    <w:next w:val="Normal"/>
    <w:link w:val="Heading8Char"/>
    <w:qFormat/>
    <w:rsid w:val="00697EF1"/>
    <w:pPr>
      <w:ind w:left="720"/>
      <w:outlineLvl w:val="7"/>
    </w:pPr>
    <w:rPr>
      <w:i/>
    </w:rPr>
  </w:style>
  <w:style w:type="paragraph" w:styleId="Heading9">
    <w:name w:val="heading 9"/>
    <w:basedOn w:val="Normal"/>
    <w:next w:val="Normal"/>
    <w:link w:val="Heading9Char"/>
    <w:qFormat/>
    <w:rsid w:val="00697EF1"/>
    <w:pPr>
      <w:ind w:left="720"/>
      <w:outlineLvl w:val="8"/>
    </w:pPr>
    <w:rPr>
      <w:i/>
    </w:rPr>
  </w:style>
  <w:style w:type="character" w:default="1" w:styleId="DefaultParagraphFont">
    <w:name w:val="Default Paragraph Font"/>
    <w:uiPriority w:val="1"/>
    <w:unhideWhenUsed/>
    <w:rsid w:val="00697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EF1"/>
  </w:style>
  <w:style w:type="character" w:customStyle="1" w:styleId="Heading1Char">
    <w:name w:val="Heading 1 Char"/>
    <w:basedOn w:val="DefaultParagraphFont"/>
    <w:link w:val="Heading1"/>
    <w:rsid w:val="00697EF1"/>
    <w:rPr>
      <w:rFonts w:ascii="Times New Roman" w:eastAsia="Times New Roman" w:hAnsi="Times New Roman" w:cs="Times New Roman"/>
      <w:b/>
      <w:sz w:val="32"/>
      <w:szCs w:val="20"/>
      <w:lang w:eastAsia="en-US"/>
    </w:rPr>
  </w:style>
  <w:style w:type="paragraph" w:styleId="BodyText">
    <w:name w:val="Body Text"/>
    <w:basedOn w:val="Normal"/>
    <w:link w:val="BodyTextChar"/>
    <w:rsid w:val="00697E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7EF1"/>
    <w:rPr>
      <w:rFonts w:ascii="Times New Roman" w:eastAsia="Times New Roman" w:hAnsi="Times New Roman" w:cs="Times New Roman"/>
      <w:sz w:val="24"/>
      <w:lang w:eastAsia="en-US"/>
    </w:rPr>
  </w:style>
  <w:style w:type="paragraph" w:styleId="Footer">
    <w:name w:val="footer"/>
    <w:basedOn w:val="Normal"/>
    <w:link w:val="FooterChar"/>
    <w:rsid w:val="00697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EF1"/>
    <w:rPr>
      <w:rFonts w:ascii="Times New Roman" w:eastAsia="Times New Roman" w:hAnsi="Times New Roman" w:cs="Times New Roman"/>
      <w:sz w:val="16"/>
      <w:lang w:eastAsia="en-US"/>
    </w:rPr>
  </w:style>
  <w:style w:type="paragraph" w:styleId="List">
    <w:name w:val="List"/>
    <w:basedOn w:val="BodyText"/>
    <w:next w:val="BodyText"/>
    <w:rsid w:val="00697EF1"/>
    <w:pPr>
      <w:tabs>
        <w:tab w:val="left" w:pos="340"/>
      </w:tabs>
      <w:spacing w:before="60" w:after="60"/>
      <w:ind w:left="340" w:hanging="340"/>
    </w:pPr>
  </w:style>
  <w:style w:type="paragraph" w:styleId="ListBullet">
    <w:name w:val="List Bullet"/>
    <w:basedOn w:val="List"/>
    <w:rsid w:val="00697EF1"/>
    <w:pPr>
      <w:numPr>
        <w:numId w:val="12"/>
      </w:numPr>
      <w:tabs>
        <w:tab w:val="clear" w:pos="340"/>
      </w:tabs>
      <w:spacing w:before="40" w:after="40"/>
    </w:pPr>
  </w:style>
  <w:style w:type="character" w:customStyle="1" w:styleId="SpecialBold">
    <w:name w:val="Special Bold"/>
    <w:basedOn w:val="DefaultParagraphFont"/>
    <w:rsid w:val="00697EF1"/>
    <w:rPr>
      <w:b/>
      <w:spacing w:val="0"/>
    </w:rPr>
  </w:style>
  <w:style w:type="paragraph" w:customStyle="1" w:styleId="SuperHeading">
    <w:name w:val="SuperHeading"/>
    <w:basedOn w:val="Normal"/>
    <w:rsid w:val="00697EF1"/>
    <w:pPr>
      <w:spacing w:before="240" w:after="120"/>
      <w:outlineLvl w:val="0"/>
    </w:pPr>
    <w:rPr>
      <w:rFonts w:ascii="Times New Roman" w:hAnsi="Times New Roman"/>
      <w:b/>
      <w:sz w:val="28"/>
    </w:rPr>
  </w:style>
  <w:style w:type="paragraph" w:customStyle="1" w:styleId="AllowPageBreak">
    <w:name w:val="AllowPageBreak"/>
    <w:rsid w:val="00697E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7EF1"/>
    <w:rPr>
      <w:b/>
      <w:i/>
      <w:u w:val="none"/>
    </w:rPr>
  </w:style>
  <w:style w:type="character" w:customStyle="1" w:styleId="Heading2Char">
    <w:name w:val="Heading 2 Char"/>
    <w:basedOn w:val="DefaultParagraphFont"/>
    <w:link w:val="Heading2"/>
    <w:rsid w:val="00697E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E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E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E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E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E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EF1"/>
    <w:rPr>
      <w:rFonts w:ascii="Courier New" w:eastAsia="Times New Roman" w:hAnsi="Courier New" w:cs="Times New Roman"/>
      <w:i/>
      <w:szCs w:val="20"/>
      <w:lang w:eastAsia="en-US"/>
    </w:rPr>
  </w:style>
  <w:style w:type="paragraph" w:customStyle="1" w:styleId="HeadingBase">
    <w:name w:val="Heading Base"/>
    <w:rsid w:val="00697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EF1"/>
    <w:pPr>
      <w:tabs>
        <w:tab w:val="right" w:leader="dot" w:pos="9072"/>
      </w:tabs>
      <w:ind w:left="567"/>
    </w:pPr>
    <w:rPr>
      <w:szCs w:val="22"/>
    </w:rPr>
  </w:style>
  <w:style w:type="paragraph" w:customStyle="1" w:styleId="TOCBase">
    <w:name w:val="TOC Base"/>
    <w:rsid w:val="00697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EF1"/>
    <w:pPr>
      <w:tabs>
        <w:tab w:val="right" w:leader="dot" w:pos="9072"/>
      </w:tabs>
      <w:spacing w:before="40" w:after="40"/>
      <w:ind w:left="284"/>
    </w:pPr>
    <w:rPr>
      <w:rFonts w:ascii="Times New Roman" w:hAnsi="Times New Roman"/>
    </w:rPr>
  </w:style>
  <w:style w:type="paragraph" w:styleId="TOC1">
    <w:name w:val="toc 1"/>
    <w:basedOn w:val="TOCBase"/>
    <w:next w:val="Normal"/>
    <w:rsid w:val="00697E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EF1"/>
    <w:pPr>
      <w:spacing w:before="5040"/>
      <w:jc w:val="center"/>
    </w:pPr>
    <w:rPr>
      <w:sz w:val="48"/>
      <w:szCs w:val="72"/>
      <w:lang w:val="en-US"/>
    </w:rPr>
  </w:style>
  <w:style w:type="character" w:customStyle="1" w:styleId="TitleChar">
    <w:name w:val="Title Char"/>
    <w:basedOn w:val="DefaultParagraphFont"/>
    <w:link w:val="Title"/>
    <w:rsid w:val="00697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EF1"/>
    <w:pPr>
      <w:tabs>
        <w:tab w:val="left" w:pos="3600"/>
        <w:tab w:val="left" w:pos="3958"/>
      </w:tabs>
    </w:pPr>
  </w:style>
  <w:style w:type="paragraph" w:customStyle="1" w:styleId="Note">
    <w:name w:val="Note"/>
    <w:basedOn w:val="BodyText"/>
    <w:rsid w:val="00697E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EF1"/>
    <w:pPr>
      <w:framePr w:wrap="auto" w:hAnchor="text" w:y="6049"/>
    </w:pPr>
    <w:rPr>
      <w:color w:val="000000"/>
      <w:sz w:val="40"/>
    </w:rPr>
  </w:style>
  <w:style w:type="paragraph" w:customStyle="1" w:styleId="TOCTitle">
    <w:name w:val="TOCTitle"/>
    <w:basedOn w:val="Heading1"/>
    <w:rsid w:val="00697EF1"/>
    <w:pPr>
      <w:spacing w:after="240"/>
      <w:jc w:val="center"/>
      <w:outlineLvl w:val="9"/>
    </w:pPr>
    <w:rPr>
      <w:caps/>
    </w:rPr>
  </w:style>
  <w:style w:type="paragraph" w:customStyle="1" w:styleId="Version">
    <w:name w:val="Version"/>
    <w:rsid w:val="00697E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EF1"/>
    <w:pPr>
      <w:numPr>
        <w:numId w:val="13"/>
      </w:numPr>
      <w:tabs>
        <w:tab w:val="clear" w:pos="680"/>
      </w:tabs>
    </w:pPr>
  </w:style>
  <w:style w:type="paragraph" w:styleId="Index1">
    <w:name w:val="index 1"/>
    <w:basedOn w:val="Normal"/>
    <w:next w:val="Normal"/>
    <w:semiHidden/>
    <w:rsid w:val="00697EF1"/>
    <w:pPr>
      <w:keepNext w:val="0"/>
      <w:tabs>
        <w:tab w:val="right" w:pos="4176"/>
      </w:tabs>
      <w:ind w:left="198" w:hanging="198"/>
    </w:pPr>
    <w:rPr>
      <w:rFonts w:ascii="Garamond" w:hAnsi="Garamond"/>
    </w:rPr>
  </w:style>
  <w:style w:type="paragraph" w:styleId="IndexHeading">
    <w:name w:val="index heading"/>
    <w:basedOn w:val="Normal"/>
    <w:next w:val="Index1"/>
    <w:semiHidden/>
    <w:rsid w:val="00697EF1"/>
    <w:pPr>
      <w:spacing w:before="120" w:after="120"/>
    </w:pPr>
    <w:rPr>
      <w:rFonts w:ascii="Arial" w:hAnsi="Arial"/>
      <w:b/>
      <w:color w:val="918585"/>
      <w:sz w:val="24"/>
    </w:rPr>
  </w:style>
  <w:style w:type="paragraph" w:styleId="Header">
    <w:name w:val="header"/>
    <w:basedOn w:val="Normal"/>
    <w:link w:val="HeaderChar"/>
    <w:rsid w:val="00697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EF1"/>
    <w:rPr>
      <w:rFonts w:ascii="Times New Roman" w:eastAsia="Times New Roman" w:hAnsi="Times New Roman" w:cs="Times New Roman"/>
      <w:sz w:val="16"/>
      <w:szCs w:val="20"/>
      <w:lang w:val="en-GB" w:eastAsia="en-US"/>
    </w:rPr>
  </w:style>
  <w:style w:type="paragraph" w:customStyle="1" w:styleId="Chapter">
    <w:name w:val="Chapter"/>
    <w:basedOn w:val="Normal"/>
    <w:rsid w:val="00697EF1"/>
    <w:pPr>
      <w:spacing w:before="240"/>
    </w:pPr>
    <w:rPr>
      <w:rFonts w:ascii="Times New Roman" w:hAnsi="Times New Roman"/>
      <w:smallCaps/>
      <w:spacing w:val="80"/>
      <w:sz w:val="28"/>
    </w:rPr>
  </w:style>
  <w:style w:type="paragraph" w:customStyle="1" w:styleId="InChapter">
    <w:name w:val="InChapter"/>
    <w:basedOn w:val="Heading3"/>
    <w:rsid w:val="00697EF1"/>
    <w:pPr>
      <w:spacing w:after="240"/>
      <w:outlineLvl w:val="9"/>
    </w:pPr>
    <w:rPr>
      <w:noProof/>
    </w:rPr>
  </w:style>
  <w:style w:type="paragraph" w:styleId="Index2">
    <w:name w:val="index 2"/>
    <w:basedOn w:val="Normal"/>
    <w:next w:val="Normal"/>
    <w:semiHidden/>
    <w:rsid w:val="00697EF1"/>
    <w:pPr>
      <w:tabs>
        <w:tab w:val="right" w:pos="4176"/>
      </w:tabs>
      <w:ind w:left="568" w:hanging="284"/>
    </w:pPr>
    <w:rPr>
      <w:rFonts w:ascii="Garamond" w:hAnsi="Garamond"/>
    </w:rPr>
  </w:style>
  <w:style w:type="paragraph" w:customStyle="1" w:styleId="Byline">
    <w:name w:val="Byline"/>
    <w:rsid w:val="00697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EF1"/>
    <w:pPr>
      <w:tabs>
        <w:tab w:val="clear" w:pos="3600"/>
        <w:tab w:val="clear" w:pos="3958"/>
      </w:tabs>
      <w:jc w:val="right"/>
    </w:pPr>
  </w:style>
  <w:style w:type="character" w:styleId="Emphasis">
    <w:name w:val="Emphasis"/>
    <w:basedOn w:val="DefaultParagraphFont"/>
    <w:qFormat/>
    <w:rsid w:val="00697EF1"/>
    <w:rPr>
      <w:i/>
    </w:rPr>
  </w:style>
  <w:style w:type="paragraph" w:styleId="Caption">
    <w:name w:val="caption"/>
    <w:basedOn w:val="BodyText"/>
    <w:next w:val="Normal"/>
    <w:qFormat/>
    <w:rsid w:val="00697EF1"/>
    <w:pPr>
      <w:framePr w:w="2268" w:hSpace="181" w:vSpace="181" w:wrap="around" w:vAnchor="text" w:hAnchor="page" w:x="1135" w:y="285" w:anchorLock="1"/>
    </w:pPr>
    <w:rPr>
      <w:i/>
    </w:rPr>
  </w:style>
  <w:style w:type="paragraph" w:customStyle="1" w:styleId="MiniTOCTitle">
    <w:name w:val="MiniTOCTitle"/>
    <w:basedOn w:val="Heading4"/>
    <w:rsid w:val="00697EF1"/>
    <w:pPr>
      <w:spacing w:before="240"/>
      <w:outlineLvl w:val="9"/>
    </w:pPr>
    <w:rPr>
      <w:noProof/>
      <w:sz w:val="24"/>
    </w:rPr>
  </w:style>
  <w:style w:type="paragraph" w:customStyle="1" w:styleId="MiniTOCItem">
    <w:name w:val="MiniTOCItem"/>
    <w:basedOn w:val="ListBullet"/>
    <w:rsid w:val="00697EF1"/>
    <w:pPr>
      <w:numPr>
        <w:numId w:val="0"/>
      </w:numPr>
      <w:tabs>
        <w:tab w:val="right" w:leader="dot" w:pos="6521"/>
      </w:tabs>
      <w:spacing w:before="0" w:after="0"/>
    </w:pPr>
  </w:style>
  <w:style w:type="paragraph" w:customStyle="1" w:styleId="TOFTitle">
    <w:name w:val="TOFTitle"/>
    <w:basedOn w:val="TOCTitle"/>
    <w:rsid w:val="00697EF1"/>
  </w:style>
  <w:style w:type="paragraph" w:styleId="TableofFigures">
    <w:name w:val="table of figures"/>
    <w:basedOn w:val="Normal"/>
    <w:next w:val="Normal"/>
    <w:semiHidden/>
    <w:rsid w:val="00697EF1"/>
    <w:pPr>
      <w:tabs>
        <w:tab w:val="right" w:leader="dot" w:pos="9072"/>
      </w:tabs>
      <w:ind w:left="970" w:hanging="403"/>
    </w:pPr>
    <w:rPr>
      <w:rFonts w:ascii="Times New Roman" w:hAnsi="Times New Roman"/>
      <w:b/>
    </w:rPr>
  </w:style>
  <w:style w:type="paragraph" w:styleId="ListNumber">
    <w:name w:val="List Number"/>
    <w:basedOn w:val="List"/>
    <w:rsid w:val="00697EF1"/>
    <w:pPr>
      <w:numPr>
        <w:numId w:val="10"/>
      </w:numPr>
    </w:pPr>
  </w:style>
  <w:style w:type="character" w:customStyle="1" w:styleId="WingdingSymbols">
    <w:name w:val="Wingding Symbols"/>
    <w:rsid w:val="00697EF1"/>
    <w:rPr>
      <w:rFonts w:ascii="Wingdings" w:hAnsi="Wingdings"/>
    </w:rPr>
  </w:style>
  <w:style w:type="paragraph" w:customStyle="1" w:styleId="TableHeading">
    <w:name w:val="Table Heading"/>
    <w:basedOn w:val="HeadingBase"/>
    <w:rsid w:val="00697EF1"/>
    <w:pPr>
      <w:keepLines/>
      <w:pBdr>
        <w:bottom w:val="single" w:sz="6" w:space="1" w:color="918585"/>
      </w:pBdr>
      <w:spacing w:before="240"/>
    </w:pPr>
  </w:style>
  <w:style w:type="character" w:customStyle="1" w:styleId="HotSpot">
    <w:name w:val="HotSpot"/>
    <w:rsid w:val="00697EF1"/>
    <w:rPr>
      <w:color w:val="0033CC"/>
      <w:u w:val="none"/>
    </w:rPr>
  </w:style>
  <w:style w:type="paragraph" w:customStyle="1" w:styleId="BodyTextRight">
    <w:name w:val="Body Text Right"/>
    <w:basedOn w:val="BodyText"/>
    <w:rsid w:val="00697EF1"/>
    <w:pPr>
      <w:spacing w:before="0" w:after="0"/>
      <w:jc w:val="right"/>
    </w:pPr>
  </w:style>
  <w:style w:type="paragraph" w:styleId="Index3">
    <w:name w:val="index 3"/>
    <w:basedOn w:val="ListNumber2"/>
    <w:next w:val="Normal"/>
    <w:semiHidden/>
    <w:rsid w:val="00697EF1"/>
    <w:pPr>
      <w:numPr>
        <w:numId w:val="0"/>
      </w:numPr>
      <w:tabs>
        <w:tab w:val="right" w:leader="dot" w:pos="4176"/>
      </w:tabs>
    </w:pPr>
  </w:style>
  <w:style w:type="paragraph" w:styleId="ListNumber2">
    <w:name w:val="List Number 2"/>
    <w:basedOn w:val="List2"/>
    <w:rsid w:val="00697EF1"/>
    <w:pPr>
      <w:numPr>
        <w:numId w:val="9"/>
      </w:numPr>
      <w:tabs>
        <w:tab w:val="clear" w:pos="1060"/>
      </w:tabs>
    </w:pPr>
  </w:style>
  <w:style w:type="paragraph" w:customStyle="1" w:styleId="MarginNote">
    <w:name w:val="Margin Note"/>
    <w:basedOn w:val="BodyText"/>
    <w:rsid w:val="00697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E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EF1"/>
    <w:rPr>
      <w:sz w:val="32"/>
    </w:rPr>
  </w:style>
  <w:style w:type="paragraph" w:customStyle="1" w:styleId="HeadingProcedure">
    <w:name w:val="Heading Procedure"/>
    <w:basedOn w:val="HeadingBase"/>
    <w:next w:val="Normal"/>
    <w:rsid w:val="00697EF1"/>
    <w:pPr>
      <w:tabs>
        <w:tab w:val="left" w:pos="0"/>
      </w:tabs>
      <w:spacing w:before="120" w:after="60"/>
    </w:pPr>
    <w:rPr>
      <w:i/>
      <w:color w:val="918585"/>
      <w:sz w:val="22"/>
    </w:rPr>
  </w:style>
  <w:style w:type="paragraph" w:customStyle="1" w:styleId="TableBodyText">
    <w:name w:val="Table Body Text"/>
    <w:basedOn w:val="BodyText"/>
    <w:rsid w:val="00697EF1"/>
    <w:pPr>
      <w:spacing w:before="60" w:after="60"/>
    </w:pPr>
  </w:style>
  <w:style w:type="paragraph" w:styleId="ListContinue">
    <w:name w:val="List Continue"/>
    <w:basedOn w:val="List"/>
    <w:rsid w:val="00697EF1"/>
    <w:pPr>
      <w:ind w:firstLine="0"/>
    </w:pPr>
  </w:style>
  <w:style w:type="paragraph" w:customStyle="1" w:styleId="ListNote">
    <w:name w:val="List Note"/>
    <w:basedOn w:val="List"/>
    <w:rsid w:val="00697EF1"/>
    <w:pPr>
      <w:pBdr>
        <w:top w:val="single" w:sz="6" w:space="2" w:color="918585"/>
        <w:bottom w:val="single" w:sz="6" w:space="2" w:color="918585"/>
      </w:pBdr>
      <w:tabs>
        <w:tab w:val="left" w:pos="1021"/>
      </w:tabs>
      <w:ind w:firstLine="0"/>
    </w:pPr>
  </w:style>
  <w:style w:type="paragraph" w:customStyle="1" w:styleId="Warning">
    <w:name w:val="Warning"/>
    <w:basedOn w:val="BodyText"/>
    <w:rsid w:val="00697EF1"/>
    <w:pPr>
      <w:shd w:val="clear" w:color="auto" w:fill="D9D9D9"/>
      <w:tabs>
        <w:tab w:val="left" w:pos="992"/>
      </w:tabs>
      <w:ind w:left="119" w:right="119"/>
    </w:pPr>
    <w:rPr>
      <w:sz w:val="20"/>
    </w:rPr>
  </w:style>
  <w:style w:type="paragraph" w:customStyle="1" w:styleId="MarginIcons">
    <w:name w:val="Margin Icons"/>
    <w:basedOn w:val="BodyText"/>
    <w:rsid w:val="00697E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EF1"/>
    <w:rPr>
      <w:rFonts w:ascii="Courier New" w:hAnsi="Courier New"/>
    </w:rPr>
  </w:style>
  <w:style w:type="paragraph" w:customStyle="1" w:styleId="NoteBullet">
    <w:name w:val="Note Bullet"/>
    <w:basedOn w:val="Note"/>
    <w:rsid w:val="00697EF1"/>
    <w:pPr>
      <w:tabs>
        <w:tab w:val="clear" w:pos="680"/>
      </w:tabs>
      <w:spacing w:before="60" w:after="60"/>
    </w:pPr>
  </w:style>
  <w:style w:type="paragraph" w:customStyle="1" w:styleId="SubHeading2">
    <w:name w:val="SubHeading2"/>
    <w:basedOn w:val="HeadingBase"/>
    <w:rsid w:val="00697EF1"/>
    <w:pPr>
      <w:spacing w:before="240" w:after="60"/>
    </w:pPr>
    <w:rPr>
      <w:sz w:val="20"/>
    </w:rPr>
  </w:style>
  <w:style w:type="paragraph" w:customStyle="1" w:styleId="SubHeading1">
    <w:name w:val="SubHeading1"/>
    <w:basedOn w:val="HeadingBase"/>
    <w:rsid w:val="00697EF1"/>
    <w:pPr>
      <w:spacing w:before="240" w:after="60"/>
    </w:pPr>
    <w:rPr>
      <w:color w:val="918585"/>
      <w:sz w:val="22"/>
    </w:rPr>
  </w:style>
  <w:style w:type="paragraph" w:customStyle="1" w:styleId="SideHeading">
    <w:name w:val="Side Heading"/>
    <w:basedOn w:val="HeadingBase"/>
    <w:rsid w:val="00697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EF1"/>
    <w:pPr>
      <w:tabs>
        <w:tab w:val="num" w:pos="360"/>
      </w:tabs>
    </w:pPr>
  </w:style>
  <w:style w:type="paragraph" w:styleId="PlainText">
    <w:name w:val="Plain Text"/>
    <w:basedOn w:val="Normal"/>
    <w:link w:val="PlainTextChar"/>
    <w:rsid w:val="00697EF1"/>
    <w:rPr>
      <w:sz w:val="20"/>
    </w:rPr>
  </w:style>
  <w:style w:type="character" w:customStyle="1" w:styleId="PlainTextChar">
    <w:name w:val="Plain Text Char"/>
    <w:basedOn w:val="DefaultParagraphFont"/>
    <w:link w:val="PlainText"/>
    <w:rsid w:val="00697EF1"/>
    <w:rPr>
      <w:rFonts w:ascii="Courier New" w:eastAsia="Times New Roman" w:hAnsi="Courier New" w:cs="Times New Roman"/>
      <w:sz w:val="20"/>
      <w:szCs w:val="20"/>
      <w:lang w:eastAsia="en-US"/>
    </w:rPr>
  </w:style>
  <w:style w:type="character" w:customStyle="1" w:styleId="MenuOption">
    <w:name w:val="Menu Option"/>
    <w:basedOn w:val="DefaultParagraphFont"/>
    <w:rsid w:val="00697EF1"/>
    <w:rPr>
      <w:b/>
      <w:smallCaps/>
    </w:rPr>
  </w:style>
  <w:style w:type="paragraph" w:customStyle="1" w:styleId="TableListNumber">
    <w:name w:val="Table List Number"/>
    <w:basedOn w:val="ListNumber"/>
    <w:rsid w:val="00697EF1"/>
    <w:pPr>
      <w:numPr>
        <w:numId w:val="0"/>
      </w:numPr>
    </w:pPr>
  </w:style>
  <w:style w:type="paragraph" w:styleId="TOC4">
    <w:name w:val="toc 4"/>
    <w:basedOn w:val="TOCBase"/>
    <w:next w:val="Normal"/>
    <w:semiHidden/>
    <w:rsid w:val="00697EF1"/>
    <w:pPr>
      <w:tabs>
        <w:tab w:val="right" w:leader="dot" w:pos="9071"/>
      </w:tabs>
      <w:ind w:left="1701"/>
    </w:pPr>
  </w:style>
  <w:style w:type="paragraph" w:customStyle="1" w:styleId="ListAlpha">
    <w:name w:val="List Alpha"/>
    <w:basedOn w:val="List"/>
    <w:rsid w:val="00697EF1"/>
    <w:pPr>
      <w:numPr>
        <w:numId w:val="8"/>
      </w:numPr>
    </w:pPr>
  </w:style>
  <w:style w:type="paragraph" w:customStyle="1" w:styleId="ListAlpha2">
    <w:name w:val="List Alpha 2"/>
    <w:basedOn w:val="List2"/>
    <w:rsid w:val="00697EF1"/>
    <w:pPr>
      <w:numPr>
        <w:numId w:val="7"/>
      </w:numPr>
    </w:pPr>
  </w:style>
  <w:style w:type="paragraph" w:styleId="List2">
    <w:name w:val="List 2"/>
    <w:basedOn w:val="BodyText"/>
    <w:rsid w:val="00697EF1"/>
    <w:pPr>
      <w:tabs>
        <w:tab w:val="left" w:pos="680"/>
      </w:tabs>
      <w:spacing w:before="60" w:after="60"/>
      <w:ind w:left="680" w:hanging="340"/>
    </w:pPr>
  </w:style>
  <w:style w:type="paragraph" w:styleId="List3">
    <w:name w:val="List 3"/>
    <w:basedOn w:val="BodyText"/>
    <w:rsid w:val="00697EF1"/>
    <w:pPr>
      <w:tabs>
        <w:tab w:val="left" w:pos="1021"/>
      </w:tabs>
      <w:spacing w:before="60" w:after="60"/>
      <w:ind w:left="1020" w:hanging="340"/>
    </w:pPr>
  </w:style>
  <w:style w:type="paragraph" w:styleId="List4">
    <w:name w:val="List 4"/>
    <w:basedOn w:val="BodyText"/>
    <w:rsid w:val="00697EF1"/>
    <w:pPr>
      <w:tabs>
        <w:tab w:val="left" w:pos="1361"/>
      </w:tabs>
      <w:spacing w:before="60" w:after="60"/>
      <w:ind w:left="1361" w:hanging="340"/>
    </w:pPr>
  </w:style>
  <w:style w:type="paragraph" w:styleId="List5">
    <w:name w:val="List 5"/>
    <w:basedOn w:val="BodyText"/>
    <w:rsid w:val="00697EF1"/>
    <w:pPr>
      <w:tabs>
        <w:tab w:val="left" w:pos="1701"/>
      </w:tabs>
      <w:spacing w:before="60" w:after="60"/>
      <w:ind w:left="1701" w:hanging="340"/>
    </w:pPr>
  </w:style>
  <w:style w:type="paragraph" w:styleId="ListBullet3">
    <w:name w:val="List Bullet 3"/>
    <w:basedOn w:val="List3"/>
    <w:rsid w:val="00697EF1"/>
    <w:pPr>
      <w:numPr>
        <w:numId w:val="14"/>
      </w:numPr>
      <w:tabs>
        <w:tab w:val="clear" w:pos="1021"/>
      </w:tabs>
      <w:ind w:left="1037" w:hanging="357"/>
    </w:pPr>
  </w:style>
  <w:style w:type="paragraph" w:styleId="ListBullet4">
    <w:name w:val="List Bullet 4"/>
    <w:basedOn w:val="List4"/>
    <w:rsid w:val="00697EF1"/>
    <w:pPr>
      <w:numPr>
        <w:numId w:val="2"/>
      </w:numPr>
    </w:pPr>
  </w:style>
  <w:style w:type="paragraph" w:styleId="ListBullet5">
    <w:name w:val="List Bullet 5"/>
    <w:basedOn w:val="List5"/>
    <w:rsid w:val="00697EF1"/>
    <w:pPr>
      <w:numPr>
        <w:numId w:val="3"/>
      </w:numPr>
    </w:pPr>
  </w:style>
  <w:style w:type="paragraph" w:styleId="ListContinue2">
    <w:name w:val="List Continue 2"/>
    <w:basedOn w:val="List2"/>
    <w:rsid w:val="00697EF1"/>
    <w:pPr>
      <w:ind w:firstLine="0"/>
    </w:pPr>
  </w:style>
  <w:style w:type="paragraph" w:styleId="ListContinue3">
    <w:name w:val="List Continue 3"/>
    <w:basedOn w:val="List3"/>
    <w:rsid w:val="00697EF1"/>
    <w:pPr>
      <w:ind w:left="1021" w:firstLine="0"/>
    </w:pPr>
  </w:style>
  <w:style w:type="paragraph" w:styleId="ListContinue4">
    <w:name w:val="List Continue 4"/>
    <w:basedOn w:val="List4"/>
    <w:rsid w:val="00697EF1"/>
    <w:pPr>
      <w:ind w:firstLine="0"/>
    </w:pPr>
  </w:style>
  <w:style w:type="paragraph" w:styleId="ListContinue5">
    <w:name w:val="List Continue 5"/>
    <w:basedOn w:val="List5"/>
    <w:rsid w:val="00697EF1"/>
    <w:pPr>
      <w:ind w:firstLine="0"/>
    </w:pPr>
  </w:style>
  <w:style w:type="paragraph" w:styleId="ListNumber3">
    <w:name w:val="List Number 3"/>
    <w:basedOn w:val="List3"/>
    <w:rsid w:val="00697EF1"/>
    <w:pPr>
      <w:numPr>
        <w:numId w:val="4"/>
      </w:numPr>
    </w:pPr>
  </w:style>
  <w:style w:type="paragraph" w:styleId="ListNumber4">
    <w:name w:val="List Number 4"/>
    <w:basedOn w:val="List4"/>
    <w:rsid w:val="00697EF1"/>
    <w:pPr>
      <w:numPr>
        <w:numId w:val="5"/>
      </w:numPr>
    </w:pPr>
  </w:style>
  <w:style w:type="paragraph" w:styleId="ListNumber5">
    <w:name w:val="List Number 5"/>
    <w:basedOn w:val="List5"/>
    <w:rsid w:val="00697EF1"/>
    <w:pPr>
      <w:numPr>
        <w:numId w:val="6"/>
      </w:numPr>
    </w:pPr>
  </w:style>
  <w:style w:type="paragraph" w:styleId="BlockText">
    <w:name w:val="Block Text"/>
    <w:basedOn w:val="Normal"/>
    <w:rsid w:val="00697EF1"/>
    <w:pPr>
      <w:spacing w:after="120"/>
      <w:ind w:left="1440" w:right="1440"/>
    </w:pPr>
  </w:style>
  <w:style w:type="character" w:customStyle="1" w:styleId="Subscript">
    <w:name w:val="Subscript"/>
    <w:basedOn w:val="DefaultParagraphFont"/>
    <w:rsid w:val="00697EF1"/>
    <w:rPr>
      <w:sz w:val="16"/>
      <w:vertAlign w:val="subscript"/>
    </w:rPr>
  </w:style>
  <w:style w:type="character" w:customStyle="1" w:styleId="Superscript">
    <w:name w:val="Superscript"/>
    <w:basedOn w:val="DefaultParagraphFont"/>
    <w:rsid w:val="00697EF1"/>
    <w:rPr>
      <w:sz w:val="16"/>
      <w:vertAlign w:val="superscript"/>
    </w:rPr>
  </w:style>
  <w:style w:type="character" w:customStyle="1" w:styleId="Symbols">
    <w:name w:val="Symbols"/>
    <w:basedOn w:val="DefaultParagraphFont"/>
    <w:rsid w:val="00697EF1"/>
    <w:rPr>
      <w:rFonts w:ascii="Symbol" w:hAnsi="Symbol"/>
    </w:rPr>
  </w:style>
  <w:style w:type="character" w:customStyle="1" w:styleId="MenuOptions">
    <w:name w:val="Menu Options"/>
    <w:basedOn w:val="DefaultParagraphFont"/>
    <w:rsid w:val="00697EF1"/>
    <w:rPr>
      <w:rFonts w:ascii="Arial Narrow" w:hAnsi="Arial Narrow"/>
      <w:smallCaps/>
    </w:rPr>
  </w:style>
  <w:style w:type="character" w:customStyle="1" w:styleId="Buttons">
    <w:name w:val="Buttons"/>
    <w:basedOn w:val="DefaultParagraphFont"/>
    <w:rsid w:val="00697EF1"/>
    <w:rPr>
      <w:b/>
    </w:rPr>
  </w:style>
  <w:style w:type="character" w:customStyle="1" w:styleId="Underlined">
    <w:name w:val="Underlined"/>
    <w:basedOn w:val="DefaultParagraphFont"/>
    <w:rsid w:val="00697EF1"/>
    <w:rPr>
      <w:u w:val="single"/>
    </w:rPr>
  </w:style>
  <w:style w:type="paragraph" w:customStyle="1" w:styleId="TableBodyTextRight">
    <w:name w:val="Table Body Text Right"/>
    <w:basedOn w:val="TableBodyText"/>
    <w:rsid w:val="00697EF1"/>
    <w:pPr>
      <w:widowControl w:val="0"/>
      <w:autoSpaceDE w:val="0"/>
      <w:autoSpaceDN w:val="0"/>
      <w:adjustRightInd w:val="0"/>
      <w:jc w:val="right"/>
    </w:pPr>
    <w:rPr>
      <w:rFonts w:cs="Arial"/>
      <w:szCs w:val="18"/>
    </w:rPr>
  </w:style>
  <w:style w:type="paragraph" w:customStyle="1" w:styleId="CopyrightText">
    <w:name w:val="Copyright Text"/>
    <w:basedOn w:val="BodyText"/>
    <w:rsid w:val="00697EF1"/>
    <w:rPr>
      <w:sz w:val="18"/>
    </w:rPr>
  </w:style>
  <w:style w:type="paragraph" w:customStyle="1" w:styleId="BodySmallRight">
    <w:name w:val="Body Small Right"/>
    <w:basedOn w:val="BodyTextRight"/>
    <w:rsid w:val="00697EF1"/>
    <w:rPr>
      <w:sz w:val="18"/>
      <w:szCs w:val="18"/>
    </w:rPr>
  </w:style>
  <w:style w:type="paragraph" w:customStyle="1" w:styleId="MarginEdition">
    <w:name w:val="Margin Edition"/>
    <w:basedOn w:val="MarginNote"/>
    <w:rsid w:val="00697EF1"/>
    <w:pPr>
      <w:spacing w:before="0" w:after="0"/>
    </w:pPr>
    <w:rPr>
      <w:rFonts w:ascii="Times New Roman" w:hAnsi="Times New Roman"/>
      <w:color w:val="999999"/>
    </w:rPr>
  </w:style>
  <w:style w:type="paragraph" w:customStyle="1" w:styleId="Spacer">
    <w:name w:val="Spacer"/>
    <w:basedOn w:val="Normal"/>
    <w:rsid w:val="00697EF1"/>
    <w:rPr>
      <w:sz w:val="2"/>
      <w:szCs w:val="2"/>
    </w:rPr>
  </w:style>
  <w:style w:type="character" w:customStyle="1" w:styleId="Small">
    <w:name w:val="Small"/>
    <w:basedOn w:val="DefaultParagraphFont"/>
    <w:rsid w:val="00697EF1"/>
    <w:rPr>
      <w:sz w:val="16"/>
    </w:rPr>
  </w:style>
  <w:style w:type="paragraph" w:customStyle="1" w:styleId="WideTable">
    <w:name w:val="Wide Table"/>
    <w:basedOn w:val="Normal"/>
    <w:rsid w:val="00697EF1"/>
    <w:pPr>
      <w:ind w:left="-1418"/>
    </w:pPr>
    <w:rPr>
      <w:sz w:val="2"/>
      <w:szCs w:val="2"/>
    </w:rPr>
  </w:style>
  <w:style w:type="character" w:styleId="PageNumber">
    <w:name w:val="page number"/>
    <w:basedOn w:val="DefaultParagraphFont"/>
    <w:rsid w:val="00697EF1"/>
  </w:style>
  <w:style w:type="paragraph" w:styleId="Quote">
    <w:name w:val="Quote"/>
    <w:basedOn w:val="Heading1"/>
    <w:link w:val="QuoteChar"/>
    <w:qFormat/>
    <w:rsid w:val="00697EF1"/>
    <w:rPr>
      <w:b w:val="0"/>
      <w:sz w:val="72"/>
      <w:szCs w:val="72"/>
      <w:lang w:val="en-NZ"/>
    </w:rPr>
  </w:style>
  <w:style w:type="character" w:customStyle="1" w:styleId="QuoteChar">
    <w:name w:val="Quote Char"/>
    <w:basedOn w:val="DefaultParagraphFont"/>
    <w:link w:val="Quote"/>
    <w:rsid w:val="00697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EF1"/>
    <w:pPr>
      <w:pageBreakBefore/>
    </w:pPr>
  </w:style>
  <w:style w:type="paragraph" w:customStyle="1" w:styleId="Border">
    <w:name w:val="Border"/>
    <w:basedOn w:val="Normal"/>
    <w:qFormat/>
    <w:rsid w:val="00697E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EF1"/>
    <w:rPr>
      <w:b/>
      <w:bCs/>
      <w:i/>
      <w:iCs/>
      <w:color w:val="auto"/>
    </w:rPr>
  </w:style>
  <w:style w:type="paragraph" w:styleId="IntenseQuote">
    <w:name w:val="Intense Quote"/>
    <w:basedOn w:val="Normal"/>
    <w:next w:val="Normal"/>
    <w:link w:val="IntenseQuoteChar"/>
    <w:uiPriority w:val="30"/>
    <w:qFormat/>
    <w:rsid w:val="00697E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E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EF1"/>
    <w:rPr>
      <w:smallCaps/>
      <w:color w:val="auto"/>
      <w:u w:val="single"/>
    </w:rPr>
  </w:style>
  <w:style w:type="character" w:styleId="IntenseReference">
    <w:name w:val="Intense Reference"/>
    <w:basedOn w:val="DefaultParagraphFont"/>
    <w:uiPriority w:val="32"/>
    <w:qFormat/>
    <w:rsid w:val="00697EF1"/>
    <w:rPr>
      <w:b/>
      <w:bCs/>
      <w:smallCaps/>
      <w:color w:val="auto"/>
      <w:spacing w:val="5"/>
      <w:u w:val="single"/>
    </w:rPr>
  </w:style>
  <w:style w:type="paragraph" w:customStyle="1" w:styleId="2ColumnHeading">
    <w:name w:val="2Column Heading"/>
    <w:basedOn w:val="BodyText"/>
    <w:qFormat/>
    <w:rsid w:val="00697EF1"/>
    <w:pPr>
      <w:spacing w:after="60"/>
      <w:ind w:left="-2268"/>
    </w:pPr>
    <w:rPr>
      <w:b/>
    </w:rPr>
  </w:style>
  <w:style w:type="paragraph" w:customStyle="1" w:styleId="Heading1TOC">
    <w:name w:val="Heading1 TOC"/>
    <w:basedOn w:val="Normal"/>
    <w:qFormat/>
    <w:rsid w:val="00697EF1"/>
    <w:pPr>
      <w:spacing w:before="240" w:after="120"/>
    </w:pPr>
    <w:rPr>
      <w:rFonts w:ascii="Times New Roman" w:hAnsi="Times New Roman"/>
      <w:b/>
      <w:sz w:val="32"/>
    </w:rPr>
  </w:style>
  <w:style w:type="paragraph" w:customStyle="1" w:styleId="Heading2TOC">
    <w:name w:val="Heading2 TOC"/>
    <w:basedOn w:val="Normal"/>
    <w:qFormat/>
    <w:rsid w:val="00697EF1"/>
    <w:pPr>
      <w:spacing w:before="240" w:after="60"/>
    </w:pPr>
    <w:rPr>
      <w:rFonts w:ascii="Times New Roman" w:hAnsi="Times New Roman"/>
      <w:b/>
      <w:sz w:val="28"/>
    </w:rPr>
  </w:style>
  <w:style w:type="character" w:customStyle="1" w:styleId="Underline">
    <w:name w:val="Underline"/>
    <w:basedOn w:val="DefaultParagraphFont"/>
    <w:qFormat/>
    <w:rsid w:val="00697EF1"/>
    <w:rPr>
      <w:u w:val="single"/>
    </w:rPr>
  </w:style>
  <w:style w:type="paragraph" w:styleId="BalloonText">
    <w:name w:val="Balloon Text"/>
    <w:basedOn w:val="Normal"/>
    <w:link w:val="BalloonTextChar"/>
    <w:rsid w:val="00697EF1"/>
    <w:rPr>
      <w:rFonts w:ascii="Tahoma" w:hAnsi="Tahoma" w:cs="Tahoma"/>
      <w:sz w:val="16"/>
      <w:szCs w:val="16"/>
    </w:rPr>
  </w:style>
  <w:style w:type="character" w:customStyle="1" w:styleId="BalloonTextChar">
    <w:name w:val="Balloon Text Char"/>
    <w:basedOn w:val="DefaultParagraphFont"/>
    <w:link w:val="BalloonText"/>
    <w:rsid w:val="00697E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E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7E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EF1"/>
    <w:rPr>
      <w:b/>
      <w:color w:val="660033"/>
      <w:spacing w:val="0"/>
    </w:rPr>
  </w:style>
  <w:style w:type="paragraph" w:customStyle="1" w:styleId="Nameditemlist">
    <w:name w:val="Named item list"/>
    <w:basedOn w:val="BodyText"/>
    <w:qFormat/>
    <w:rsid w:val="00697E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1349</Words>
  <Characters>8627</Characters>
  <Application>Microsoft Office Word</Application>
  <DocSecurity>0</DocSecurity>
  <Lines>375</Lines>
  <Paragraphs>195</Paragraphs>
  <ScaleCrop>false</ScaleCrop>
  <Company>Author-it Software Corporation Ltd.</Company>
  <LinksUpToDate>false</LinksUpToDate>
  <CharactersWithSpaces>9781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SITHASC007A Prepare meat, poultry, seafood and vegetables for Asian cuisines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2012-10-10T01:50:00Z</dcterms:created>
  <dcterms:modified xsi:type="dcterms:W3CDTF">2012-10-10T01:50:00Z</dcterms:modified>
</cp:coreProperties>
</file>