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E15B14" w:rsidP="00E15B1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SITXMPR010 Create a promotional display or stand</w:t>
      </w:r>
      <w:r>
        <w:fldChar w:fldCharType="end"/>
      </w:r>
    </w:p>
    <w:p w:rsidR="00E15B14" w:rsidP="00E15B14">
      <w:pPr>
        <w:pStyle w:val="Version"/>
        <w:sectPr w:rsidSect="006106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1063E" w:rsidP="0061063E">
      <w:pPr>
        <w:pStyle w:val="SuperHeading"/>
      </w:pPr>
      <w:r w:rsidRPr="0061063E">
        <w:t>SITXMPR010 Create a promotional display or stand</w:t>
      </w:r>
    </w:p>
    <w:p w:rsidR="00000000" w:rsidRPr="0061063E" w:rsidP="0061063E">
      <w:pPr>
        <w:pStyle w:val="Heading1"/>
      </w:pPr>
      <w:bookmarkStart w:id="1" w:name="O_1232903"/>
      <w:bookmarkEnd w:id="1"/>
      <w:r w:rsidRPr="0061063E">
        <w:t>Modification History</w:t>
      </w:r>
    </w:p>
    <w:p w:rsidR="00000000" w:rsidRPr="0061063E" w:rsidP="00E15B14">
      <w:pPr>
        <w:pStyle w:val="BodyText"/>
      </w:pPr>
      <w:r w:rsidRPr="0061063E">
        <w:t>Not applicable.</w:t>
      </w:r>
    </w:p>
    <w:p w:rsidR="00000000" w:rsidRPr="0061063E" w:rsidP="0061063E">
      <w:pPr>
        <w:pStyle w:val="Heading1"/>
      </w:pPr>
      <w:bookmarkStart w:id="2" w:name="O_1232910"/>
      <w:bookmarkEnd w:id="2"/>
      <w:r w:rsidRPr="0061063E">
        <w:t>Application</w:t>
      </w:r>
    </w:p>
    <w:p w:rsidR="00000000" w:rsidRPr="0061063E" w:rsidP="00E15B14">
      <w:pPr>
        <w:pStyle w:val="BodyText"/>
      </w:pPr>
      <w:r w:rsidRPr="0061063E">
        <w:t>This unit describes the performance outcomes, skills and knowledge required to create a displays and stands for promotional purposes. It requires the ability to identify the objec</w:t>
      </w:r>
      <w:r w:rsidRPr="0061063E">
        <w:t>tives of the promotion, determine the audience, select all display components and assemble the display or stand.</w:t>
      </w:r>
    </w:p>
    <w:p w:rsidR="00000000" w:rsidRPr="0061063E" w:rsidP="00E15B14">
      <w:pPr>
        <w:pStyle w:val="BodyText"/>
      </w:pPr>
      <w:r w:rsidRPr="0061063E">
        <w:t>The unit applies to all industry sectors. Individuals working with some level of independence create displays at promotional events or within t</w:t>
      </w:r>
      <w:r w:rsidRPr="0061063E">
        <w:t>heir own workplaces. This includes sales and marketing personnel, managers and owner-operators of small businesses. Displays may be used to promote any product, service, event; group of products cooperatively marketed, or city, region or tourism precinct.</w:t>
      </w:r>
    </w:p>
    <w:p w:rsidR="00000000" w:rsidRPr="0061063E" w:rsidP="00E15B14">
      <w:pPr>
        <w:pStyle w:val="BodyText"/>
      </w:pPr>
      <w:r w:rsidRPr="0061063E">
        <w:t>This unit does not cover the skills of a specialist display designer or visual merchandiser.</w:t>
      </w:r>
    </w:p>
    <w:p w:rsidR="00000000" w:rsidRPr="0061063E" w:rsidP="00E15B14">
      <w:pPr>
        <w:pStyle w:val="BodyText"/>
      </w:pPr>
      <w:r w:rsidRPr="0061063E">
        <w:t>The skills in this unit must be applied in accordance with Commonwealth and State/Territory legislation, Australian/New Zealand standards and industry codes of pra</w:t>
      </w:r>
      <w:r w:rsidRPr="0061063E">
        <w:t>ctice.</w:t>
      </w:r>
    </w:p>
    <w:p w:rsidR="00000000" w:rsidRPr="0061063E" w:rsidP="00E15B14">
      <w:pPr>
        <w:pStyle w:val="BodyText"/>
      </w:pPr>
      <w:r w:rsidRPr="0061063E">
        <w:t>No occupational licensing, certification or specific legislative requirements apply to this unit at the time of publication.</w:t>
      </w:r>
    </w:p>
    <w:p w:rsidR="00000000" w:rsidRPr="0061063E" w:rsidP="0061063E">
      <w:pPr>
        <w:pStyle w:val="Heading1"/>
      </w:pPr>
      <w:bookmarkStart w:id="3" w:name="O_1232909"/>
      <w:bookmarkEnd w:id="3"/>
      <w:r w:rsidRPr="0061063E">
        <w:t>Pre-requisite Unit</w:t>
      </w:r>
    </w:p>
    <w:p w:rsidR="00000000" w:rsidRPr="0061063E" w:rsidP="00E15B14">
      <w:pPr>
        <w:pStyle w:val="BodyText"/>
      </w:pPr>
      <w:r w:rsidRPr="0061063E">
        <w:t>Nil</w:t>
      </w:r>
    </w:p>
    <w:p w:rsidR="00000000" w:rsidRPr="0061063E" w:rsidP="0061063E">
      <w:pPr>
        <w:pStyle w:val="Heading1"/>
      </w:pPr>
      <w:bookmarkStart w:id="4" w:name="O_1232908"/>
      <w:bookmarkEnd w:id="4"/>
      <w:r w:rsidRPr="0061063E">
        <w:t>Competency Field</w:t>
      </w:r>
    </w:p>
    <w:p w:rsidR="00000000" w:rsidRPr="0061063E" w:rsidP="00E15B14">
      <w:pPr>
        <w:pStyle w:val="BodyText"/>
      </w:pPr>
      <w:r w:rsidRPr="0061063E">
        <w:t xml:space="preserve">Marketing and Public Relations </w:t>
      </w:r>
    </w:p>
    <w:p w:rsidR="00000000" w:rsidRPr="0061063E" w:rsidP="0061063E">
      <w:pPr>
        <w:pStyle w:val="Heading1"/>
      </w:pPr>
      <w:bookmarkStart w:id="5" w:name="O_1232907"/>
      <w:bookmarkEnd w:id="5"/>
      <w:r w:rsidRPr="0061063E">
        <w:t>Unit Sector</w:t>
      </w:r>
    </w:p>
    <w:p w:rsidR="00000000" w:rsidRPr="0061063E" w:rsidP="00E15B14">
      <w:pPr>
        <w:pStyle w:val="BodyText"/>
      </w:pPr>
      <w:r w:rsidRPr="0061063E">
        <w:t>Cross-Sector</w:t>
      </w:r>
    </w:p>
    <w:p w:rsidR="00000000" w:rsidRPr="0061063E" w:rsidP="0061063E">
      <w:pPr>
        <w:pStyle w:val="Heading1"/>
      </w:pPr>
      <w:bookmarkStart w:id="6" w:name="O_1232906"/>
      <w:bookmarkEnd w:id="6"/>
      <w:r w:rsidRPr="0061063E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SpecialBold"/>
              </w:rPr>
              <w:t>PERFORMANCE</w:t>
            </w:r>
            <w:r w:rsidRPr="0061063E">
              <w:t xml:space="preserve"> </w:t>
            </w:r>
            <w:r w:rsidRPr="0061063E">
              <w:rPr>
                <w:rStyle w:val="SpecialBold"/>
              </w:rPr>
              <w:t>CRITERIA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"/>
              <w:rPr>
                <w:lang w:val="en-NZ"/>
              </w:rPr>
            </w:pPr>
            <w:r w:rsidRPr="0061063E">
              <w:t>1.  Make preparations for display or stand.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"/>
            </w:pPr>
            <w:r w:rsidRPr="0061063E">
              <w:t>1.1. Determine display or stand objectives.</w:t>
            </w:r>
          </w:p>
          <w:p w:rsidR="00000000" w:rsidRPr="0061063E" w:rsidP="0061063E">
            <w:pPr>
              <w:pStyle w:val="List"/>
            </w:pPr>
            <w:r w:rsidRPr="0061063E">
              <w:t>1.2. Obtain operational information to assist in display or stand preparation to allow time for adequate planning.</w:t>
            </w:r>
          </w:p>
          <w:p w:rsidR="00000000" w:rsidRPr="0061063E" w:rsidP="0061063E">
            <w:pPr>
              <w:pStyle w:val="List"/>
            </w:pPr>
            <w:r w:rsidRPr="0061063E">
              <w:t>1.3. Plan display or stand to meet target audience ne</w:t>
            </w:r>
            <w:r w:rsidRPr="0061063E">
              <w:t>eds.</w:t>
            </w:r>
          </w:p>
          <w:p w:rsidR="00000000" w:rsidRPr="0061063E" w:rsidP="0061063E">
            <w:pPr>
              <w:pStyle w:val="List"/>
            </w:pPr>
            <w:r w:rsidRPr="0061063E">
              <w:t>1.4. Select and organise adequate display supplies and transportation arrangements according to display plan.</w:t>
            </w:r>
          </w:p>
          <w:p w:rsidR="00000000" w:rsidP="0061063E">
            <w:pPr>
              <w:pStyle w:val="List"/>
              <w:rPr>
                <w:lang w:val="en-NZ"/>
              </w:rPr>
            </w:pPr>
            <w:r w:rsidRPr="0061063E">
              <w:t>1.5. Identify need for, and seek assistance from, display specialists where appropriate.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"/>
              <w:rPr>
                <w:lang w:val="en-NZ"/>
              </w:rPr>
            </w:pPr>
            <w:r w:rsidRPr="0061063E">
              <w:t>2.  Create display or stand.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"/>
            </w:pPr>
            <w:r w:rsidRPr="0061063E">
              <w:t>2.1. Crea</w:t>
            </w:r>
            <w:r w:rsidRPr="0061063E">
              <w:t>te or dress display or stand, making creative use of available materials and supplies.</w:t>
            </w:r>
          </w:p>
          <w:p w:rsidR="00000000" w:rsidRPr="0061063E" w:rsidP="0061063E">
            <w:pPr>
              <w:pStyle w:val="List"/>
            </w:pPr>
            <w:r w:rsidRPr="0061063E">
              <w:t>2.2. Consider the elements and principles of design in creating the display.</w:t>
            </w:r>
          </w:p>
          <w:p w:rsidR="00000000" w:rsidRPr="0061063E" w:rsidP="0061063E">
            <w:pPr>
              <w:pStyle w:val="List"/>
            </w:pPr>
            <w:r w:rsidRPr="0061063E">
              <w:t>2.3. Use display techniques that maximise visual appeal of display and reflect nature of pro</w:t>
            </w:r>
            <w:r w:rsidRPr="0061063E">
              <w:t>duct or service being promoted.</w:t>
            </w:r>
          </w:p>
          <w:p w:rsidR="00000000" w:rsidRPr="0061063E" w:rsidP="0061063E">
            <w:pPr>
              <w:pStyle w:val="List"/>
            </w:pPr>
            <w:r w:rsidRPr="0061063E">
              <w:t>2.4. Use display equipment correctly and safely.</w:t>
            </w:r>
          </w:p>
          <w:p w:rsidR="00000000" w:rsidRPr="0061063E" w:rsidP="0061063E">
            <w:pPr>
              <w:pStyle w:val="List"/>
            </w:pPr>
            <w:r w:rsidRPr="0061063E">
              <w:t>2.5. Check display or stand to ensure safety of colleagues and customers.</w:t>
            </w:r>
          </w:p>
          <w:p w:rsidR="00000000" w:rsidRPr="0061063E" w:rsidP="0061063E">
            <w:pPr>
              <w:pStyle w:val="List"/>
            </w:pPr>
            <w:r w:rsidRPr="0061063E">
              <w:t>2.6. Disassemble display safely and according to organisational procedures.</w:t>
            </w:r>
          </w:p>
        </w:tc>
      </w:tr>
    </w:tbl>
    <w:p w:rsidR="00000000" w:rsidRPr="0061063E" w:rsidP="0061063E">
      <w:pPr>
        <w:pStyle w:val="BodyText"/>
      </w:pPr>
    </w:p>
    <w:p w:rsidR="00000000" w:rsidRPr="0061063E" w:rsidP="0061063E">
      <w:pPr>
        <w:pStyle w:val="AllowPageBreak"/>
      </w:pPr>
    </w:p>
    <w:p w:rsidR="00000000" w:rsidRPr="0061063E" w:rsidP="0061063E">
      <w:pPr>
        <w:pStyle w:val="Heading1"/>
      </w:pPr>
      <w:bookmarkStart w:id="7" w:name="O_1232905"/>
      <w:bookmarkEnd w:id="7"/>
      <w:r w:rsidRPr="0061063E">
        <w:t>Foun</w:t>
      </w:r>
      <w:r w:rsidRPr="0061063E">
        <w:t>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9044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Emphasis"/>
              </w:rPr>
              <w:t>Foundation skills essential to performance in this unit, but not explicit in the performance criteria are listed here, along with a brief context statement.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BodyText"/>
            </w:pPr>
            <w:r w:rsidRPr="0061063E">
              <w:rPr>
                <w:rStyle w:val="SpecialBold"/>
              </w:rPr>
              <w:t>SKILLS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rPr>
                <w:rStyle w:val="SpecialBold"/>
              </w:rPr>
              <w:t>DESCRIPTION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Reading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ListBullet"/>
              <w:rPr>
                <w:lang w:val="en-NZ"/>
              </w:rPr>
            </w:pPr>
            <w:r w:rsidRPr="0061063E">
              <w:t>interpret information about the needs of the target audience and operational aspects of the display or stand.</w:t>
            </w:r>
          </w:p>
        </w:tc>
      </w:tr>
      <w:tr w:rsidTr="0061063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1063E">
            <w:pPr>
              <w:pStyle w:val="BodyText"/>
              <w:rPr>
                <w:lang w:val="en-NZ"/>
              </w:rPr>
            </w:pPr>
            <w:r w:rsidRPr="0061063E">
              <w:t>Numeracy skills to: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1063E" w:rsidP="0061063E">
            <w:pPr>
              <w:pStyle w:val="ListBullet"/>
            </w:pPr>
            <w:r w:rsidRPr="0061063E">
              <w:t>work with concepts of size, space and layout.</w:t>
            </w:r>
          </w:p>
        </w:tc>
      </w:tr>
    </w:tbl>
    <w:p w:rsidR="00000000" w:rsidRPr="0061063E" w:rsidP="0061063E">
      <w:pPr>
        <w:pStyle w:val="BodyText"/>
      </w:pPr>
    </w:p>
    <w:p w:rsidR="00000000" w:rsidRPr="0061063E" w:rsidP="0061063E">
      <w:pPr>
        <w:pStyle w:val="AllowPageBreak"/>
      </w:pPr>
    </w:p>
    <w:p w:rsidR="00000000" w:rsidRPr="0061063E" w:rsidP="0061063E">
      <w:pPr>
        <w:pStyle w:val="Heading1"/>
      </w:pPr>
      <w:bookmarkStart w:id="8" w:name="O_1232904"/>
      <w:bookmarkEnd w:id="8"/>
      <w:r w:rsidRPr="0061063E">
        <w:t>Unit Mapping Information</w:t>
      </w:r>
    </w:p>
    <w:p w:rsidR="00000000" w:rsidRPr="0061063E" w:rsidP="00E15B14">
      <w:pPr>
        <w:pStyle w:val="BodyText"/>
      </w:pPr>
      <w:r w:rsidRPr="0061063E">
        <w:t>Supersedes and is equivalent to SITXMPR002 Create a promotional display or stand.</w:t>
      </w:r>
    </w:p>
    <w:p w:rsidR="00000000" w:rsidRPr="0061063E" w:rsidP="0061063E">
      <w:pPr>
        <w:pStyle w:val="Heading1"/>
      </w:pPr>
      <w:bookmarkStart w:id="9" w:name="O_1232897"/>
      <w:bookmarkEnd w:id="9"/>
      <w:r w:rsidRPr="0061063E">
        <w:t>Links</w:t>
      </w:r>
    </w:p>
    <w:p w:rsidR="00000000" w:rsidRPr="0061063E" w:rsidP="00E15B14">
      <w:pPr>
        <w:pStyle w:val="BodyText"/>
      </w:pPr>
      <w:r w:rsidRPr="0061063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"https://vetnet.gov.au/Pages/TrainingDocs.aspx?q=68c40a93-e51d-4e0f-bc06-899dff092694" </w:instrText>
      </w:r>
      <w:r>
        <w:fldChar w:fldCharType="separate"/>
      </w:r>
      <w:r w:rsidRPr="00635582">
        <w:rPr>
          <w:rStyle w:val="Hyperlink"/>
        </w:rPr>
        <w:t>https://vetnet.gov.au/Pages/TrainingDocs.aspx?q=68c40a93-e51d-4e0f-bc06-899dff092694</w:t>
      </w:r>
      <w:r>
        <w:fldChar w:fldCharType="end"/>
      </w:r>
    </w:p>
    <w:p w:rsidR="00000000" w:rsidRPr="0061063E" w:rsidP="0061063E"/>
    <w:sectPr w:rsidSect="0061063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 w:rsidRPr="00E15B14" w:rsidP="00E15B1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14" w:rsidP="006106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E15B14" w:rsidP="006106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E15B14" w:rsidP="006106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1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1063E" w:rsidRPr="00E15B14" w:rsidP="00E15B1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06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15B14" w:rsidRPr="002D2AF8" w:rsidP="006106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SITXMPR010 Create a promotional display or stand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2023</w:t>
    </w:r>
    <w:r>
      <w:fldChar w:fldCharType="end"/>
    </w:r>
  </w:p>
  <w:p w:rsidR="00E15B14" w:rsidP="006106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68EC8CD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534126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106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106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106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106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106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106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106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106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106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106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106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1063E"/>
  </w:style>
  <w:style w:type="character" w:customStyle="1" w:styleId="Heading1Char">
    <w:name w:val="Heading 1 Char"/>
    <w:basedOn w:val="DefaultParagraphFont"/>
    <w:link w:val="Heading1"/>
    <w:rsid w:val="006106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106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1063E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61063E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1063E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1063E"/>
    <w:rPr>
      <w:b/>
      <w:spacing w:val="0"/>
    </w:rPr>
  </w:style>
  <w:style w:type="character" w:styleId="Emphasis">
    <w:name w:val="Emphasis"/>
    <w:basedOn w:val="DefaultParagraphFont"/>
    <w:qFormat/>
    <w:rsid w:val="0061063E"/>
    <w:rPr>
      <w:i/>
    </w:rPr>
  </w:style>
  <w:style w:type="paragraph" w:customStyle="1" w:styleId="SuperHeading">
    <w:name w:val="SuperHeading"/>
    <w:basedOn w:val="Normal"/>
    <w:rsid w:val="006106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106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106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106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106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1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106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106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106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106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106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106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106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106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106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106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106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1063E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6106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106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106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106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1063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106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106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106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106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106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106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106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106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106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106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106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106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1063E"/>
  </w:style>
  <w:style w:type="paragraph" w:styleId="TableofFigures">
    <w:name w:val="table of figures"/>
    <w:basedOn w:val="Normal"/>
    <w:next w:val="Normal"/>
    <w:semiHidden/>
    <w:rsid w:val="006106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1063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1063E"/>
    <w:rPr>
      <w:rFonts w:ascii="Wingdings" w:hAnsi="Wingdings"/>
    </w:rPr>
  </w:style>
  <w:style w:type="paragraph" w:customStyle="1" w:styleId="TableHeading">
    <w:name w:val="Table Heading"/>
    <w:basedOn w:val="HeadingBase"/>
    <w:rsid w:val="006106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1063E"/>
    <w:rPr>
      <w:color w:val="0033CC"/>
      <w:u w:val="none"/>
    </w:rPr>
  </w:style>
  <w:style w:type="paragraph" w:customStyle="1" w:styleId="BodyTextRight">
    <w:name w:val="Body Text Right"/>
    <w:basedOn w:val="BodyText"/>
    <w:rsid w:val="006106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106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1063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106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106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106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1063E"/>
    <w:rPr>
      <w:sz w:val="32"/>
    </w:rPr>
  </w:style>
  <w:style w:type="paragraph" w:customStyle="1" w:styleId="HeadingProcedure">
    <w:name w:val="Heading Procedure"/>
    <w:basedOn w:val="HeadingBase"/>
    <w:next w:val="Normal"/>
    <w:rsid w:val="006106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1063E"/>
    <w:pPr>
      <w:spacing w:before="60" w:after="60"/>
    </w:pPr>
  </w:style>
  <w:style w:type="paragraph" w:styleId="ListContinue">
    <w:name w:val="List Continue"/>
    <w:basedOn w:val="List"/>
    <w:rsid w:val="0061063E"/>
    <w:pPr>
      <w:ind w:firstLine="0"/>
    </w:pPr>
  </w:style>
  <w:style w:type="paragraph" w:customStyle="1" w:styleId="ListNote">
    <w:name w:val="List Note"/>
    <w:basedOn w:val="List"/>
    <w:rsid w:val="006106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106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106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1063E"/>
    <w:rPr>
      <w:rFonts w:ascii="Courier New" w:hAnsi="Courier New"/>
    </w:rPr>
  </w:style>
  <w:style w:type="paragraph" w:customStyle="1" w:styleId="NoteBullet">
    <w:name w:val="Note Bullet"/>
    <w:basedOn w:val="Note"/>
    <w:rsid w:val="006106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106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106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106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1063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106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106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1063E"/>
    <w:rPr>
      <w:b/>
      <w:smallCaps/>
    </w:rPr>
  </w:style>
  <w:style w:type="paragraph" w:customStyle="1" w:styleId="TableListNumber">
    <w:name w:val="Table List Number"/>
    <w:basedOn w:val="ListNumber"/>
    <w:rsid w:val="006106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106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1063E"/>
    <w:pPr>
      <w:numPr>
        <w:numId w:val="8"/>
      </w:numPr>
    </w:pPr>
  </w:style>
  <w:style w:type="paragraph" w:customStyle="1" w:styleId="ListAlpha2">
    <w:name w:val="List Alpha 2"/>
    <w:basedOn w:val="List2"/>
    <w:rsid w:val="0061063E"/>
    <w:pPr>
      <w:numPr>
        <w:numId w:val="7"/>
      </w:numPr>
    </w:pPr>
  </w:style>
  <w:style w:type="paragraph" w:styleId="List2">
    <w:name w:val="List 2"/>
    <w:basedOn w:val="BodyText"/>
    <w:rsid w:val="006106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106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106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1063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1063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1063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1063E"/>
    <w:pPr>
      <w:numPr>
        <w:numId w:val="3"/>
      </w:numPr>
    </w:pPr>
  </w:style>
  <w:style w:type="paragraph" w:styleId="ListContinue2">
    <w:name w:val="List Continue 2"/>
    <w:basedOn w:val="List2"/>
    <w:rsid w:val="0061063E"/>
    <w:pPr>
      <w:ind w:firstLine="0"/>
    </w:pPr>
  </w:style>
  <w:style w:type="paragraph" w:styleId="ListContinue3">
    <w:name w:val="List Continue 3"/>
    <w:basedOn w:val="List3"/>
    <w:rsid w:val="0061063E"/>
    <w:pPr>
      <w:ind w:left="1021" w:firstLine="0"/>
    </w:pPr>
  </w:style>
  <w:style w:type="paragraph" w:styleId="ListContinue4">
    <w:name w:val="List Continue 4"/>
    <w:basedOn w:val="List4"/>
    <w:rsid w:val="0061063E"/>
    <w:pPr>
      <w:ind w:firstLine="0"/>
    </w:pPr>
  </w:style>
  <w:style w:type="paragraph" w:styleId="ListContinue5">
    <w:name w:val="List Continue 5"/>
    <w:basedOn w:val="List5"/>
    <w:rsid w:val="0061063E"/>
    <w:pPr>
      <w:ind w:firstLine="0"/>
    </w:pPr>
  </w:style>
  <w:style w:type="paragraph" w:styleId="ListNumber3">
    <w:name w:val="List Number 3"/>
    <w:basedOn w:val="List3"/>
    <w:rsid w:val="0061063E"/>
    <w:pPr>
      <w:numPr>
        <w:numId w:val="4"/>
      </w:numPr>
    </w:pPr>
  </w:style>
  <w:style w:type="paragraph" w:styleId="ListNumber4">
    <w:name w:val="List Number 4"/>
    <w:basedOn w:val="List4"/>
    <w:rsid w:val="0061063E"/>
    <w:pPr>
      <w:numPr>
        <w:numId w:val="5"/>
      </w:numPr>
    </w:pPr>
  </w:style>
  <w:style w:type="paragraph" w:styleId="ListNumber5">
    <w:name w:val="List Number 5"/>
    <w:basedOn w:val="List5"/>
    <w:rsid w:val="0061063E"/>
    <w:pPr>
      <w:numPr>
        <w:numId w:val="6"/>
      </w:numPr>
    </w:pPr>
  </w:style>
  <w:style w:type="paragraph" w:styleId="BlockText">
    <w:name w:val="Block Text"/>
    <w:basedOn w:val="Normal"/>
    <w:rsid w:val="006106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106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1063E"/>
    <w:rPr>
      <w:sz w:val="16"/>
      <w:vertAlign w:val="superscript"/>
    </w:rPr>
  </w:style>
  <w:style w:type="character" w:customStyle="1" w:styleId="Symbols">
    <w:name w:val="Symbols"/>
    <w:basedOn w:val="DefaultParagraphFont"/>
    <w:rsid w:val="0061063E"/>
    <w:rPr>
      <w:rFonts w:ascii="Symbol" w:hAnsi="Symbol"/>
    </w:rPr>
  </w:style>
  <w:style w:type="character" w:customStyle="1" w:styleId="MenuOptions">
    <w:name w:val="Menu Options"/>
    <w:basedOn w:val="DefaultParagraphFont"/>
    <w:rsid w:val="006106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1063E"/>
    <w:rPr>
      <w:b/>
    </w:rPr>
  </w:style>
  <w:style w:type="character" w:customStyle="1" w:styleId="Underlined">
    <w:name w:val="Underlined"/>
    <w:basedOn w:val="DefaultParagraphFont"/>
    <w:rsid w:val="0061063E"/>
    <w:rPr>
      <w:u w:val="single"/>
    </w:rPr>
  </w:style>
  <w:style w:type="paragraph" w:customStyle="1" w:styleId="TableBodyTextRight">
    <w:name w:val="Table Body Text Right"/>
    <w:basedOn w:val="TableBodyText"/>
    <w:rsid w:val="006106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1063E"/>
    <w:rPr>
      <w:sz w:val="18"/>
    </w:rPr>
  </w:style>
  <w:style w:type="paragraph" w:customStyle="1" w:styleId="BodySmallRight">
    <w:name w:val="Body Small Right"/>
    <w:basedOn w:val="BodyTextRight"/>
    <w:rsid w:val="0061063E"/>
    <w:rPr>
      <w:sz w:val="18"/>
      <w:szCs w:val="18"/>
    </w:rPr>
  </w:style>
  <w:style w:type="paragraph" w:customStyle="1" w:styleId="MarginEdition">
    <w:name w:val="Margin Edition"/>
    <w:basedOn w:val="MarginNote"/>
    <w:rsid w:val="006106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1063E"/>
    <w:rPr>
      <w:sz w:val="2"/>
      <w:szCs w:val="2"/>
    </w:rPr>
  </w:style>
  <w:style w:type="character" w:customStyle="1" w:styleId="Small">
    <w:name w:val="Small"/>
    <w:basedOn w:val="DefaultParagraphFont"/>
    <w:rsid w:val="0061063E"/>
    <w:rPr>
      <w:sz w:val="16"/>
    </w:rPr>
  </w:style>
  <w:style w:type="paragraph" w:customStyle="1" w:styleId="WideTable">
    <w:name w:val="Wide Table"/>
    <w:basedOn w:val="Normal"/>
    <w:rsid w:val="006106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1063E"/>
  </w:style>
  <w:style w:type="paragraph" w:styleId="Quote">
    <w:name w:val="Quote"/>
    <w:basedOn w:val="Heading1"/>
    <w:link w:val="QuoteChar"/>
    <w:qFormat/>
    <w:rsid w:val="006106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106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1063E"/>
    <w:pPr>
      <w:pageBreakBefore/>
    </w:pPr>
  </w:style>
  <w:style w:type="paragraph" w:customStyle="1" w:styleId="Border">
    <w:name w:val="Border"/>
    <w:basedOn w:val="Normal"/>
    <w:qFormat/>
    <w:rsid w:val="006106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106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106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106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106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106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106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106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106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1063E"/>
    <w:rPr>
      <w:u w:val="single"/>
    </w:rPr>
  </w:style>
  <w:style w:type="character" w:customStyle="1" w:styleId="BoldandItalics">
    <w:name w:val="Bold and Italics"/>
    <w:qFormat/>
    <w:rsid w:val="0061063E"/>
    <w:rPr>
      <w:b/>
      <w:i/>
      <w:u w:val="none"/>
    </w:rPr>
  </w:style>
  <w:style w:type="paragraph" w:styleId="BalloonText">
    <w:name w:val="Balloon Text"/>
    <w:basedOn w:val="Normal"/>
    <w:link w:val="BalloonTextChar"/>
    <w:rsid w:val="006106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106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106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106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106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106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1063E"/>
    <w:pPr>
      <w:spacing w:before="0" w:after="0"/>
    </w:pPr>
  </w:style>
  <w:style w:type="paragraph" w:customStyle="1" w:styleId="BodyTextBold">
    <w:name w:val="Body Text Bold"/>
    <w:basedOn w:val="BodyText"/>
    <w:qFormat/>
    <w:rsid w:val="0061063E"/>
    <w:rPr>
      <w:b/>
    </w:rPr>
  </w:style>
  <w:style w:type="character" w:styleId="Hyperlink">
    <w:name w:val="Hyperlink"/>
    <w:basedOn w:val="DefaultParagraphFont"/>
    <w:uiPriority w:val="99"/>
    <w:unhideWhenUsed/>
    <w:rsid w:val="00E15B1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468</Words>
  <Characters>2883</Characters>
  <Application>Microsoft Office Word</Application>
  <DocSecurity>0</DocSecurity>
  <Lines>90</Lines>
  <Paragraphs>57</Paragraphs>
  <ScaleCrop>false</ScaleCrop>
  <Company>Author-it Software Corporation Ltd.</Company>
  <LinksUpToDate>false</LinksUpToDate>
  <CharactersWithSpaces>3294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SITXMPR010 Create a promotional display or stand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2023-03-02T05:11:00Z</dcterms:created>
  <dcterms:modified xsi:type="dcterms:W3CDTF">2023-03-02T05:11:00Z</dcterms:modified>
</cp:coreProperties>
</file>