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390" w:rsidP="00AB5390">
      <w:pPr>
        <w:pStyle w:val="Title"/>
      </w:pPr>
      <w:r>
        <w:fldChar w:fldCharType="begin"/>
      </w:r>
      <w:r>
        <w:instrText xml:space="preserve"> TITLE   \* MERGEFORMAT </w:instrText>
      </w:r>
      <w:r>
        <w:fldChar w:fldCharType="separate"/>
      </w:r>
      <w:r>
        <w:t>SITXGLC002 Identify and manage legal risks and comply with law</w:t>
      </w:r>
      <w:r>
        <w:fldChar w:fldCharType="end"/>
      </w:r>
    </w:p>
    <w:p w:rsidR="00AB5390" w:rsidP="00AB5390">
      <w:pPr>
        <w:pStyle w:val="Version"/>
        <w:sectPr w:rsidSect="00C07D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D31" w:rsidP="00C07D31">
      <w:pPr>
        <w:pStyle w:val="SuperHeading"/>
      </w:pPr>
      <w:r w:rsidRPr="00C07D31">
        <w:t>SITXGLC002 Identify and manage legal risks and comply with law</w:t>
      </w:r>
    </w:p>
    <w:p w:rsidR="00000000" w:rsidRPr="00C07D31" w:rsidP="00C07D31">
      <w:pPr>
        <w:pStyle w:val="Heading1"/>
      </w:pPr>
      <w:bookmarkStart w:id="1" w:name="O_1232137"/>
      <w:bookmarkEnd w:id="1"/>
      <w:r w:rsidRPr="00C07D31">
        <w:t>Modification History</w:t>
      </w:r>
    </w:p>
    <w:p w:rsidR="00000000" w:rsidRPr="00C07D31" w:rsidP="00AB5390">
      <w:pPr>
        <w:pStyle w:val="BodyText"/>
      </w:pPr>
      <w:r w:rsidRPr="00C07D31">
        <w:t>Not applicable.</w:t>
      </w:r>
    </w:p>
    <w:p w:rsidR="00000000" w:rsidRPr="00C07D31" w:rsidP="00C07D31">
      <w:pPr>
        <w:pStyle w:val="Heading1"/>
      </w:pPr>
      <w:bookmarkStart w:id="2" w:name="O_1232144"/>
      <w:bookmarkEnd w:id="2"/>
      <w:r w:rsidRPr="00C07D31">
        <w:t>Application</w:t>
      </w:r>
    </w:p>
    <w:p w:rsidR="00000000" w:rsidRPr="00C07D31" w:rsidP="00AB5390">
      <w:pPr>
        <w:pStyle w:val="BodyText"/>
      </w:pPr>
      <w:r w:rsidRPr="00C07D31">
        <w:t>This unit describes the performance outcomes, skills and knowledge required to identify and manag</w:t>
      </w:r>
      <w:r w:rsidRPr="00C07D31">
        <w:t>e legal risks and comply with laws applicable to specific business operations. It requires the ability to identify legal risks, access and interpret regulatory information, and determine action required to manage legal risks and to comply with applicable l</w:t>
      </w:r>
      <w:r w:rsidRPr="00C07D31">
        <w:t>aws.</w:t>
      </w:r>
    </w:p>
    <w:p w:rsidR="00000000" w:rsidRPr="00C07D31" w:rsidP="00AB5390">
      <w:pPr>
        <w:pStyle w:val="BodyText"/>
      </w:pPr>
      <w:r w:rsidRPr="00C07D31">
        <w:t>The unit applies to legal issues arising in day-to-day business operations in all tourism, travel, hospitality and event sectors.</w:t>
      </w:r>
    </w:p>
    <w:p w:rsidR="00000000" w:rsidRPr="00C07D31" w:rsidP="00AB5390">
      <w:pPr>
        <w:pStyle w:val="BodyText"/>
      </w:pPr>
      <w:r w:rsidRPr="00C07D31">
        <w:t>It applies to senior personnel who operate with limited guidance from others and who are responsible for making a range o</w:t>
      </w:r>
      <w:r w:rsidRPr="00C07D31">
        <w:t>f operational business and legal risk management decisions.</w:t>
      </w:r>
    </w:p>
    <w:p w:rsidR="00000000" w:rsidRPr="00C07D31" w:rsidP="00AB5390">
      <w:pPr>
        <w:pStyle w:val="BodyText"/>
      </w:pPr>
      <w:r w:rsidRPr="00C07D31">
        <w:t>The skills in this unit must be applied in accordance with Commonwealth and State/Territory legislation, Australian/New Zealand standards and industry codes of practice.</w:t>
      </w:r>
    </w:p>
    <w:p w:rsidR="00000000" w:rsidRPr="00C07D31" w:rsidP="00AB5390">
      <w:pPr>
        <w:pStyle w:val="BodyText"/>
      </w:pPr>
      <w:r w:rsidRPr="00C07D31">
        <w:t>No occupational licensing,</w:t>
      </w:r>
      <w:r w:rsidRPr="00C07D31">
        <w:t xml:space="preserve"> certification or specific legislative requirements apply to this unit at the time of publication.</w:t>
      </w:r>
    </w:p>
    <w:p w:rsidR="00000000" w:rsidRPr="00C07D31" w:rsidP="00C07D31">
      <w:pPr>
        <w:pStyle w:val="Heading1"/>
      </w:pPr>
      <w:bookmarkStart w:id="3" w:name="O_1232143"/>
      <w:bookmarkEnd w:id="3"/>
      <w:r w:rsidRPr="00C07D31">
        <w:t>Pre-requisite Unit</w:t>
      </w:r>
    </w:p>
    <w:p w:rsidR="00000000" w:rsidRPr="00C07D31" w:rsidP="00AB5390">
      <w:pPr>
        <w:pStyle w:val="BodyText"/>
      </w:pPr>
      <w:r w:rsidRPr="00C07D31">
        <w:t>Nil</w:t>
      </w:r>
    </w:p>
    <w:p w:rsidR="00000000" w:rsidRPr="00C07D31" w:rsidP="00C07D31">
      <w:pPr>
        <w:pStyle w:val="Heading1"/>
      </w:pPr>
      <w:bookmarkStart w:id="4" w:name="O_1232142"/>
      <w:bookmarkEnd w:id="4"/>
      <w:r w:rsidRPr="00C07D31">
        <w:t>Competency Field</w:t>
      </w:r>
    </w:p>
    <w:p w:rsidR="00000000" w:rsidRPr="00C07D31" w:rsidP="00AB5390">
      <w:pPr>
        <w:pStyle w:val="BodyText"/>
      </w:pPr>
      <w:r w:rsidRPr="00C07D31">
        <w:t xml:space="preserve">Governance and Legal Compliance </w:t>
      </w:r>
    </w:p>
    <w:p w:rsidR="00000000" w:rsidRPr="00C07D31" w:rsidP="00C07D31">
      <w:pPr>
        <w:pStyle w:val="Heading1"/>
      </w:pPr>
      <w:bookmarkStart w:id="5" w:name="O_1232141"/>
      <w:bookmarkEnd w:id="5"/>
      <w:r w:rsidRPr="00C07D31">
        <w:t>Unit Sector</w:t>
      </w:r>
    </w:p>
    <w:p w:rsidR="00000000" w:rsidRPr="00C07D31" w:rsidP="00AB5390">
      <w:pPr>
        <w:pStyle w:val="BodyText"/>
      </w:pPr>
      <w:r w:rsidRPr="00C07D31">
        <w:t>Cross-Sector</w:t>
      </w:r>
    </w:p>
    <w:p w:rsidR="00000000" w:rsidRPr="00C07D31" w:rsidP="00C07D31">
      <w:pPr>
        <w:pStyle w:val="Heading1"/>
      </w:pPr>
      <w:bookmarkStart w:id="6" w:name="O_1232140"/>
      <w:bookmarkEnd w:id="6"/>
      <w:r w:rsidRPr="00C07D31">
        <w:t>Elements and Performance Criteria</w:t>
      </w:r>
    </w:p>
    <w:tbl>
      <w:tblPr>
        <w:tblW w:w="0" w:type="auto"/>
        <w:tblLayout w:type="fixed"/>
        <w:tblCellMar>
          <w:left w:w="62" w:type="dxa"/>
          <w:right w:w="62" w:type="dxa"/>
        </w:tblCellMar>
        <w:tblLook w:val="0000"/>
      </w:tblPr>
      <w:tblGrid>
        <w:gridCol w:w="2694"/>
        <w:gridCol w:w="6350"/>
      </w:tblGrid>
      <w:tr w:rsidTr="00C07D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07D31" w:rsidP="00C07D31">
            <w:pPr>
              <w:pStyle w:val="BodyText"/>
            </w:pPr>
            <w:r w:rsidRPr="00C07D3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07D31">
            <w:pPr>
              <w:pStyle w:val="BodyText"/>
              <w:rPr>
                <w:lang w:val="en-NZ"/>
              </w:rPr>
            </w:pPr>
            <w:r w:rsidRPr="00C07D31">
              <w:rPr>
                <w:rStyle w:val="SpecialBold"/>
              </w:rPr>
              <w:t>PERFORMANCE</w:t>
            </w:r>
            <w:r w:rsidRPr="00C07D31">
              <w:t xml:space="preserve"> </w:t>
            </w:r>
            <w:r w:rsidRPr="00C07D31">
              <w:rPr>
                <w:rStyle w:val="SpecialBold"/>
              </w:rPr>
              <w:t>CRITERIA</w:t>
            </w:r>
          </w:p>
        </w:tc>
      </w:tr>
      <w:tr w:rsidTr="00C07D3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07D31" w:rsidP="00C07D31">
            <w:pPr>
              <w:pStyle w:val="BodyText"/>
            </w:pPr>
            <w:r w:rsidRPr="00C07D3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07D31">
            <w:pPr>
              <w:pStyle w:val="BodyText"/>
              <w:rPr>
                <w:lang w:val="en-NZ"/>
              </w:rPr>
            </w:pPr>
            <w:r w:rsidRPr="00C07D31">
              <w:rPr>
                <w:rStyle w:val="Emphasis"/>
              </w:rPr>
              <w:t>Performance criteria describe the performance needed to demonstrate achievement of the element.</w:t>
            </w:r>
          </w:p>
        </w:tc>
      </w:tr>
      <w:tr w:rsidTr="00C07D3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07D31">
            <w:pPr>
              <w:pStyle w:val="List"/>
              <w:rPr>
                <w:lang w:val="en-NZ"/>
              </w:rPr>
            </w:pPr>
            <w:r w:rsidRPr="00C07D31">
              <w:t xml:space="preserve">1.  Identify legal risks </w:t>
            </w:r>
            <w:r w:rsidRPr="00C07D31">
              <w:t>and compliance needs.</w:t>
            </w:r>
          </w:p>
        </w:tc>
        <w:tc>
          <w:tcPr>
            <w:tcW w:w="6350" w:type="dxa"/>
            <w:tcBorders>
              <w:top w:val="nil"/>
              <w:left w:val="nil"/>
              <w:bottom w:val="nil"/>
              <w:right w:val="nil"/>
            </w:tcBorders>
            <w:tcMar>
              <w:top w:w="0" w:type="dxa"/>
              <w:left w:w="62" w:type="dxa"/>
              <w:bottom w:w="0" w:type="dxa"/>
              <w:right w:w="62" w:type="dxa"/>
            </w:tcMar>
          </w:tcPr>
          <w:p w:rsidR="00000000" w:rsidRPr="00C07D31" w:rsidP="00C07D31">
            <w:pPr>
              <w:pStyle w:val="List"/>
            </w:pPr>
            <w:r w:rsidRPr="00C07D31">
              <w:t xml:space="preserve">1.1. Evaluate areas of business operation for which legal risk </w:t>
            </w:r>
            <w:r w:rsidRPr="00C07D31">
              <w:t>management and compliance is required.</w:t>
            </w:r>
          </w:p>
          <w:p w:rsidR="00000000" w:rsidP="00C07D31">
            <w:pPr>
              <w:pStyle w:val="List"/>
              <w:rPr>
                <w:lang w:val="en-NZ"/>
              </w:rPr>
            </w:pPr>
            <w:r w:rsidRPr="00C07D31">
              <w:t>1.2. Identify legal risks and compliance requirements that arise in business operations.</w:t>
            </w:r>
          </w:p>
        </w:tc>
      </w:tr>
      <w:tr w:rsidTr="00C07D3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07D31">
            <w:pPr>
              <w:pStyle w:val="List"/>
              <w:rPr>
                <w:lang w:val="en-NZ"/>
              </w:rPr>
            </w:pPr>
            <w:r w:rsidRPr="00C07D31">
              <w:t>2.  Research info</w:t>
            </w:r>
            <w:r w:rsidRPr="00C07D31">
              <w:t>rmation required for legal compliance.</w:t>
            </w:r>
          </w:p>
        </w:tc>
        <w:tc>
          <w:tcPr>
            <w:tcW w:w="6350" w:type="dxa"/>
            <w:tcBorders>
              <w:top w:val="nil"/>
              <w:left w:val="nil"/>
              <w:bottom w:val="nil"/>
              <w:right w:val="nil"/>
            </w:tcBorders>
            <w:tcMar>
              <w:top w:w="0" w:type="dxa"/>
              <w:left w:w="62" w:type="dxa"/>
              <w:bottom w:w="0" w:type="dxa"/>
              <w:right w:w="62" w:type="dxa"/>
            </w:tcMar>
          </w:tcPr>
          <w:p w:rsidR="00000000" w:rsidRPr="00C07D31" w:rsidP="00C07D31">
            <w:pPr>
              <w:pStyle w:val="List"/>
            </w:pPr>
            <w:r w:rsidRPr="00C07D31">
              <w:t>2.1. Identify sources of information for compliance with laws and licensing for business operations.</w:t>
            </w:r>
          </w:p>
          <w:p w:rsidR="00000000" w:rsidRPr="00C07D31" w:rsidP="00C07D31">
            <w:pPr>
              <w:pStyle w:val="List"/>
            </w:pPr>
            <w:r w:rsidRPr="00C07D31">
              <w:t>2.2. Access regulatory and other legal information relevant to specific business operation.</w:t>
            </w:r>
          </w:p>
          <w:p w:rsidR="00000000" w:rsidRPr="00C07D31" w:rsidP="00C07D31">
            <w:pPr>
              <w:pStyle w:val="List"/>
            </w:pPr>
            <w:r w:rsidRPr="00C07D31">
              <w:t>2.3. Identify risks, penalties and consequences of non-compliance.</w:t>
            </w:r>
          </w:p>
          <w:p w:rsidR="00000000" w:rsidP="00C07D31">
            <w:pPr>
              <w:pStyle w:val="List"/>
              <w:rPr>
                <w:lang w:val="en-NZ"/>
              </w:rPr>
            </w:pPr>
            <w:r w:rsidRPr="00C07D31">
              <w:t>2.4. Assess and act on need for specialist legal advice.</w:t>
            </w:r>
          </w:p>
        </w:tc>
      </w:tr>
      <w:tr w:rsidTr="00C07D31">
        <w:tblPrEx>
          <w:tblW w:w="0" w:type="auto"/>
          <w:tblLayout w:type="fixed"/>
          <w:tblCellMar>
            <w:left w:w="62" w:type="dxa"/>
            <w:right w:w="62" w:type="dxa"/>
          </w:tblCellMar>
          <w:tblLook w:val="0000"/>
        </w:tblPrEx>
        <w:trPr>
          <w:trHeight w:val="1057"/>
        </w:trPr>
        <w:tc>
          <w:tcPr>
            <w:tcW w:w="2694" w:type="dxa"/>
            <w:tcBorders>
              <w:top w:val="nil"/>
              <w:left w:val="nil"/>
              <w:bottom w:val="nil"/>
              <w:right w:val="nil"/>
            </w:tcBorders>
            <w:tcMar>
              <w:top w:w="0" w:type="dxa"/>
              <w:left w:w="62" w:type="dxa"/>
              <w:bottom w:w="0" w:type="dxa"/>
              <w:right w:w="62" w:type="dxa"/>
            </w:tcMar>
          </w:tcPr>
          <w:p w:rsidR="00000000" w:rsidP="00C07D31">
            <w:pPr>
              <w:pStyle w:val="List"/>
              <w:rPr>
                <w:lang w:val="en-NZ"/>
              </w:rPr>
            </w:pPr>
            <w:r w:rsidRPr="00C07D31">
              <w:t>3.  Consider legal risk management strategies and actions for legal compliance.</w:t>
            </w:r>
          </w:p>
        </w:tc>
        <w:tc>
          <w:tcPr>
            <w:tcW w:w="6350" w:type="dxa"/>
            <w:tcBorders>
              <w:top w:val="nil"/>
              <w:left w:val="nil"/>
              <w:bottom w:val="nil"/>
              <w:right w:val="nil"/>
            </w:tcBorders>
            <w:tcMar>
              <w:top w:w="0" w:type="dxa"/>
              <w:left w:w="62" w:type="dxa"/>
              <w:bottom w:w="0" w:type="dxa"/>
              <w:right w:w="62" w:type="dxa"/>
            </w:tcMar>
          </w:tcPr>
          <w:p w:rsidR="00000000" w:rsidRPr="00C07D31" w:rsidP="00C07D31">
            <w:pPr>
              <w:pStyle w:val="List"/>
            </w:pPr>
            <w:r w:rsidRPr="00C07D31">
              <w:t>3.1. Articulate legal risk management strategies an</w:t>
            </w:r>
            <w:r w:rsidRPr="00C07D31">
              <w:t>d actions necessary to comply with laws.</w:t>
            </w:r>
          </w:p>
          <w:p w:rsidR="00000000" w:rsidP="00C07D31">
            <w:pPr>
              <w:pStyle w:val="List"/>
              <w:rPr>
                <w:lang w:val="en-NZ"/>
              </w:rPr>
            </w:pPr>
            <w:r w:rsidRPr="00C07D31">
              <w:t>3.2. Develop practices for updating personnel to ensure they have current knowledge of roles and responsibilities for legal risk management and compliance.</w:t>
            </w:r>
          </w:p>
        </w:tc>
      </w:tr>
      <w:tr w:rsidTr="00C07D3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07D31">
            <w:pPr>
              <w:pStyle w:val="List"/>
              <w:rPr>
                <w:lang w:val="en-NZ"/>
              </w:rPr>
            </w:pPr>
            <w:r w:rsidRPr="00C07D31">
              <w:t>4.  Ensure management of legal risks and compliance with l</w:t>
            </w:r>
            <w:r w:rsidRPr="00C07D31">
              <w:t>egal requirements.</w:t>
            </w:r>
          </w:p>
        </w:tc>
        <w:tc>
          <w:tcPr>
            <w:tcW w:w="6350" w:type="dxa"/>
            <w:tcBorders>
              <w:top w:val="nil"/>
              <w:left w:val="nil"/>
              <w:bottom w:val="nil"/>
              <w:right w:val="nil"/>
            </w:tcBorders>
            <w:tcMar>
              <w:top w:w="0" w:type="dxa"/>
              <w:left w:w="62" w:type="dxa"/>
              <w:bottom w:w="0" w:type="dxa"/>
              <w:right w:w="62" w:type="dxa"/>
            </w:tcMar>
          </w:tcPr>
          <w:p w:rsidR="00000000" w:rsidRPr="00C07D31" w:rsidP="00C07D31">
            <w:pPr>
              <w:pStyle w:val="List"/>
            </w:pPr>
            <w:r w:rsidRPr="00C07D31">
              <w:t>4.1. Maintain business and occupational licences and check contractor contracts and conduct to avoid risk to business.</w:t>
            </w:r>
          </w:p>
          <w:p w:rsidR="00000000" w:rsidP="00C07D31">
            <w:pPr>
              <w:pStyle w:val="List"/>
              <w:rPr>
                <w:lang w:val="en-NZ"/>
              </w:rPr>
            </w:pPr>
            <w:r w:rsidRPr="00C07D31">
              <w:t>4.2. Continuously evaluate business operations for non-compliance and implement modifications.</w:t>
            </w:r>
          </w:p>
        </w:tc>
      </w:tr>
      <w:tr w:rsidTr="00C07D3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07D31">
            <w:pPr>
              <w:pStyle w:val="List"/>
              <w:rPr>
                <w:lang w:val="en-NZ"/>
              </w:rPr>
            </w:pPr>
            <w:r w:rsidRPr="00C07D31">
              <w:t>5.  Maintain personal and organisational knowledge of legal risk management strategies and compliance requirements.</w:t>
            </w:r>
          </w:p>
        </w:tc>
        <w:tc>
          <w:tcPr>
            <w:tcW w:w="6350" w:type="dxa"/>
            <w:tcBorders>
              <w:top w:val="nil"/>
              <w:left w:val="nil"/>
              <w:bottom w:val="nil"/>
              <w:right w:val="nil"/>
            </w:tcBorders>
            <w:tcMar>
              <w:top w:w="0" w:type="dxa"/>
              <w:left w:w="62" w:type="dxa"/>
              <w:bottom w:w="0" w:type="dxa"/>
              <w:right w:w="62" w:type="dxa"/>
            </w:tcMar>
          </w:tcPr>
          <w:p w:rsidR="00000000" w:rsidRPr="00C07D31" w:rsidP="00C07D31">
            <w:pPr>
              <w:pStyle w:val="List"/>
            </w:pPr>
            <w:r w:rsidRPr="00C07D31">
              <w:t>5.1. Identify and use opportunities to maintain knowledge of current legal risk management strategies and legal compliance requirements.</w:t>
            </w:r>
          </w:p>
          <w:p w:rsidR="00000000" w:rsidRPr="00C07D31" w:rsidP="00C07D31">
            <w:pPr>
              <w:pStyle w:val="List"/>
            </w:pPr>
            <w:r w:rsidRPr="00C07D31">
              <w:t>5.2</w:t>
            </w:r>
            <w:r w:rsidRPr="00C07D31">
              <w:t>. Use organisational communication methods to share updated regulatory knowledge.</w:t>
            </w:r>
          </w:p>
        </w:tc>
      </w:tr>
    </w:tbl>
    <w:p w:rsidR="00000000" w:rsidRPr="00C07D31" w:rsidP="00C07D31">
      <w:pPr>
        <w:pStyle w:val="List"/>
      </w:pPr>
    </w:p>
    <w:p w:rsidR="00000000" w:rsidRPr="00C07D31" w:rsidP="00C07D31">
      <w:pPr>
        <w:pStyle w:val="AllowPageBreak"/>
      </w:pPr>
    </w:p>
    <w:p w:rsidR="00000000" w:rsidRPr="00C07D31" w:rsidP="00C07D31">
      <w:pPr>
        <w:pStyle w:val="Heading1"/>
      </w:pPr>
      <w:bookmarkStart w:id="7" w:name="O_1232139"/>
      <w:bookmarkEnd w:id="7"/>
      <w:r w:rsidRPr="00C07D31">
        <w:t>Foundation Skills</w:t>
      </w:r>
    </w:p>
    <w:tbl>
      <w:tblPr>
        <w:tblW w:w="0" w:type="auto"/>
        <w:tblLayout w:type="fixed"/>
        <w:tblCellMar>
          <w:left w:w="62" w:type="dxa"/>
          <w:right w:w="62" w:type="dxa"/>
        </w:tblCellMar>
        <w:tblLook w:val="0000"/>
      </w:tblPr>
      <w:tblGrid>
        <w:gridCol w:w="2694"/>
        <w:gridCol w:w="6350"/>
      </w:tblGrid>
      <w:tr w:rsidTr="00C07D3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07D31">
            <w:pPr>
              <w:pStyle w:val="BodyText"/>
              <w:rPr>
                <w:lang w:val="en-NZ"/>
              </w:rPr>
            </w:pPr>
            <w:r w:rsidRPr="00C07D31">
              <w:rPr>
                <w:rStyle w:val="Emphasis"/>
              </w:rPr>
              <w:t>Foundation skills essential to performance in this unit, but not explicit in the performance criteria are listed here, along with a bri</w:t>
            </w:r>
            <w:r w:rsidRPr="00C07D31">
              <w:rPr>
                <w:rStyle w:val="Emphasis"/>
              </w:rPr>
              <w:t>ef context statement.</w:t>
            </w:r>
          </w:p>
        </w:tc>
      </w:tr>
      <w:tr w:rsidTr="00C07D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07D31" w:rsidP="00C07D31">
            <w:pPr>
              <w:pStyle w:val="BodyText"/>
            </w:pPr>
            <w:r w:rsidRPr="00C07D3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07D31">
            <w:pPr>
              <w:pStyle w:val="BodyText"/>
              <w:rPr>
                <w:lang w:val="en-NZ"/>
              </w:rPr>
            </w:pPr>
            <w:r w:rsidRPr="00C07D31">
              <w:rPr>
                <w:rStyle w:val="SpecialBold"/>
              </w:rPr>
              <w:t>DESCRIPTION</w:t>
            </w:r>
          </w:p>
        </w:tc>
      </w:tr>
      <w:tr w:rsidTr="00C07D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07D31">
            <w:pPr>
              <w:pStyle w:val="BodyText"/>
              <w:rPr>
                <w:lang w:val="en-NZ"/>
              </w:rPr>
            </w:pPr>
            <w:r w:rsidRPr="00C07D31">
              <w:t>Reading skills to:</w:t>
            </w:r>
          </w:p>
        </w:tc>
        <w:tc>
          <w:tcPr>
            <w:tcW w:w="6350" w:type="dxa"/>
            <w:tcBorders>
              <w:top w:val="nil"/>
              <w:left w:val="nil"/>
              <w:bottom w:val="nil"/>
              <w:right w:val="nil"/>
            </w:tcBorders>
            <w:tcMar>
              <w:top w:w="0" w:type="dxa"/>
              <w:left w:w="62" w:type="dxa"/>
              <w:bottom w:w="0" w:type="dxa"/>
              <w:right w:w="62" w:type="dxa"/>
            </w:tcMar>
          </w:tcPr>
          <w:p w:rsidR="00000000" w:rsidP="00C07D31">
            <w:pPr>
              <w:pStyle w:val="ListBullet"/>
              <w:rPr>
                <w:lang w:val="en-NZ"/>
              </w:rPr>
            </w:pPr>
            <w:r w:rsidRPr="00C07D31">
              <w:t>interpret unfamiliar and complex materials describing legal issues and risks and legal compliance requirements.</w:t>
            </w:r>
          </w:p>
        </w:tc>
      </w:tr>
      <w:tr w:rsidTr="00C07D3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07D31">
            <w:pPr>
              <w:pStyle w:val="BodyText"/>
              <w:rPr>
                <w:lang w:val="en-NZ"/>
              </w:rPr>
            </w:pPr>
            <w:r w:rsidRPr="00C07D31">
              <w:t>Writing skills to:</w:t>
            </w:r>
          </w:p>
        </w:tc>
        <w:tc>
          <w:tcPr>
            <w:tcW w:w="6350" w:type="dxa"/>
            <w:tcBorders>
              <w:top w:val="nil"/>
              <w:left w:val="nil"/>
              <w:bottom w:val="nil"/>
              <w:right w:val="nil"/>
            </w:tcBorders>
            <w:tcMar>
              <w:top w:w="0" w:type="dxa"/>
              <w:left w:w="62" w:type="dxa"/>
              <w:bottom w:w="0" w:type="dxa"/>
              <w:right w:w="62" w:type="dxa"/>
            </w:tcMar>
          </w:tcPr>
          <w:p w:rsidR="00000000" w:rsidRPr="00C07D31" w:rsidP="00C07D31">
            <w:pPr>
              <w:pStyle w:val="ListBullet"/>
            </w:pPr>
            <w:r w:rsidRPr="00C07D31">
              <w:t>document identification of legal risks and compliance needs</w:t>
            </w:r>
          </w:p>
          <w:p w:rsidR="00000000" w:rsidRPr="00C07D31" w:rsidP="00C07D31">
            <w:pPr>
              <w:pStyle w:val="ListBullet"/>
            </w:pPr>
            <w:r w:rsidRPr="00C07D31">
              <w:t>document legal risk management strategies and legal compliance actions.</w:t>
            </w:r>
          </w:p>
        </w:tc>
      </w:tr>
    </w:tbl>
    <w:p w:rsidR="00000000" w:rsidRPr="00C07D31" w:rsidP="00C07D31">
      <w:pPr>
        <w:pStyle w:val="BodyText"/>
      </w:pPr>
    </w:p>
    <w:p w:rsidR="00000000" w:rsidRPr="00C07D31" w:rsidP="00C07D31">
      <w:pPr>
        <w:pStyle w:val="AllowPageBreak"/>
      </w:pPr>
    </w:p>
    <w:p w:rsidR="00000000" w:rsidRPr="00C07D31" w:rsidP="00C07D31">
      <w:pPr>
        <w:pStyle w:val="Heading1"/>
      </w:pPr>
      <w:bookmarkStart w:id="8" w:name="O_1232138"/>
      <w:bookmarkEnd w:id="8"/>
      <w:r w:rsidRPr="00C07D31">
        <w:t>Unit Mapping Information</w:t>
      </w:r>
    </w:p>
    <w:p w:rsidR="00000000" w:rsidRPr="00C07D31" w:rsidP="00AB5390">
      <w:pPr>
        <w:pStyle w:val="BodyText"/>
      </w:pPr>
      <w:r w:rsidRPr="00C07D31">
        <w:t>Supersedes and is not equivalent to SITXGLC001 Research and comply with regulatory requirements.</w:t>
      </w:r>
    </w:p>
    <w:p w:rsidR="00000000" w:rsidRPr="00C07D31" w:rsidP="00C07D31">
      <w:pPr>
        <w:pStyle w:val="Heading1"/>
      </w:pPr>
      <w:bookmarkStart w:id="9" w:name="O_1232131"/>
      <w:bookmarkEnd w:id="9"/>
      <w:r w:rsidRPr="00C07D31">
        <w:t>Links</w:t>
      </w:r>
    </w:p>
    <w:p w:rsidR="00000000" w:rsidRPr="00C07D31" w:rsidP="00AB5390">
      <w:pPr>
        <w:pStyle w:val="BodyText"/>
      </w:pPr>
      <w:r w:rsidRPr="00C07D31">
        <w:t>Companion Volum</w:t>
      </w:r>
      <w:r w:rsidRPr="00C07D31">
        <w:t xml:space="preserve">e implementation guides are found in VETNet - </w:t>
      </w:r>
      <w:r>
        <w:fldChar w:fldCharType="begin"/>
      </w:r>
      <w:r>
        <w:instrText xml:space="preserve"> HYPERLINK "https://vetnet.gov.au/Pages/TrainingDocs.aspx?q=68c40a93-e51d-4e0f-bc06-899dff092694" </w:instrText>
      </w:r>
      <w:r>
        <w:fldChar w:fldCharType="separate"/>
      </w:r>
      <w:r w:rsidRPr="000B389D">
        <w:rPr>
          <w:rStyle w:val="Hyperlink"/>
        </w:rPr>
        <w:t>https://vetnet.gov.au/Pages/TrainingDocs.aspx?q=68c40a93-e51d-4e0f-bc06-899dff092694</w:t>
      </w:r>
      <w:r>
        <w:fldChar w:fldCharType="end"/>
      </w:r>
    </w:p>
    <w:p w:rsidR="00000000" w:rsidRPr="00C07D31" w:rsidP="00C07D31"/>
    <w:sectPr w:rsidSect="00C07D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31" w:rsidRPr="00AB5390" w:rsidP="00AB5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9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D31" w:rsidRPr="00AB5390" w:rsidP="00AB5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39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3AF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543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D31"/>
    <w:pPr>
      <w:spacing w:before="360" w:after="60"/>
      <w:outlineLvl w:val="0"/>
    </w:pPr>
    <w:rPr>
      <w:sz w:val="32"/>
    </w:rPr>
  </w:style>
  <w:style w:type="paragraph" w:styleId="Heading2">
    <w:name w:val="heading 2"/>
    <w:basedOn w:val="HeadingBase"/>
    <w:next w:val="BodyText"/>
    <w:link w:val="Heading2Char"/>
    <w:qFormat/>
    <w:rsid w:val="00C07D31"/>
    <w:pPr>
      <w:keepLines/>
      <w:spacing w:before="240" w:after="120"/>
      <w:outlineLvl w:val="1"/>
    </w:pPr>
    <w:rPr>
      <w:sz w:val="28"/>
      <w:szCs w:val="40"/>
    </w:rPr>
  </w:style>
  <w:style w:type="paragraph" w:styleId="Heading3">
    <w:name w:val="heading 3"/>
    <w:basedOn w:val="HeadingBase"/>
    <w:next w:val="BodyText"/>
    <w:link w:val="Heading3Char"/>
    <w:qFormat/>
    <w:rsid w:val="00C07D31"/>
    <w:pPr>
      <w:spacing w:before="180" w:after="120"/>
      <w:outlineLvl w:val="2"/>
    </w:pPr>
    <w:rPr>
      <w:spacing w:val="-10"/>
      <w:kern w:val="32"/>
    </w:rPr>
  </w:style>
  <w:style w:type="paragraph" w:styleId="Heading4">
    <w:name w:val="heading 4"/>
    <w:basedOn w:val="HeadingBase"/>
    <w:next w:val="BodyText"/>
    <w:link w:val="Heading4Char"/>
    <w:qFormat/>
    <w:rsid w:val="00C07D31"/>
    <w:pPr>
      <w:spacing w:before="160" w:after="120"/>
      <w:outlineLvl w:val="3"/>
    </w:pPr>
    <w:rPr>
      <w:sz w:val="22"/>
    </w:rPr>
  </w:style>
  <w:style w:type="paragraph" w:styleId="Heading5">
    <w:name w:val="heading 5"/>
    <w:basedOn w:val="HeadingBase"/>
    <w:next w:val="Normal"/>
    <w:link w:val="Heading5Char"/>
    <w:qFormat/>
    <w:rsid w:val="00C07D31"/>
    <w:pPr>
      <w:spacing w:before="80"/>
      <w:outlineLvl w:val="4"/>
    </w:pPr>
    <w:rPr>
      <w:color w:val="918585"/>
      <w:sz w:val="20"/>
    </w:rPr>
  </w:style>
  <w:style w:type="paragraph" w:styleId="Heading6">
    <w:name w:val="heading 6"/>
    <w:basedOn w:val="HeadingBase"/>
    <w:next w:val="Normal"/>
    <w:link w:val="Heading6Char"/>
    <w:qFormat/>
    <w:rsid w:val="00C07D31"/>
    <w:pPr>
      <w:spacing w:before="60"/>
      <w:outlineLvl w:val="5"/>
    </w:pPr>
    <w:rPr>
      <w:color w:val="918585"/>
      <w:sz w:val="20"/>
    </w:rPr>
  </w:style>
  <w:style w:type="paragraph" w:styleId="Heading7">
    <w:name w:val="heading 7"/>
    <w:basedOn w:val="Normal"/>
    <w:next w:val="Normal"/>
    <w:link w:val="Heading7Char"/>
    <w:qFormat/>
    <w:rsid w:val="00C07D31"/>
    <w:pPr>
      <w:ind w:left="720"/>
      <w:outlineLvl w:val="6"/>
    </w:pPr>
    <w:rPr>
      <w:i/>
    </w:rPr>
  </w:style>
  <w:style w:type="paragraph" w:styleId="Heading8">
    <w:name w:val="heading 8"/>
    <w:basedOn w:val="Normal"/>
    <w:next w:val="Normal"/>
    <w:link w:val="Heading8Char"/>
    <w:qFormat/>
    <w:rsid w:val="00C07D31"/>
    <w:pPr>
      <w:ind w:left="720"/>
      <w:outlineLvl w:val="7"/>
    </w:pPr>
    <w:rPr>
      <w:i/>
    </w:rPr>
  </w:style>
  <w:style w:type="paragraph" w:styleId="Heading9">
    <w:name w:val="heading 9"/>
    <w:basedOn w:val="Normal"/>
    <w:next w:val="Normal"/>
    <w:link w:val="Heading9Char"/>
    <w:qFormat/>
    <w:rsid w:val="00C07D31"/>
    <w:pPr>
      <w:ind w:left="720"/>
      <w:outlineLvl w:val="8"/>
    </w:pPr>
    <w:rPr>
      <w:i/>
    </w:rPr>
  </w:style>
  <w:style w:type="character" w:default="1" w:styleId="DefaultParagraphFont">
    <w:name w:val="Default Paragraph Font"/>
    <w:uiPriority w:val="1"/>
    <w:unhideWhenUsed/>
    <w:rsid w:val="00C07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D31"/>
  </w:style>
  <w:style w:type="character" w:customStyle="1" w:styleId="Heading1Char">
    <w:name w:val="Heading 1 Char"/>
    <w:basedOn w:val="DefaultParagraphFont"/>
    <w:link w:val="Heading1"/>
    <w:rsid w:val="00C07D31"/>
    <w:rPr>
      <w:rFonts w:ascii="Times New Roman" w:eastAsia="Times New Roman" w:hAnsi="Times New Roman" w:cs="Times New Roman"/>
      <w:b/>
      <w:sz w:val="32"/>
      <w:szCs w:val="20"/>
      <w:lang w:eastAsia="en-US"/>
    </w:rPr>
  </w:style>
  <w:style w:type="paragraph" w:styleId="BodyText">
    <w:name w:val="Body Text"/>
    <w:basedOn w:val="Normal"/>
    <w:link w:val="BodyTextChar"/>
    <w:rsid w:val="00C07D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D31"/>
    <w:rPr>
      <w:rFonts w:ascii="Times New Roman" w:eastAsia="Times New Roman" w:hAnsi="Times New Roman" w:cs="Times New Roman"/>
      <w:sz w:val="24"/>
      <w:lang w:eastAsia="en-US"/>
    </w:rPr>
  </w:style>
  <w:style w:type="paragraph" w:styleId="List">
    <w:name w:val="List"/>
    <w:basedOn w:val="BodyText"/>
    <w:next w:val="BodyText"/>
    <w:rsid w:val="00C07D31"/>
    <w:pPr>
      <w:tabs>
        <w:tab w:val="left" w:pos="340"/>
      </w:tabs>
      <w:spacing w:before="60" w:after="60"/>
      <w:ind w:left="340" w:hanging="340"/>
    </w:pPr>
  </w:style>
  <w:style w:type="paragraph" w:styleId="ListBullet">
    <w:name w:val="List Bullet"/>
    <w:basedOn w:val="List"/>
    <w:rsid w:val="00C07D31"/>
    <w:pPr>
      <w:numPr>
        <w:numId w:val="11"/>
      </w:numPr>
      <w:tabs>
        <w:tab w:val="clear" w:pos="340"/>
      </w:tabs>
      <w:spacing w:before="40" w:after="40"/>
    </w:pPr>
  </w:style>
  <w:style w:type="character" w:customStyle="1" w:styleId="SpecialBold">
    <w:name w:val="Special Bold"/>
    <w:basedOn w:val="DefaultParagraphFont"/>
    <w:rsid w:val="00C07D31"/>
    <w:rPr>
      <w:b/>
      <w:spacing w:val="0"/>
    </w:rPr>
  </w:style>
  <w:style w:type="character" w:styleId="Emphasis">
    <w:name w:val="Emphasis"/>
    <w:basedOn w:val="DefaultParagraphFont"/>
    <w:qFormat/>
    <w:rsid w:val="00C07D31"/>
    <w:rPr>
      <w:i/>
    </w:rPr>
  </w:style>
  <w:style w:type="paragraph" w:customStyle="1" w:styleId="SuperHeading">
    <w:name w:val="SuperHeading"/>
    <w:basedOn w:val="Normal"/>
    <w:rsid w:val="00C07D31"/>
    <w:pPr>
      <w:spacing w:before="240" w:after="120"/>
      <w:outlineLvl w:val="0"/>
    </w:pPr>
    <w:rPr>
      <w:rFonts w:ascii="Times New Roman" w:hAnsi="Times New Roman"/>
      <w:b/>
      <w:sz w:val="32"/>
    </w:rPr>
  </w:style>
  <w:style w:type="paragraph" w:customStyle="1" w:styleId="AllowPageBreak">
    <w:name w:val="AllowPageBreak"/>
    <w:rsid w:val="00C07D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D31"/>
    <w:rPr>
      <w:rFonts w:ascii="Courier New" w:eastAsia="Times New Roman" w:hAnsi="Courier New" w:cs="Times New Roman"/>
      <w:i/>
      <w:szCs w:val="20"/>
      <w:lang w:eastAsia="en-US"/>
    </w:rPr>
  </w:style>
  <w:style w:type="paragraph" w:customStyle="1" w:styleId="HeadingBase">
    <w:name w:val="Heading Base"/>
    <w:rsid w:val="00C07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D31"/>
    <w:pPr>
      <w:tabs>
        <w:tab w:val="right" w:leader="dot" w:pos="9072"/>
      </w:tabs>
      <w:ind w:left="567"/>
    </w:pPr>
    <w:rPr>
      <w:szCs w:val="22"/>
    </w:rPr>
  </w:style>
  <w:style w:type="paragraph" w:customStyle="1" w:styleId="TOCBase">
    <w:name w:val="TOC Base"/>
    <w:rsid w:val="00C07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D31"/>
    <w:pPr>
      <w:tabs>
        <w:tab w:val="right" w:leader="dot" w:pos="9072"/>
      </w:tabs>
      <w:spacing w:before="40" w:after="40"/>
      <w:ind w:left="284"/>
    </w:pPr>
    <w:rPr>
      <w:rFonts w:ascii="Times New Roman" w:hAnsi="Times New Roman"/>
    </w:rPr>
  </w:style>
  <w:style w:type="paragraph" w:styleId="TOC1">
    <w:name w:val="toc 1"/>
    <w:basedOn w:val="TOCBase"/>
    <w:next w:val="Normal"/>
    <w:rsid w:val="00C07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D31"/>
    <w:rPr>
      <w:rFonts w:ascii="Times New Roman" w:eastAsia="Times New Roman" w:hAnsi="Times New Roman" w:cs="Times New Roman"/>
      <w:sz w:val="16"/>
      <w:lang w:eastAsia="en-US"/>
    </w:rPr>
  </w:style>
  <w:style w:type="paragraph" w:styleId="Title">
    <w:name w:val="Title"/>
    <w:basedOn w:val="HeadingBase"/>
    <w:link w:val="TitleChar"/>
    <w:qFormat/>
    <w:rsid w:val="00C07D31"/>
    <w:pPr>
      <w:spacing w:before="5040"/>
      <w:jc w:val="center"/>
    </w:pPr>
    <w:rPr>
      <w:sz w:val="48"/>
      <w:szCs w:val="72"/>
      <w:lang w:val="en-US"/>
    </w:rPr>
  </w:style>
  <w:style w:type="character" w:customStyle="1" w:styleId="TitleChar">
    <w:name w:val="Title Char"/>
    <w:basedOn w:val="DefaultParagraphFont"/>
    <w:link w:val="Title"/>
    <w:rsid w:val="00C07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D31"/>
    <w:pPr>
      <w:tabs>
        <w:tab w:val="left" w:pos="3600"/>
        <w:tab w:val="left" w:pos="3958"/>
      </w:tabs>
    </w:pPr>
  </w:style>
  <w:style w:type="paragraph" w:customStyle="1" w:styleId="Note">
    <w:name w:val="Note"/>
    <w:basedOn w:val="BodyText"/>
    <w:rsid w:val="00C07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D31"/>
    <w:pPr>
      <w:framePr w:wrap="auto" w:hAnchor="text" w:y="6049"/>
    </w:pPr>
    <w:rPr>
      <w:color w:val="000000"/>
      <w:sz w:val="40"/>
    </w:rPr>
  </w:style>
  <w:style w:type="paragraph" w:customStyle="1" w:styleId="TOCTitle">
    <w:name w:val="TOCTitle"/>
    <w:basedOn w:val="Heading1"/>
    <w:rsid w:val="00C07D31"/>
    <w:pPr>
      <w:spacing w:after="240"/>
      <w:jc w:val="center"/>
      <w:outlineLvl w:val="9"/>
    </w:pPr>
    <w:rPr>
      <w:caps/>
    </w:rPr>
  </w:style>
  <w:style w:type="paragraph" w:customStyle="1" w:styleId="Version">
    <w:name w:val="Version"/>
    <w:rsid w:val="00C07D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D31"/>
    <w:pPr>
      <w:numPr>
        <w:numId w:val="12"/>
      </w:numPr>
      <w:tabs>
        <w:tab w:val="clear" w:pos="680"/>
      </w:tabs>
    </w:pPr>
  </w:style>
  <w:style w:type="paragraph" w:styleId="Index1">
    <w:name w:val="index 1"/>
    <w:basedOn w:val="Normal"/>
    <w:next w:val="Normal"/>
    <w:semiHidden/>
    <w:rsid w:val="00C07D31"/>
    <w:pPr>
      <w:keepNext w:val="0"/>
      <w:tabs>
        <w:tab w:val="right" w:pos="4176"/>
      </w:tabs>
      <w:ind w:left="198" w:hanging="198"/>
    </w:pPr>
    <w:rPr>
      <w:rFonts w:ascii="Garamond" w:hAnsi="Garamond"/>
    </w:rPr>
  </w:style>
  <w:style w:type="paragraph" w:styleId="IndexHeading">
    <w:name w:val="index heading"/>
    <w:basedOn w:val="Normal"/>
    <w:next w:val="Index1"/>
    <w:semiHidden/>
    <w:rsid w:val="00C07D31"/>
    <w:pPr>
      <w:spacing w:before="120" w:after="120"/>
    </w:pPr>
    <w:rPr>
      <w:rFonts w:ascii="Arial" w:hAnsi="Arial"/>
      <w:b/>
      <w:color w:val="918585"/>
      <w:sz w:val="24"/>
    </w:rPr>
  </w:style>
  <w:style w:type="paragraph" w:styleId="Header">
    <w:name w:val="header"/>
    <w:basedOn w:val="Normal"/>
    <w:link w:val="HeaderChar"/>
    <w:rsid w:val="00C07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D31"/>
    <w:rPr>
      <w:rFonts w:ascii="Times New Roman" w:eastAsia="Times New Roman" w:hAnsi="Times New Roman" w:cs="Times New Roman"/>
      <w:sz w:val="16"/>
      <w:szCs w:val="20"/>
      <w:lang w:val="en-GB" w:eastAsia="en-US"/>
    </w:rPr>
  </w:style>
  <w:style w:type="paragraph" w:customStyle="1" w:styleId="Chapter">
    <w:name w:val="Chapter"/>
    <w:basedOn w:val="Normal"/>
    <w:rsid w:val="00C07D31"/>
    <w:pPr>
      <w:spacing w:before="240"/>
    </w:pPr>
    <w:rPr>
      <w:rFonts w:ascii="Times New Roman" w:hAnsi="Times New Roman"/>
      <w:smallCaps/>
      <w:spacing w:val="80"/>
      <w:sz w:val="28"/>
    </w:rPr>
  </w:style>
  <w:style w:type="paragraph" w:customStyle="1" w:styleId="InChapter">
    <w:name w:val="InChapter"/>
    <w:basedOn w:val="Heading3"/>
    <w:rsid w:val="00C07D31"/>
    <w:pPr>
      <w:spacing w:after="240"/>
      <w:outlineLvl w:val="9"/>
    </w:pPr>
    <w:rPr>
      <w:noProof/>
    </w:rPr>
  </w:style>
  <w:style w:type="paragraph" w:styleId="Index2">
    <w:name w:val="index 2"/>
    <w:basedOn w:val="Normal"/>
    <w:next w:val="Normal"/>
    <w:semiHidden/>
    <w:rsid w:val="00C07D31"/>
    <w:pPr>
      <w:tabs>
        <w:tab w:val="right" w:pos="4176"/>
      </w:tabs>
      <w:ind w:left="568" w:hanging="284"/>
    </w:pPr>
    <w:rPr>
      <w:rFonts w:ascii="Garamond" w:hAnsi="Garamond"/>
    </w:rPr>
  </w:style>
  <w:style w:type="paragraph" w:customStyle="1" w:styleId="Byline">
    <w:name w:val="Byline"/>
    <w:rsid w:val="00C07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D31"/>
    <w:pPr>
      <w:tabs>
        <w:tab w:val="clear" w:pos="3600"/>
        <w:tab w:val="clear" w:pos="3958"/>
      </w:tabs>
      <w:jc w:val="right"/>
    </w:pPr>
  </w:style>
  <w:style w:type="paragraph" w:styleId="Caption">
    <w:name w:val="caption"/>
    <w:basedOn w:val="BodyText"/>
    <w:next w:val="Normal"/>
    <w:qFormat/>
    <w:rsid w:val="00C07D31"/>
    <w:pPr>
      <w:framePr w:w="2268" w:hSpace="181" w:vSpace="181" w:wrap="around" w:vAnchor="text" w:hAnchor="page" w:x="1135" w:y="285" w:anchorLock="1"/>
    </w:pPr>
    <w:rPr>
      <w:i/>
    </w:rPr>
  </w:style>
  <w:style w:type="paragraph" w:customStyle="1" w:styleId="MiniTOCTitle">
    <w:name w:val="MiniTOCTitle"/>
    <w:basedOn w:val="Heading4"/>
    <w:rsid w:val="00C07D31"/>
    <w:pPr>
      <w:spacing w:before="240"/>
      <w:outlineLvl w:val="9"/>
    </w:pPr>
    <w:rPr>
      <w:noProof/>
      <w:sz w:val="24"/>
    </w:rPr>
  </w:style>
  <w:style w:type="paragraph" w:customStyle="1" w:styleId="MiniTOCItem">
    <w:name w:val="MiniTOCItem"/>
    <w:basedOn w:val="ListBullet"/>
    <w:rsid w:val="00C07D31"/>
    <w:pPr>
      <w:numPr>
        <w:numId w:val="0"/>
      </w:numPr>
      <w:tabs>
        <w:tab w:val="right" w:leader="dot" w:pos="6521"/>
      </w:tabs>
      <w:spacing w:before="0" w:after="0"/>
    </w:pPr>
  </w:style>
  <w:style w:type="paragraph" w:customStyle="1" w:styleId="TOFTitle">
    <w:name w:val="TOFTitle"/>
    <w:basedOn w:val="TOCTitle"/>
    <w:rsid w:val="00C07D31"/>
  </w:style>
  <w:style w:type="paragraph" w:styleId="TableofFigures">
    <w:name w:val="table of figures"/>
    <w:basedOn w:val="Normal"/>
    <w:next w:val="Normal"/>
    <w:semiHidden/>
    <w:rsid w:val="00C07D31"/>
    <w:pPr>
      <w:tabs>
        <w:tab w:val="right" w:leader="dot" w:pos="9072"/>
      </w:tabs>
      <w:ind w:left="970" w:hanging="403"/>
    </w:pPr>
    <w:rPr>
      <w:rFonts w:ascii="Times New Roman" w:hAnsi="Times New Roman"/>
      <w:b/>
    </w:rPr>
  </w:style>
  <w:style w:type="paragraph" w:styleId="ListNumber">
    <w:name w:val="List Number"/>
    <w:basedOn w:val="List"/>
    <w:rsid w:val="00C07D31"/>
    <w:pPr>
      <w:numPr>
        <w:numId w:val="14"/>
      </w:numPr>
      <w:tabs>
        <w:tab w:val="clear" w:pos="340"/>
      </w:tabs>
    </w:pPr>
  </w:style>
  <w:style w:type="character" w:customStyle="1" w:styleId="WingdingSymbols">
    <w:name w:val="Wingding Symbols"/>
    <w:rsid w:val="00C07D31"/>
    <w:rPr>
      <w:rFonts w:ascii="Wingdings" w:hAnsi="Wingdings"/>
    </w:rPr>
  </w:style>
  <w:style w:type="paragraph" w:customStyle="1" w:styleId="TableHeading">
    <w:name w:val="Table Heading"/>
    <w:basedOn w:val="HeadingBase"/>
    <w:rsid w:val="00C07D31"/>
    <w:pPr>
      <w:keepLines/>
      <w:pBdr>
        <w:bottom w:val="single" w:sz="6" w:space="1" w:color="918585"/>
      </w:pBdr>
      <w:spacing w:before="240"/>
    </w:pPr>
  </w:style>
  <w:style w:type="character" w:customStyle="1" w:styleId="HotSpot">
    <w:name w:val="HotSpot"/>
    <w:rsid w:val="00C07D31"/>
    <w:rPr>
      <w:color w:val="0033CC"/>
      <w:u w:val="none"/>
    </w:rPr>
  </w:style>
  <w:style w:type="paragraph" w:customStyle="1" w:styleId="BodyTextRight">
    <w:name w:val="Body Text Right"/>
    <w:basedOn w:val="BodyText"/>
    <w:rsid w:val="00C07D31"/>
    <w:pPr>
      <w:spacing w:before="0" w:after="0"/>
      <w:jc w:val="right"/>
    </w:pPr>
  </w:style>
  <w:style w:type="paragraph" w:styleId="Index3">
    <w:name w:val="index 3"/>
    <w:basedOn w:val="ListNumber2"/>
    <w:next w:val="Normal"/>
    <w:semiHidden/>
    <w:rsid w:val="00C07D31"/>
    <w:pPr>
      <w:numPr>
        <w:numId w:val="0"/>
      </w:numPr>
      <w:tabs>
        <w:tab w:val="right" w:leader="dot" w:pos="4176"/>
      </w:tabs>
    </w:pPr>
  </w:style>
  <w:style w:type="paragraph" w:styleId="ListNumber2">
    <w:name w:val="List Number 2"/>
    <w:basedOn w:val="List2"/>
    <w:rsid w:val="00C07D31"/>
    <w:pPr>
      <w:numPr>
        <w:numId w:val="9"/>
      </w:numPr>
      <w:tabs>
        <w:tab w:val="clear" w:pos="1060"/>
      </w:tabs>
    </w:pPr>
  </w:style>
  <w:style w:type="paragraph" w:customStyle="1" w:styleId="MarginNote">
    <w:name w:val="Margin Note"/>
    <w:basedOn w:val="BodyText"/>
    <w:rsid w:val="00C07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D31"/>
    <w:rPr>
      <w:sz w:val="32"/>
    </w:rPr>
  </w:style>
  <w:style w:type="paragraph" w:customStyle="1" w:styleId="HeadingProcedure">
    <w:name w:val="Heading Procedure"/>
    <w:basedOn w:val="HeadingBase"/>
    <w:next w:val="Normal"/>
    <w:rsid w:val="00C07D31"/>
    <w:pPr>
      <w:tabs>
        <w:tab w:val="left" w:pos="0"/>
      </w:tabs>
      <w:spacing w:before="120" w:after="60"/>
    </w:pPr>
    <w:rPr>
      <w:i/>
      <w:color w:val="918585"/>
      <w:sz w:val="22"/>
    </w:rPr>
  </w:style>
  <w:style w:type="paragraph" w:customStyle="1" w:styleId="TableBodyText">
    <w:name w:val="Table Body Text"/>
    <w:basedOn w:val="BodyText"/>
    <w:rsid w:val="00C07D31"/>
    <w:pPr>
      <w:spacing w:before="60" w:after="60"/>
    </w:pPr>
  </w:style>
  <w:style w:type="paragraph" w:styleId="ListContinue">
    <w:name w:val="List Continue"/>
    <w:basedOn w:val="List"/>
    <w:rsid w:val="00C07D31"/>
    <w:pPr>
      <w:ind w:firstLine="0"/>
    </w:pPr>
  </w:style>
  <w:style w:type="paragraph" w:customStyle="1" w:styleId="ListNote">
    <w:name w:val="List Note"/>
    <w:basedOn w:val="List"/>
    <w:rsid w:val="00C07D31"/>
    <w:pPr>
      <w:pBdr>
        <w:top w:val="single" w:sz="6" w:space="2" w:color="918585"/>
        <w:bottom w:val="single" w:sz="6" w:space="2" w:color="918585"/>
      </w:pBdr>
      <w:tabs>
        <w:tab w:val="left" w:pos="1021"/>
      </w:tabs>
      <w:ind w:firstLine="0"/>
    </w:pPr>
  </w:style>
  <w:style w:type="paragraph" w:customStyle="1" w:styleId="Warning">
    <w:name w:val="Warning"/>
    <w:basedOn w:val="BodyText"/>
    <w:rsid w:val="00C07D31"/>
    <w:pPr>
      <w:shd w:val="clear" w:color="auto" w:fill="D9D9D9"/>
      <w:tabs>
        <w:tab w:val="left" w:pos="992"/>
      </w:tabs>
      <w:ind w:left="119" w:right="119"/>
    </w:pPr>
    <w:rPr>
      <w:sz w:val="20"/>
    </w:rPr>
  </w:style>
  <w:style w:type="paragraph" w:customStyle="1" w:styleId="MarginIcons">
    <w:name w:val="Margin Icons"/>
    <w:basedOn w:val="BodyText"/>
    <w:rsid w:val="00C07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D31"/>
    <w:rPr>
      <w:rFonts w:ascii="Courier New" w:hAnsi="Courier New"/>
    </w:rPr>
  </w:style>
  <w:style w:type="paragraph" w:customStyle="1" w:styleId="NoteBullet">
    <w:name w:val="Note Bullet"/>
    <w:basedOn w:val="Note"/>
    <w:rsid w:val="00C07D31"/>
    <w:pPr>
      <w:tabs>
        <w:tab w:val="clear" w:pos="680"/>
      </w:tabs>
      <w:spacing w:before="60" w:after="60"/>
    </w:pPr>
  </w:style>
  <w:style w:type="paragraph" w:customStyle="1" w:styleId="SubHeading2">
    <w:name w:val="SubHeading2"/>
    <w:basedOn w:val="HeadingBase"/>
    <w:rsid w:val="00C07D31"/>
    <w:pPr>
      <w:spacing w:before="240" w:after="60"/>
    </w:pPr>
    <w:rPr>
      <w:sz w:val="20"/>
    </w:rPr>
  </w:style>
  <w:style w:type="paragraph" w:customStyle="1" w:styleId="SubHeading1">
    <w:name w:val="SubHeading1"/>
    <w:basedOn w:val="HeadingBase"/>
    <w:rsid w:val="00C07D31"/>
    <w:pPr>
      <w:spacing w:before="240" w:after="60"/>
    </w:pPr>
    <w:rPr>
      <w:color w:val="918585"/>
      <w:sz w:val="22"/>
    </w:rPr>
  </w:style>
  <w:style w:type="paragraph" w:customStyle="1" w:styleId="SideHeading">
    <w:name w:val="Side Heading"/>
    <w:basedOn w:val="HeadingBase"/>
    <w:rsid w:val="00C07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D31"/>
    <w:pPr>
      <w:numPr>
        <w:numId w:val="10"/>
      </w:numPr>
    </w:pPr>
  </w:style>
  <w:style w:type="paragraph" w:styleId="PlainText">
    <w:name w:val="Plain Text"/>
    <w:basedOn w:val="Normal"/>
    <w:link w:val="PlainTextChar"/>
    <w:rsid w:val="00C07D31"/>
    <w:rPr>
      <w:sz w:val="20"/>
    </w:rPr>
  </w:style>
  <w:style w:type="character" w:customStyle="1" w:styleId="PlainTextChar">
    <w:name w:val="Plain Text Char"/>
    <w:basedOn w:val="DefaultParagraphFont"/>
    <w:link w:val="PlainText"/>
    <w:rsid w:val="00C07D31"/>
    <w:rPr>
      <w:rFonts w:ascii="Courier New" w:eastAsia="Times New Roman" w:hAnsi="Courier New" w:cs="Times New Roman"/>
      <w:sz w:val="20"/>
      <w:szCs w:val="20"/>
      <w:lang w:eastAsia="en-US"/>
    </w:rPr>
  </w:style>
  <w:style w:type="character" w:customStyle="1" w:styleId="MenuOption">
    <w:name w:val="Menu Option"/>
    <w:basedOn w:val="DefaultParagraphFont"/>
    <w:rsid w:val="00C07D31"/>
    <w:rPr>
      <w:b/>
      <w:smallCaps/>
    </w:rPr>
  </w:style>
  <w:style w:type="paragraph" w:customStyle="1" w:styleId="TableListNumber">
    <w:name w:val="Table List Number"/>
    <w:basedOn w:val="ListNumber"/>
    <w:rsid w:val="00C07D31"/>
    <w:pPr>
      <w:numPr>
        <w:numId w:val="0"/>
      </w:numPr>
    </w:pPr>
  </w:style>
  <w:style w:type="paragraph" w:styleId="TOC4">
    <w:name w:val="toc 4"/>
    <w:basedOn w:val="TOCBase"/>
    <w:next w:val="Normal"/>
    <w:semiHidden/>
    <w:rsid w:val="00C07D31"/>
    <w:pPr>
      <w:tabs>
        <w:tab w:val="right" w:leader="dot" w:pos="9071"/>
      </w:tabs>
      <w:ind w:left="1701"/>
    </w:pPr>
  </w:style>
  <w:style w:type="paragraph" w:customStyle="1" w:styleId="ListAlpha">
    <w:name w:val="List Alpha"/>
    <w:basedOn w:val="List"/>
    <w:rsid w:val="00C07D31"/>
    <w:pPr>
      <w:numPr>
        <w:numId w:val="8"/>
      </w:numPr>
    </w:pPr>
  </w:style>
  <w:style w:type="paragraph" w:customStyle="1" w:styleId="ListAlpha2">
    <w:name w:val="List Alpha 2"/>
    <w:basedOn w:val="List2"/>
    <w:rsid w:val="00C07D31"/>
    <w:pPr>
      <w:numPr>
        <w:numId w:val="7"/>
      </w:numPr>
    </w:pPr>
  </w:style>
  <w:style w:type="paragraph" w:styleId="List2">
    <w:name w:val="List 2"/>
    <w:basedOn w:val="BodyText"/>
    <w:rsid w:val="00C07D31"/>
    <w:pPr>
      <w:tabs>
        <w:tab w:val="left" w:pos="680"/>
      </w:tabs>
      <w:spacing w:before="60" w:after="60"/>
      <w:ind w:left="680" w:hanging="340"/>
    </w:pPr>
  </w:style>
  <w:style w:type="paragraph" w:styleId="List3">
    <w:name w:val="List 3"/>
    <w:basedOn w:val="BodyText"/>
    <w:rsid w:val="00C07D31"/>
    <w:pPr>
      <w:tabs>
        <w:tab w:val="left" w:pos="1021"/>
      </w:tabs>
      <w:spacing w:before="60" w:after="60"/>
      <w:ind w:left="1020" w:hanging="340"/>
    </w:pPr>
  </w:style>
  <w:style w:type="paragraph" w:styleId="List4">
    <w:name w:val="List 4"/>
    <w:basedOn w:val="BodyText"/>
    <w:rsid w:val="00C07D31"/>
    <w:pPr>
      <w:tabs>
        <w:tab w:val="left" w:pos="1361"/>
      </w:tabs>
      <w:spacing w:before="60" w:after="60"/>
      <w:ind w:left="1361" w:hanging="340"/>
    </w:pPr>
  </w:style>
  <w:style w:type="paragraph" w:styleId="List5">
    <w:name w:val="List 5"/>
    <w:basedOn w:val="BodyText"/>
    <w:rsid w:val="00C07D31"/>
    <w:pPr>
      <w:tabs>
        <w:tab w:val="left" w:pos="1701"/>
      </w:tabs>
      <w:spacing w:before="60" w:after="60"/>
      <w:ind w:left="1701" w:hanging="340"/>
    </w:pPr>
  </w:style>
  <w:style w:type="paragraph" w:styleId="ListBullet3">
    <w:name w:val="List Bullet 3"/>
    <w:basedOn w:val="List3"/>
    <w:rsid w:val="00C07D31"/>
    <w:pPr>
      <w:numPr>
        <w:numId w:val="13"/>
      </w:numPr>
      <w:tabs>
        <w:tab w:val="clear" w:pos="1021"/>
      </w:tabs>
      <w:ind w:left="1037" w:hanging="357"/>
    </w:pPr>
  </w:style>
  <w:style w:type="paragraph" w:styleId="ListBullet4">
    <w:name w:val="List Bullet 4"/>
    <w:basedOn w:val="List4"/>
    <w:rsid w:val="00C07D31"/>
    <w:pPr>
      <w:numPr>
        <w:numId w:val="2"/>
      </w:numPr>
      <w:tabs>
        <w:tab w:val="clear" w:pos="1361"/>
      </w:tabs>
    </w:pPr>
  </w:style>
  <w:style w:type="paragraph" w:styleId="ListBullet5">
    <w:name w:val="List Bullet 5"/>
    <w:basedOn w:val="List5"/>
    <w:rsid w:val="00C07D31"/>
    <w:pPr>
      <w:numPr>
        <w:numId w:val="3"/>
      </w:numPr>
    </w:pPr>
  </w:style>
  <w:style w:type="paragraph" w:styleId="ListContinue2">
    <w:name w:val="List Continue 2"/>
    <w:basedOn w:val="List2"/>
    <w:rsid w:val="00C07D31"/>
    <w:pPr>
      <w:ind w:firstLine="0"/>
    </w:pPr>
  </w:style>
  <w:style w:type="paragraph" w:styleId="ListContinue3">
    <w:name w:val="List Continue 3"/>
    <w:basedOn w:val="List3"/>
    <w:rsid w:val="00C07D31"/>
    <w:pPr>
      <w:ind w:left="1021" w:firstLine="0"/>
    </w:pPr>
  </w:style>
  <w:style w:type="paragraph" w:styleId="ListContinue4">
    <w:name w:val="List Continue 4"/>
    <w:basedOn w:val="List4"/>
    <w:rsid w:val="00C07D31"/>
    <w:pPr>
      <w:ind w:firstLine="0"/>
    </w:pPr>
  </w:style>
  <w:style w:type="paragraph" w:styleId="ListContinue5">
    <w:name w:val="List Continue 5"/>
    <w:basedOn w:val="List5"/>
    <w:rsid w:val="00C07D31"/>
    <w:pPr>
      <w:ind w:firstLine="0"/>
    </w:pPr>
  </w:style>
  <w:style w:type="paragraph" w:styleId="ListNumber3">
    <w:name w:val="List Number 3"/>
    <w:basedOn w:val="List3"/>
    <w:rsid w:val="00C07D31"/>
    <w:pPr>
      <w:numPr>
        <w:numId w:val="4"/>
      </w:numPr>
    </w:pPr>
  </w:style>
  <w:style w:type="paragraph" w:styleId="ListNumber4">
    <w:name w:val="List Number 4"/>
    <w:basedOn w:val="List4"/>
    <w:rsid w:val="00C07D31"/>
    <w:pPr>
      <w:numPr>
        <w:numId w:val="5"/>
      </w:numPr>
    </w:pPr>
  </w:style>
  <w:style w:type="paragraph" w:styleId="ListNumber5">
    <w:name w:val="List Number 5"/>
    <w:basedOn w:val="List5"/>
    <w:rsid w:val="00C07D31"/>
    <w:pPr>
      <w:numPr>
        <w:numId w:val="6"/>
      </w:numPr>
    </w:pPr>
  </w:style>
  <w:style w:type="paragraph" w:styleId="BlockText">
    <w:name w:val="Block Text"/>
    <w:basedOn w:val="Normal"/>
    <w:rsid w:val="00C07D31"/>
    <w:pPr>
      <w:spacing w:after="120"/>
      <w:ind w:left="1440" w:right="1440"/>
    </w:pPr>
  </w:style>
  <w:style w:type="character" w:customStyle="1" w:styleId="Subscript">
    <w:name w:val="Subscript"/>
    <w:basedOn w:val="DefaultParagraphFont"/>
    <w:rsid w:val="00C07D31"/>
    <w:rPr>
      <w:sz w:val="16"/>
      <w:vertAlign w:val="subscript"/>
    </w:rPr>
  </w:style>
  <w:style w:type="character" w:customStyle="1" w:styleId="Superscript">
    <w:name w:val="Superscript"/>
    <w:basedOn w:val="DefaultParagraphFont"/>
    <w:rsid w:val="00C07D31"/>
    <w:rPr>
      <w:sz w:val="16"/>
      <w:vertAlign w:val="superscript"/>
    </w:rPr>
  </w:style>
  <w:style w:type="character" w:customStyle="1" w:styleId="Symbols">
    <w:name w:val="Symbols"/>
    <w:basedOn w:val="DefaultParagraphFont"/>
    <w:rsid w:val="00C07D31"/>
    <w:rPr>
      <w:rFonts w:ascii="Symbol" w:hAnsi="Symbol"/>
    </w:rPr>
  </w:style>
  <w:style w:type="character" w:customStyle="1" w:styleId="MenuOptions">
    <w:name w:val="Menu Options"/>
    <w:basedOn w:val="DefaultParagraphFont"/>
    <w:rsid w:val="00C07D31"/>
    <w:rPr>
      <w:rFonts w:ascii="Arial Narrow" w:hAnsi="Arial Narrow"/>
      <w:smallCaps/>
    </w:rPr>
  </w:style>
  <w:style w:type="character" w:customStyle="1" w:styleId="Buttons">
    <w:name w:val="Buttons"/>
    <w:basedOn w:val="DefaultParagraphFont"/>
    <w:rsid w:val="00C07D31"/>
    <w:rPr>
      <w:b/>
    </w:rPr>
  </w:style>
  <w:style w:type="character" w:customStyle="1" w:styleId="Underlined">
    <w:name w:val="Underlined"/>
    <w:basedOn w:val="DefaultParagraphFont"/>
    <w:rsid w:val="00C07D31"/>
    <w:rPr>
      <w:u w:val="single"/>
    </w:rPr>
  </w:style>
  <w:style w:type="paragraph" w:customStyle="1" w:styleId="TableBodyTextRight">
    <w:name w:val="Table Body Text Right"/>
    <w:basedOn w:val="TableBodyText"/>
    <w:rsid w:val="00C07D31"/>
    <w:pPr>
      <w:widowControl w:val="0"/>
      <w:autoSpaceDE w:val="0"/>
      <w:autoSpaceDN w:val="0"/>
      <w:adjustRightInd w:val="0"/>
      <w:jc w:val="right"/>
    </w:pPr>
    <w:rPr>
      <w:rFonts w:cs="Arial"/>
      <w:szCs w:val="18"/>
    </w:rPr>
  </w:style>
  <w:style w:type="paragraph" w:customStyle="1" w:styleId="CopyrightText">
    <w:name w:val="Copyright Text"/>
    <w:basedOn w:val="BodyText"/>
    <w:rsid w:val="00C07D31"/>
    <w:rPr>
      <w:sz w:val="18"/>
    </w:rPr>
  </w:style>
  <w:style w:type="paragraph" w:customStyle="1" w:styleId="BodySmallRight">
    <w:name w:val="Body Small Right"/>
    <w:basedOn w:val="BodyTextRight"/>
    <w:rsid w:val="00C07D31"/>
    <w:rPr>
      <w:sz w:val="18"/>
      <w:szCs w:val="18"/>
    </w:rPr>
  </w:style>
  <w:style w:type="paragraph" w:customStyle="1" w:styleId="MarginEdition">
    <w:name w:val="Margin Edition"/>
    <w:basedOn w:val="MarginNote"/>
    <w:rsid w:val="00C07D31"/>
    <w:pPr>
      <w:spacing w:before="0" w:after="0"/>
    </w:pPr>
    <w:rPr>
      <w:rFonts w:ascii="Times New Roman" w:hAnsi="Times New Roman"/>
      <w:color w:val="999999"/>
    </w:rPr>
  </w:style>
  <w:style w:type="paragraph" w:customStyle="1" w:styleId="Spacer">
    <w:name w:val="Spacer"/>
    <w:basedOn w:val="Normal"/>
    <w:rsid w:val="00C07D31"/>
    <w:rPr>
      <w:sz w:val="2"/>
      <w:szCs w:val="2"/>
    </w:rPr>
  </w:style>
  <w:style w:type="character" w:customStyle="1" w:styleId="Small">
    <w:name w:val="Small"/>
    <w:basedOn w:val="DefaultParagraphFont"/>
    <w:rsid w:val="00C07D31"/>
    <w:rPr>
      <w:sz w:val="16"/>
    </w:rPr>
  </w:style>
  <w:style w:type="paragraph" w:customStyle="1" w:styleId="WideTable">
    <w:name w:val="Wide Table"/>
    <w:basedOn w:val="Normal"/>
    <w:rsid w:val="00C07D31"/>
    <w:pPr>
      <w:ind w:left="-1418"/>
    </w:pPr>
    <w:rPr>
      <w:sz w:val="2"/>
      <w:szCs w:val="2"/>
    </w:rPr>
  </w:style>
  <w:style w:type="character" w:styleId="PageNumber">
    <w:name w:val="page number"/>
    <w:basedOn w:val="DefaultParagraphFont"/>
    <w:rsid w:val="00C07D31"/>
  </w:style>
  <w:style w:type="paragraph" w:styleId="Quote">
    <w:name w:val="Quote"/>
    <w:basedOn w:val="Heading1"/>
    <w:link w:val="QuoteChar"/>
    <w:qFormat/>
    <w:rsid w:val="00C07D31"/>
    <w:rPr>
      <w:b w:val="0"/>
      <w:sz w:val="72"/>
      <w:szCs w:val="72"/>
      <w:lang w:val="en-NZ"/>
    </w:rPr>
  </w:style>
  <w:style w:type="character" w:customStyle="1" w:styleId="QuoteChar">
    <w:name w:val="Quote Char"/>
    <w:basedOn w:val="DefaultParagraphFont"/>
    <w:link w:val="Quote"/>
    <w:rsid w:val="00C07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D31"/>
    <w:pPr>
      <w:pageBreakBefore/>
    </w:pPr>
  </w:style>
  <w:style w:type="paragraph" w:customStyle="1" w:styleId="Border">
    <w:name w:val="Border"/>
    <w:basedOn w:val="Normal"/>
    <w:qFormat/>
    <w:rsid w:val="00C07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D31"/>
    <w:rPr>
      <w:b/>
      <w:bCs/>
      <w:i/>
      <w:iCs/>
      <w:color w:val="auto"/>
    </w:rPr>
  </w:style>
  <w:style w:type="paragraph" w:styleId="IntenseQuote">
    <w:name w:val="Intense Quote"/>
    <w:basedOn w:val="Normal"/>
    <w:next w:val="Normal"/>
    <w:link w:val="IntenseQuoteChar"/>
    <w:uiPriority w:val="30"/>
    <w:qFormat/>
    <w:rsid w:val="00C07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D31"/>
    <w:rPr>
      <w:smallCaps/>
      <w:color w:val="auto"/>
      <w:u w:val="single"/>
    </w:rPr>
  </w:style>
  <w:style w:type="character" w:styleId="IntenseReference">
    <w:name w:val="Intense Reference"/>
    <w:basedOn w:val="DefaultParagraphFont"/>
    <w:uiPriority w:val="32"/>
    <w:qFormat/>
    <w:rsid w:val="00C07D31"/>
    <w:rPr>
      <w:b/>
      <w:bCs/>
      <w:smallCaps/>
      <w:color w:val="auto"/>
      <w:spacing w:val="5"/>
      <w:u w:val="single"/>
    </w:rPr>
  </w:style>
  <w:style w:type="paragraph" w:customStyle="1" w:styleId="2ColumnHeading">
    <w:name w:val="2Column Heading"/>
    <w:basedOn w:val="BodyText"/>
    <w:qFormat/>
    <w:rsid w:val="00C07D31"/>
    <w:pPr>
      <w:spacing w:after="60"/>
      <w:ind w:left="-2268"/>
    </w:pPr>
    <w:rPr>
      <w:b/>
    </w:rPr>
  </w:style>
  <w:style w:type="paragraph" w:customStyle="1" w:styleId="Heading1TOC">
    <w:name w:val="Heading1 TOC"/>
    <w:basedOn w:val="Normal"/>
    <w:qFormat/>
    <w:rsid w:val="00C07D31"/>
    <w:pPr>
      <w:spacing w:before="240" w:after="120"/>
    </w:pPr>
    <w:rPr>
      <w:rFonts w:ascii="Times New Roman" w:hAnsi="Times New Roman"/>
      <w:b/>
      <w:sz w:val="32"/>
    </w:rPr>
  </w:style>
  <w:style w:type="paragraph" w:customStyle="1" w:styleId="Heading2TOC">
    <w:name w:val="Heading2 TOC"/>
    <w:basedOn w:val="Normal"/>
    <w:qFormat/>
    <w:rsid w:val="00C07D31"/>
    <w:pPr>
      <w:spacing w:before="240" w:after="60"/>
    </w:pPr>
    <w:rPr>
      <w:rFonts w:ascii="Times New Roman" w:hAnsi="Times New Roman"/>
      <w:b/>
      <w:sz w:val="28"/>
    </w:rPr>
  </w:style>
  <w:style w:type="character" w:customStyle="1" w:styleId="Underline">
    <w:name w:val="Underline"/>
    <w:basedOn w:val="DefaultParagraphFont"/>
    <w:qFormat/>
    <w:rsid w:val="00C07D31"/>
    <w:rPr>
      <w:u w:val="single"/>
    </w:rPr>
  </w:style>
  <w:style w:type="character" w:customStyle="1" w:styleId="BoldandItalics">
    <w:name w:val="Bold and Italics"/>
    <w:qFormat/>
    <w:rsid w:val="00C07D31"/>
    <w:rPr>
      <w:b/>
      <w:i/>
      <w:u w:val="none"/>
    </w:rPr>
  </w:style>
  <w:style w:type="paragraph" w:styleId="BalloonText">
    <w:name w:val="Balloon Text"/>
    <w:basedOn w:val="Normal"/>
    <w:link w:val="BalloonTextChar"/>
    <w:rsid w:val="00C07D31"/>
    <w:rPr>
      <w:rFonts w:ascii="Tahoma" w:hAnsi="Tahoma" w:cs="Tahoma"/>
      <w:sz w:val="16"/>
      <w:szCs w:val="16"/>
    </w:rPr>
  </w:style>
  <w:style w:type="character" w:customStyle="1" w:styleId="BalloonTextChar">
    <w:name w:val="Balloon Text Char"/>
    <w:basedOn w:val="DefaultParagraphFont"/>
    <w:link w:val="BalloonText"/>
    <w:rsid w:val="00C07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D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D31"/>
    <w:rPr>
      <w:b/>
      <w:color w:val="660033"/>
      <w:spacing w:val="0"/>
    </w:rPr>
  </w:style>
  <w:style w:type="paragraph" w:customStyle="1" w:styleId="Nameditemlist">
    <w:name w:val="Named item list"/>
    <w:basedOn w:val="BodyText"/>
    <w:qFormat/>
    <w:rsid w:val="00C07D31"/>
    <w:pPr>
      <w:tabs>
        <w:tab w:val="left" w:pos="2835"/>
      </w:tabs>
      <w:ind w:left="2835" w:hanging="2835"/>
    </w:pPr>
  </w:style>
  <w:style w:type="paragraph" w:customStyle="1" w:styleId="BodyTextnopadding">
    <w:name w:val="Body Text no padding"/>
    <w:basedOn w:val="BodyText"/>
    <w:qFormat/>
    <w:rsid w:val="00C07D31"/>
    <w:pPr>
      <w:spacing w:before="0" w:after="0"/>
    </w:pPr>
  </w:style>
  <w:style w:type="paragraph" w:customStyle="1" w:styleId="BodyTextBold">
    <w:name w:val="Body Text Bold"/>
    <w:basedOn w:val="BodyText"/>
    <w:qFormat/>
    <w:rsid w:val="00C07D31"/>
    <w:rPr>
      <w:b/>
    </w:rPr>
  </w:style>
  <w:style w:type="character" w:styleId="Hyperlink">
    <w:name w:val="Hyperlink"/>
    <w:basedOn w:val="DefaultParagraphFont"/>
    <w:uiPriority w:val="99"/>
    <w:unhideWhenUsed/>
    <w:rsid w:val="00AB5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3423</Characters>
  <Application>Microsoft Office Word</Application>
  <DocSecurity>0</DocSecurity>
  <Lines>114</Lines>
  <Paragraphs>62</Paragraphs>
  <ScaleCrop>false</ScaleCrop>
  <Company>Author-it Software Corporation Ltd.</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SITXGLC002 Identify and manage legal risks and comply with law</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