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5F8" w:rsidP="003005F8">
      <w:pPr>
        <w:pStyle w:val="Title"/>
      </w:pPr>
      <w:r>
        <w:fldChar w:fldCharType="begin"/>
      </w:r>
      <w:r>
        <w:instrText xml:space="preserve"> TITLE   \* MERGEFORMAT </w:instrText>
      </w:r>
      <w:r>
        <w:fldChar w:fldCharType="separate"/>
      </w:r>
      <w:r>
        <w:t>SITXGLC002 Identify and manage legal risks and comply with law</w:t>
      </w:r>
      <w:r>
        <w:fldChar w:fldCharType="end"/>
      </w:r>
    </w:p>
    <w:p w:rsidR="003005F8" w:rsidP="003005F8">
      <w:pPr>
        <w:pStyle w:val="Version"/>
        <w:sectPr w:rsidSect="00BA6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5CF" w:rsidP="00BA65CF">
      <w:pPr>
        <w:pStyle w:val="SuperHeading"/>
      </w:pPr>
      <w:r w:rsidRPr="00BA65CF">
        <w:t>SITXGLC002 Identify and manage legal risks and comply with law</w:t>
      </w:r>
    </w:p>
    <w:p w:rsidR="00000000" w:rsidRPr="00BA65CF" w:rsidP="00BA65CF">
      <w:pPr>
        <w:pStyle w:val="Heading1"/>
      </w:pPr>
      <w:bookmarkStart w:id="1" w:name="O_1232137"/>
      <w:bookmarkEnd w:id="1"/>
      <w:r w:rsidRPr="00BA65CF">
        <w:t>Modification History</w:t>
      </w:r>
    </w:p>
    <w:p w:rsidR="00000000" w:rsidRPr="00BA65CF" w:rsidP="003005F8">
      <w:pPr>
        <w:pStyle w:val="BodyText"/>
      </w:pPr>
      <w:r w:rsidRPr="00BA65CF">
        <w:t>Not applicable.</w:t>
      </w:r>
    </w:p>
    <w:p w:rsidR="00000000" w:rsidRPr="00BA65CF" w:rsidP="00BA65CF">
      <w:pPr>
        <w:pStyle w:val="Heading1"/>
      </w:pPr>
      <w:bookmarkStart w:id="2" w:name="O_1232144"/>
      <w:bookmarkEnd w:id="2"/>
      <w:r w:rsidRPr="00BA65CF">
        <w:t>Application</w:t>
      </w:r>
    </w:p>
    <w:p w:rsidR="00000000" w:rsidRPr="00BA65CF" w:rsidP="003005F8">
      <w:pPr>
        <w:pStyle w:val="BodyText"/>
      </w:pPr>
      <w:r w:rsidRPr="00BA65CF">
        <w:t>This unit describes the performance outcomes, skills and knowledge required to identify and manage legal risks and comply with laws applicable to specific business operations. It requires the ability to identify legal risks, access and interpret regulatory</w:t>
      </w:r>
      <w:r w:rsidRPr="00BA65CF">
        <w:t xml:space="preserve"> information, and determine action required to manage legal risks and to comply with applicable laws.</w:t>
      </w:r>
    </w:p>
    <w:p w:rsidR="00000000" w:rsidRPr="00BA65CF" w:rsidP="003005F8">
      <w:pPr>
        <w:pStyle w:val="BodyText"/>
      </w:pPr>
      <w:r w:rsidRPr="00BA65CF">
        <w:t>The unit applies to legal issues arising in day-to-day business operations in all tourism, travel, hospitality and event sectors.</w:t>
      </w:r>
    </w:p>
    <w:p w:rsidR="00000000" w:rsidRPr="00BA65CF" w:rsidP="003005F8">
      <w:pPr>
        <w:pStyle w:val="BodyText"/>
      </w:pPr>
      <w:r w:rsidRPr="00BA65CF">
        <w:t>It applies to senior per</w:t>
      </w:r>
      <w:r w:rsidRPr="00BA65CF">
        <w:t>sonnel who operate with limited guidance from others and who are responsible for making a range of operational business and legal risk management decisions.</w:t>
      </w:r>
    </w:p>
    <w:p w:rsidR="00000000" w:rsidRPr="00BA65CF" w:rsidP="003005F8">
      <w:pPr>
        <w:pStyle w:val="BodyText"/>
      </w:pPr>
      <w:r w:rsidRPr="00BA65CF">
        <w:t>The skills in this unit must be applied in accordance with Commonwealth and State/Territory legisla</w:t>
      </w:r>
      <w:r w:rsidRPr="00BA65CF">
        <w:t>tion, Australian/New Zealand standards and industry codes of practice.</w:t>
      </w:r>
    </w:p>
    <w:p w:rsidR="00000000" w:rsidRPr="00BA65CF" w:rsidP="003005F8">
      <w:pPr>
        <w:pStyle w:val="BodyText"/>
      </w:pPr>
      <w:r w:rsidRPr="00BA65CF">
        <w:t>No occupational licensing, certification or specific legislative requirements apply to this unit at the time of publication.</w:t>
      </w:r>
    </w:p>
    <w:p w:rsidR="00000000" w:rsidRPr="00BA65CF" w:rsidP="00BA65CF">
      <w:pPr>
        <w:pStyle w:val="Heading1"/>
      </w:pPr>
      <w:bookmarkStart w:id="3" w:name="O_1232143"/>
      <w:bookmarkEnd w:id="3"/>
      <w:r w:rsidRPr="00BA65CF">
        <w:t>Pre-requisite Unit</w:t>
      </w:r>
    </w:p>
    <w:p w:rsidR="00000000" w:rsidRPr="00BA65CF" w:rsidP="003005F8">
      <w:pPr>
        <w:pStyle w:val="BodyText"/>
      </w:pPr>
      <w:r w:rsidRPr="00BA65CF">
        <w:t>Nil</w:t>
      </w:r>
    </w:p>
    <w:p w:rsidR="00000000" w:rsidRPr="00BA65CF" w:rsidP="00BA65CF">
      <w:pPr>
        <w:pStyle w:val="Heading1"/>
      </w:pPr>
      <w:bookmarkStart w:id="4" w:name="O_1232142"/>
      <w:bookmarkEnd w:id="4"/>
      <w:r w:rsidRPr="00BA65CF">
        <w:t>Competency Field</w:t>
      </w:r>
    </w:p>
    <w:p w:rsidR="00000000" w:rsidRPr="00BA65CF" w:rsidP="003005F8">
      <w:pPr>
        <w:pStyle w:val="BodyText"/>
      </w:pPr>
      <w:r w:rsidRPr="00BA65CF">
        <w:t xml:space="preserve">Governance and Legal Compliance </w:t>
      </w:r>
    </w:p>
    <w:p w:rsidR="00000000" w:rsidRPr="00BA65CF" w:rsidP="00BA65CF">
      <w:pPr>
        <w:pStyle w:val="Heading1"/>
      </w:pPr>
      <w:bookmarkStart w:id="5" w:name="O_1232141"/>
      <w:bookmarkEnd w:id="5"/>
      <w:r w:rsidRPr="00BA65CF">
        <w:t>Unit Sector</w:t>
      </w:r>
    </w:p>
    <w:p w:rsidR="00000000" w:rsidRPr="00BA65CF" w:rsidP="003005F8">
      <w:pPr>
        <w:pStyle w:val="BodyText"/>
      </w:pPr>
      <w:r w:rsidRPr="00BA65CF">
        <w:t>Cross-Sector</w:t>
      </w:r>
    </w:p>
    <w:p w:rsidR="00000000" w:rsidRPr="00BA65CF" w:rsidP="00BA65CF">
      <w:pPr>
        <w:pStyle w:val="Heading1"/>
      </w:pPr>
      <w:bookmarkStart w:id="6" w:name="O_1232140"/>
      <w:bookmarkEnd w:id="6"/>
      <w:r w:rsidRPr="00BA65CF">
        <w:t>Elements and Performance Criteria</w:t>
      </w:r>
    </w:p>
    <w:tbl>
      <w:tblPr>
        <w:tblW w:w="0" w:type="auto"/>
        <w:tblLayout w:type="fixed"/>
        <w:tblCellMar>
          <w:left w:w="62" w:type="dxa"/>
          <w:right w:w="62" w:type="dxa"/>
        </w:tblCellMar>
        <w:tblLook w:val="0000"/>
      </w:tblPr>
      <w:tblGrid>
        <w:gridCol w:w="2694"/>
        <w:gridCol w:w="6350"/>
      </w:tblGrid>
      <w:tr w:rsidTr="00BA65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65CF" w:rsidP="00BA65CF">
            <w:pPr>
              <w:pStyle w:val="BodyText"/>
            </w:pPr>
            <w:r w:rsidRPr="00BA65C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A65CF">
            <w:pPr>
              <w:pStyle w:val="BodyText"/>
              <w:rPr>
                <w:lang w:val="en-NZ"/>
              </w:rPr>
            </w:pPr>
            <w:r w:rsidRPr="00BA65CF">
              <w:rPr>
                <w:rStyle w:val="SpecialBold"/>
              </w:rPr>
              <w:t>PERFORMANCE</w:t>
            </w:r>
            <w:r w:rsidRPr="00BA65CF">
              <w:t xml:space="preserve"> </w:t>
            </w:r>
            <w:r w:rsidRPr="00BA65CF">
              <w:rPr>
                <w:rStyle w:val="SpecialBold"/>
              </w:rPr>
              <w:t>CRITERIA</w:t>
            </w:r>
          </w:p>
        </w:tc>
      </w:tr>
      <w:tr w:rsidTr="00BA65C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A65CF" w:rsidP="00BA65CF">
            <w:pPr>
              <w:pStyle w:val="BodyText"/>
            </w:pPr>
            <w:r w:rsidRPr="00BA65C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A65CF">
            <w:pPr>
              <w:pStyle w:val="BodyText"/>
              <w:rPr>
                <w:lang w:val="en-NZ"/>
              </w:rPr>
            </w:pPr>
            <w:r w:rsidRPr="00BA65CF">
              <w:rPr>
                <w:rStyle w:val="Emphasis"/>
              </w:rPr>
              <w:t>Performance criteria describe the performance needed to demonstrate achievement of the element.</w:t>
            </w:r>
          </w:p>
        </w:tc>
      </w:tr>
      <w:tr w:rsidTr="00BA65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65CF">
            <w:pPr>
              <w:pStyle w:val="List"/>
              <w:rPr>
                <w:lang w:val="en-NZ"/>
              </w:rPr>
            </w:pPr>
            <w:r w:rsidRPr="00BA65CF">
              <w:t xml:space="preserve">1.  Identify legal risks </w:t>
            </w:r>
            <w:r w:rsidRPr="00BA65CF">
              <w:t>and compliance needs.</w:t>
            </w:r>
          </w:p>
        </w:tc>
        <w:tc>
          <w:tcPr>
            <w:tcW w:w="6350" w:type="dxa"/>
            <w:tcBorders>
              <w:top w:val="nil"/>
              <w:left w:val="nil"/>
              <w:bottom w:val="nil"/>
              <w:right w:val="nil"/>
            </w:tcBorders>
            <w:tcMar>
              <w:top w:w="0" w:type="dxa"/>
              <w:left w:w="62" w:type="dxa"/>
              <w:bottom w:w="0" w:type="dxa"/>
              <w:right w:w="62" w:type="dxa"/>
            </w:tcMar>
          </w:tcPr>
          <w:p w:rsidR="00000000" w:rsidRPr="00BA65CF" w:rsidP="00BA65CF">
            <w:pPr>
              <w:pStyle w:val="List"/>
            </w:pPr>
            <w:r w:rsidRPr="00BA65CF">
              <w:t xml:space="preserve">1.1. Evaluate areas of business operation for which legal risk </w:t>
            </w:r>
            <w:r w:rsidRPr="00BA65CF">
              <w:t>management and compliance is required.</w:t>
            </w:r>
          </w:p>
          <w:p w:rsidR="00000000" w:rsidP="00BA65CF">
            <w:pPr>
              <w:pStyle w:val="List"/>
              <w:rPr>
                <w:lang w:val="en-NZ"/>
              </w:rPr>
            </w:pPr>
            <w:r w:rsidRPr="00BA65CF">
              <w:t>1.2. Ident</w:t>
            </w:r>
            <w:r w:rsidRPr="00BA65CF">
              <w:t>ify legal risks and compliance requirements that arise in business operations.</w:t>
            </w:r>
          </w:p>
        </w:tc>
      </w:tr>
      <w:tr w:rsidTr="00BA65C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A65CF">
            <w:pPr>
              <w:pStyle w:val="List"/>
              <w:rPr>
                <w:lang w:val="en-NZ"/>
              </w:rPr>
            </w:pPr>
            <w:r w:rsidRPr="00BA65CF">
              <w:t>2.  Research information required for legal compliance.</w:t>
            </w:r>
          </w:p>
        </w:tc>
        <w:tc>
          <w:tcPr>
            <w:tcW w:w="6350" w:type="dxa"/>
            <w:tcBorders>
              <w:top w:val="nil"/>
              <w:left w:val="nil"/>
              <w:bottom w:val="nil"/>
              <w:right w:val="nil"/>
            </w:tcBorders>
            <w:tcMar>
              <w:top w:w="0" w:type="dxa"/>
              <w:left w:w="62" w:type="dxa"/>
              <w:bottom w:w="0" w:type="dxa"/>
              <w:right w:w="62" w:type="dxa"/>
            </w:tcMar>
          </w:tcPr>
          <w:p w:rsidR="00000000" w:rsidRPr="00BA65CF" w:rsidP="00BA65CF">
            <w:pPr>
              <w:pStyle w:val="List"/>
            </w:pPr>
            <w:r w:rsidRPr="00BA65CF">
              <w:t>2.1. Identify sources of information for compliance with laws and licensing for business operations.</w:t>
            </w:r>
          </w:p>
          <w:p w:rsidR="00000000" w:rsidRPr="00BA65CF" w:rsidP="00BA65CF">
            <w:pPr>
              <w:pStyle w:val="List"/>
            </w:pPr>
            <w:r w:rsidRPr="00BA65CF">
              <w:t>2.2. Access regulat</w:t>
            </w:r>
            <w:r w:rsidRPr="00BA65CF">
              <w:t>ory and other legal information relevant to specific business operation.</w:t>
            </w:r>
          </w:p>
          <w:p w:rsidR="00000000" w:rsidRPr="00BA65CF" w:rsidP="00BA65CF">
            <w:pPr>
              <w:pStyle w:val="List"/>
            </w:pPr>
            <w:r w:rsidRPr="00BA65CF">
              <w:t>2.3. Identify risks, penalties and consequences of non-compliance.</w:t>
            </w:r>
          </w:p>
          <w:p w:rsidR="00000000" w:rsidP="00BA65CF">
            <w:pPr>
              <w:pStyle w:val="List"/>
              <w:rPr>
                <w:lang w:val="en-NZ"/>
              </w:rPr>
            </w:pPr>
            <w:r w:rsidRPr="00BA65CF">
              <w:t>2.4. Assess and act on need for specialist legal advice.</w:t>
            </w:r>
          </w:p>
        </w:tc>
      </w:tr>
      <w:tr w:rsidTr="00BA65CF">
        <w:tblPrEx>
          <w:tblW w:w="0" w:type="auto"/>
          <w:tblLayout w:type="fixed"/>
          <w:tblCellMar>
            <w:left w:w="62" w:type="dxa"/>
            <w:right w:w="62" w:type="dxa"/>
          </w:tblCellMar>
          <w:tblLook w:val="0000"/>
        </w:tblPrEx>
        <w:trPr>
          <w:trHeight w:val="1057"/>
        </w:trPr>
        <w:tc>
          <w:tcPr>
            <w:tcW w:w="2694" w:type="dxa"/>
            <w:tcBorders>
              <w:top w:val="nil"/>
              <w:left w:val="nil"/>
              <w:bottom w:val="nil"/>
              <w:right w:val="nil"/>
            </w:tcBorders>
            <w:tcMar>
              <w:top w:w="0" w:type="dxa"/>
              <w:left w:w="62" w:type="dxa"/>
              <w:bottom w:w="0" w:type="dxa"/>
              <w:right w:w="62" w:type="dxa"/>
            </w:tcMar>
          </w:tcPr>
          <w:p w:rsidR="00000000" w:rsidP="00BA65CF">
            <w:pPr>
              <w:pStyle w:val="List"/>
              <w:rPr>
                <w:lang w:val="en-NZ"/>
              </w:rPr>
            </w:pPr>
            <w:r w:rsidRPr="00BA65CF">
              <w:t>3.  Consider legal risk management strategies and actions for legal compliance.</w:t>
            </w:r>
          </w:p>
        </w:tc>
        <w:tc>
          <w:tcPr>
            <w:tcW w:w="6350" w:type="dxa"/>
            <w:tcBorders>
              <w:top w:val="nil"/>
              <w:left w:val="nil"/>
              <w:bottom w:val="nil"/>
              <w:right w:val="nil"/>
            </w:tcBorders>
            <w:tcMar>
              <w:top w:w="0" w:type="dxa"/>
              <w:left w:w="62" w:type="dxa"/>
              <w:bottom w:w="0" w:type="dxa"/>
              <w:right w:w="62" w:type="dxa"/>
            </w:tcMar>
          </w:tcPr>
          <w:p w:rsidR="00000000" w:rsidRPr="00BA65CF" w:rsidP="00BA65CF">
            <w:pPr>
              <w:pStyle w:val="List"/>
            </w:pPr>
            <w:r w:rsidRPr="00BA65CF">
              <w:t>3.1. Articulate legal risk management strategies and actions necessary to comply with laws.</w:t>
            </w:r>
          </w:p>
          <w:p w:rsidR="00000000" w:rsidP="00BA65CF">
            <w:pPr>
              <w:pStyle w:val="List"/>
              <w:rPr>
                <w:lang w:val="en-NZ"/>
              </w:rPr>
            </w:pPr>
            <w:r w:rsidRPr="00BA65CF">
              <w:t xml:space="preserve">3.2. Develop practices for updating personnel to ensure they have current knowledge </w:t>
            </w:r>
            <w:r w:rsidRPr="00BA65CF">
              <w:t>of roles and responsibilities for legal risk management and compliance.</w:t>
            </w:r>
          </w:p>
        </w:tc>
      </w:tr>
      <w:tr w:rsidTr="00BA65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A65CF">
            <w:pPr>
              <w:pStyle w:val="List"/>
              <w:rPr>
                <w:lang w:val="en-NZ"/>
              </w:rPr>
            </w:pPr>
            <w:r w:rsidRPr="00BA65CF">
              <w:t>4.  Ensure management of legal risks and compliance with legal requirements.</w:t>
            </w:r>
          </w:p>
        </w:tc>
        <w:tc>
          <w:tcPr>
            <w:tcW w:w="6350" w:type="dxa"/>
            <w:tcBorders>
              <w:top w:val="nil"/>
              <w:left w:val="nil"/>
              <w:bottom w:val="nil"/>
              <w:right w:val="nil"/>
            </w:tcBorders>
            <w:tcMar>
              <w:top w:w="0" w:type="dxa"/>
              <w:left w:w="62" w:type="dxa"/>
              <w:bottom w:w="0" w:type="dxa"/>
              <w:right w:w="62" w:type="dxa"/>
            </w:tcMar>
          </w:tcPr>
          <w:p w:rsidR="00000000" w:rsidRPr="00BA65CF" w:rsidP="00BA65CF">
            <w:pPr>
              <w:pStyle w:val="List"/>
            </w:pPr>
            <w:r w:rsidRPr="00BA65CF">
              <w:t xml:space="preserve">4.1. Maintain business and occupational licences and check contractor contracts and conduct to avoid risk </w:t>
            </w:r>
            <w:r w:rsidRPr="00BA65CF">
              <w:t>to business.</w:t>
            </w:r>
          </w:p>
          <w:p w:rsidR="00000000" w:rsidP="00BA65CF">
            <w:pPr>
              <w:pStyle w:val="List"/>
              <w:rPr>
                <w:lang w:val="en-NZ"/>
              </w:rPr>
            </w:pPr>
            <w:r w:rsidRPr="00BA65CF">
              <w:t>4.2. Continuously evaluate business operations for non-compliance and implement modifications.</w:t>
            </w:r>
          </w:p>
        </w:tc>
      </w:tr>
      <w:tr w:rsidTr="00BA65C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A65CF">
            <w:pPr>
              <w:pStyle w:val="List"/>
              <w:rPr>
                <w:lang w:val="en-NZ"/>
              </w:rPr>
            </w:pPr>
            <w:r w:rsidRPr="00BA65CF">
              <w:t>5.  Maintain personal and organisational knowledge of legal risk management strategies and compliance requirements.</w:t>
            </w:r>
          </w:p>
        </w:tc>
        <w:tc>
          <w:tcPr>
            <w:tcW w:w="6350" w:type="dxa"/>
            <w:tcBorders>
              <w:top w:val="nil"/>
              <w:left w:val="nil"/>
              <w:bottom w:val="nil"/>
              <w:right w:val="nil"/>
            </w:tcBorders>
            <w:tcMar>
              <w:top w:w="0" w:type="dxa"/>
              <w:left w:w="62" w:type="dxa"/>
              <w:bottom w:w="0" w:type="dxa"/>
              <w:right w:w="62" w:type="dxa"/>
            </w:tcMar>
          </w:tcPr>
          <w:p w:rsidR="00000000" w:rsidRPr="00BA65CF" w:rsidP="00BA65CF">
            <w:pPr>
              <w:pStyle w:val="List"/>
            </w:pPr>
            <w:r w:rsidRPr="00BA65CF">
              <w:t>5.1. Identify and use opportunities to maintain knowledge of current legal risk management strategies and legal compliance requirements.</w:t>
            </w:r>
          </w:p>
          <w:p w:rsidR="00000000" w:rsidRPr="00BA65CF" w:rsidP="00BA65CF">
            <w:pPr>
              <w:pStyle w:val="List"/>
            </w:pPr>
            <w:r w:rsidRPr="00BA65CF">
              <w:t>5.2. Use organisational communication methods to share updated regulatory knowledge.</w:t>
            </w:r>
          </w:p>
        </w:tc>
      </w:tr>
    </w:tbl>
    <w:p w:rsidR="00000000" w:rsidRPr="00BA65CF" w:rsidP="00BA65CF">
      <w:pPr>
        <w:pStyle w:val="List"/>
      </w:pPr>
    </w:p>
    <w:p w:rsidR="00000000" w:rsidRPr="00BA65CF" w:rsidP="00BA65CF">
      <w:pPr>
        <w:pStyle w:val="AllowPageBreak"/>
      </w:pPr>
    </w:p>
    <w:p w:rsidR="00000000" w:rsidRPr="00BA65CF" w:rsidP="00BA65CF">
      <w:pPr>
        <w:pStyle w:val="Heading1"/>
      </w:pPr>
      <w:bookmarkStart w:id="7" w:name="O_1232139"/>
      <w:bookmarkEnd w:id="7"/>
      <w:r w:rsidRPr="00BA65CF">
        <w:t>Foundation Sk</w:t>
      </w:r>
      <w:r w:rsidRPr="00BA65CF">
        <w:t>ills</w:t>
      </w:r>
    </w:p>
    <w:tbl>
      <w:tblPr>
        <w:tblW w:w="0" w:type="auto"/>
        <w:tblLayout w:type="fixed"/>
        <w:tblCellMar>
          <w:left w:w="62" w:type="dxa"/>
          <w:right w:w="62" w:type="dxa"/>
        </w:tblCellMar>
        <w:tblLook w:val="0000"/>
      </w:tblPr>
      <w:tblGrid>
        <w:gridCol w:w="2694"/>
        <w:gridCol w:w="6350"/>
      </w:tblGrid>
      <w:tr w:rsidTr="00BA65C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A65CF">
            <w:pPr>
              <w:pStyle w:val="BodyText"/>
              <w:rPr>
                <w:lang w:val="en-NZ"/>
              </w:rPr>
            </w:pPr>
            <w:r w:rsidRPr="00BA65CF">
              <w:rPr>
                <w:rStyle w:val="Emphasis"/>
              </w:rPr>
              <w:t>Foundation skills essential to performance in this unit, but not explicit in the performance criteria are listed here, along with a brief context statement.</w:t>
            </w:r>
          </w:p>
        </w:tc>
      </w:tr>
      <w:tr w:rsidTr="00BA65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A65CF" w:rsidP="00BA65CF">
            <w:pPr>
              <w:pStyle w:val="BodyText"/>
            </w:pPr>
            <w:r w:rsidRPr="00BA65C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A65CF">
            <w:pPr>
              <w:pStyle w:val="BodyText"/>
              <w:rPr>
                <w:lang w:val="en-NZ"/>
              </w:rPr>
            </w:pPr>
            <w:r w:rsidRPr="00BA65CF">
              <w:rPr>
                <w:rStyle w:val="SpecialBold"/>
              </w:rPr>
              <w:t>DESCRIPTION</w:t>
            </w:r>
          </w:p>
        </w:tc>
      </w:tr>
      <w:tr w:rsidTr="00BA65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65CF">
            <w:pPr>
              <w:pStyle w:val="BodyText"/>
              <w:rPr>
                <w:lang w:val="en-NZ"/>
              </w:rPr>
            </w:pPr>
            <w:r w:rsidRPr="00BA65CF">
              <w:t>Reading skills to:</w:t>
            </w:r>
          </w:p>
        </w:tc>
        <w:tc>
          <w:tcPr>
            <w:tcW w:w="6350" w:type="dxa"/>
            <w:tcBorders>
              <w:top w:val="nil"/>
              <w:left w:val="nil"/>
              <w:bottom w:val="nil"/>
              <w:right w:val="nil"/>
            </w:tcBorders>
            <w:tcMar>
              <w:top w:w="0" w:type="dxa"/>
              <w:left w:w="62" w:type="dxa"/>
              <w:bottom w:w="0" w:type="dxa"/>
              <w:right w:w="62" w:type="dxa"/>
            </w:tcMar>
          </w:tcPr>
          <w:p w:rsidR="00000000" w:rsidP="00BA65CF">
            <w:pPr>
              <w:pStyle w:val="ListBullet"/>
              <w:rPr>
                <w:lang w:val="en-NZ"/>
              </w:rPr>
            </w:pPr>
            <w:r w:rsidRPr="00BA65CF">
              <w:t>interpret unfamiliar and complex materials describing legal issues and risks and legal compliance requirements.</w:t>
            </w:r>
          </w:p>
        </w:tc>
      </w:tr>
      <w:tr w:rsidTr="00BA65C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A65CF">
            <w:pPr>
              <w:pStyle w:val="BodyText"/>
              <w:rPr>
                <w:lang w:val="en-NZ"/>
              </w:rPr>
            </w:pPr>
            <w:r w:rsidRPr="00BA65CF">
              <w:t>Writing skills to:</w:t>
            </w:r>
          </w:p>
        </w:tc>
        <w:tc>
          <w:tcPr>
            <w:tcW w:w="6350" w:type="dxa"/>
            <w:tcBorders>
              <w:top w:val="nil"/>
              <w:left w:val="nil"/>
              <w:bottom w:val="nil"/>
              <w:right w:val="nil"/>
            </w:tcBorders>
            <w:tcMar>
              <w:top w:w="0" w:type="dxa"/>
              <w:left w:w="62" w:type="dxa"/>
              <w:bottom w:w="0" w:type="dxa"/>
              <w:right w:w="62" w:type="dxa"/>
            </w:tcMar>
          </w:tcPr>
          <w:p w:rsidR="00000000" w:rsidRPr="00BA65CF" w:rsidP="00BA65CF">
            <w:pPr>
              <w:pStyle w:val="ListBullet"/>
            </w:pPr>
            <w:r w:rsidRPr="00BA65CF">
              <w:t>document identification of legal risks and compliance needs</w:t>
            </w:r>
          </w:p>
          <w:p w:rsidR="00000000" w:rsidRPr="00BA65CF" w:rsidP="00BA65CF">
            <w:pPr>
              <w:pStyle w:val="ListBullet"/>
            </w:pPr>
            <w:r w:rsidRPr="00BA65CF">
              <w:t xml:space="preserve">document legal risk management strategies and legal compliance </w:t>
            </w:r>
            <w:r w:rsidRPr="00BA65CF">
              <w:t>actions.</w:t>
            </w:r>
          </w:p>
        </w:tc>
      </w:tr>
    </w:tbl>
    <w:p w:rsidR="00000000" w:rsidRPr="00BA65CF" w:rsidP="00BA65CF">
      <w:pPr>
        <w:pStyle w:val="BodyText"/>
      </w:pPr>
    </w:p>
    <w:p w:rsidR="00000000" w:rsidRPr="00BA65CF" w:rsidP="00BA65CF">
      <w:pPr>
        <w:pStyle w:val="AllowPageBreak"/>
      </w:pPr>
    </w:p>
    <w:p w:rsidR="00000000" w:rsidRPr="00BA65CF" w:rsidP="00BA65CF">
      <w:pPr>
        <w:pStyle w:val="Heading1"/>
      </w:pPr>
      <w:bookmarkStart w:id="8" w:name="O_1232138"/>
      <w:bookmarkEnd w:id="8"/>
      <w:r w:rsidRPr="00BA65CF">
        <w:t>Unit Mapping Information</w:t>
      </w:r>
    </w:p>
    <w:p w:rsidR="00000000" w:rsidRPr="00BA65CF" w:rsidP="003005F8">
      <w:pPr>
        <w:pStyle w:val="BodyText"/>
      </w:pPr>
      <w:r w:rsidRPr="00BA65CF">
        <w:t>Supersedes and is not equivalent to SITXGLC001 Research and comply with regulatory requirements.</w:t>
      </w:r>
    </w:p>
    <w:p w:rsidR="00000000" w:rsidRPr="00BA65CF" w:rsidP="00BA65CF">
      <w:pPr>
        <w:pStyle w:val="Heading1"/>
      </w:pPr>
      <w:bookmarkStart w:id="9" w:name="O_1232131"/>
      <w:bookmarkEnd w:id="9"/>
      <w:r w:rsidRPr="00BA65CF">
        <w:t>Links</w:t>
      </w:r>
    </w:p>
    <w:p w:rsidR="00000000" w:rsidRPr="00BA65CF" w:rsidP="003005F8">
      <w:pPr>
        <w:pStyle w:val="BodyText"/>
      </w:pPr>
      <w:r w:rsidRPr="00BA65C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90816">
        <w:rPr>
          <w:rStyle w:val="Hyperlink"/>
        </w:rPr>
        <w:t>https://vetnet.gov.au/Pages/TrainingDocs.aspx?q=68c40a93-e51d-4e0f-bc06-899dff092694</w:t>
      </w:r>
      <w:r>
        <w:fldChar w:fldCharType="end"/>
      </w:r>
    </w:p>
    <w:p w:rsidR="00000000" w:rsidRPr="00BA65CF" w:rsidP="003005F8">
      <w:pPr>
        <w:pStyle w:val="BodyText"/>
        <w:sectPr w:rsidSect="00BA65CF">
          <w:headerReference w:type="default" r:id="rId10"/>
          <w:footerReference w:type="default" r:id="rId11"/>
          <w:pgSz w:w="11908" w:h="16833"/>
          <w:pgMar w:top="1702" w:right="1418" w:bottom="1702" w:left="1418" w:header="992" w:footer="992" w:gutter="0"/>
          <w:cols w:space="720"/>
          <w:noEndnote/>
          <w:docGrid w:linePitch="299"/>
        </w:sectPr>
      </w:pPr>
    </w:p>
    <w:p w:rsidR="00000000" w:rsidRPr="00BA65CF" w:rsidP="00BA65CF">
      <w:pPr>
        <w:pStyle w:val="SuperHeading"/>
      </w:pPr>
      <w:r w:rsidRPr="00BA65CF">
        <w:t>Assessment Requirements for SITXGLC002 Identify and manage lega</w:t>
      </w:r>
      <w:r w:rsidRPr="00BA65CF">
        <w:t>l risks and comply with law</w:t>
      </w:r>
    </w:p>
    <w:p w:rsidR="00000000" w:rsidRPr="00BA65CF" w:rsidP="00BA65CF">
      <w:pPr>
        <w:pStyle w:val="Heading1"/>
      </w:pPr>
      <w:bookmarkStart w:id="10" w:name="O_1232133"/>
      <w:bookmarkEnd w:id="10"/>
      <w:r w:rsidRPr="00BA65CF">
        <w:t>Modification History</w:t>
      </w:r>
    </w:p>
    <w:p w:rsidR="00000000" w:rsidRPr="00BA65CF" w:rsidP="003005F8">
      <w:pPr>
        <w:pStyle w:val="BodyText"/>
      </w:pPr>
      <w:r w:rsidRPr="00BA65CF">
        <w:t>Not applicable.</w:t>
      </w:r>
    </w:p>
    <w:p w:rsidR="00000000" w:rsidRPr="00BA65CF" w:rsidP="00BA65CF">
      <w:pPr>
        <w:pStyle w:val="Heading1"/>
      </w:pPr>
      <w:bookmarkStart w:id="11" w:name="O_1232136"/>
      <w:bookmarkEnd w:id="11"/>
      <w:r w:rsidRPr="00BA65CF">
        <w:t>Performance Evidence</w:t>
      </w:r>
    </w:p>
    <w:p w:rsidR="00000000" w:rsidRPr="00BA65CF" w:rsidP="003005F8">
      <w:pPr>
        <w:pStyle w:val="BodyText"/>
      </w:pPr>
      <w:r w:rsidRPr="00BA65CF">
        <w:t>Evidence of the ability to complete tasks outlined in elements and performance criteria of this unit in the context of the job role, and:</w:t>
      </w:r>
    </w:p>
    <w:p w:rsidR="00000000" w:rsidRPr="00BA65CF" w:rsidP="00BA65CF">
      <w:pPr>
        <w:pStyle w:val="ListBullet"/>
      </w:pPr>
      <w:r w:rsidRPr="00BA65CF">
        <w:t>identify six different legal risks requiring risk management and legal compliance for the operations of a specific to</w:t>
      </w:r>
      <w:r w:rsidRPr="00BA65CF">
        <w:t>urism, travel, hospitality or events business</w:t>
      </w:r>
    </w:p>
    <w:p w:rsidR="00000000" w:rsidRPr="00BA65CF" w:rsidP="00BA65CF">
      <w:pPr>
        <w:pStyle w:val="ListBullet"/>
      </w:pPr>
      <w:r w:rsidRPr="00BA65CF">
        <w:t>develop risk management strategies and legal compliance actions for each of the six legal areas above</w:t>
      </w:r>
    </w:p>
    <w:p w:rsidR="00000000" w:rsidRPr="00BA65CF" w:rsidP="00BA65CF">
      <w:pPr>
        <w:pStyle w:val="ListBullet"/>
      </w:pPr>
      <w:r w:rsidRPr="00BA65CF">
        <w:t>integrate the risk management strategies and legal compliance actions into operational planning activities f</w:t>
      </w:r>
      <w:r w:rsidRPr="00BA65CF">
        <w:t>or each of the six legal areas above</w:t>
      </w:r>
    </w:p>
    <w:p w:rsidR="00000000" w:rsidRPr="00BA65CF" w:rsidP="00BA65CF">
      <w:pPr>
        <w:pStyle w:val="ListBullet"/>
      </w:pPr>
      <w:r w:rsidRPr="00BA65CF">
        <w:t>identify sources of information and advice on risk management and legal compliance for each of the six legal areas above.</w:t>
      </w:r>
    </w:p>
    <w:p w:rsidR="00000000" w:rsidRPr="00BA65CF" w:rsidP="00BA65CF">
      <w:pPr>
        <w:pStyle w:val="AllowPageBreak"/>
      </w:pPr>
    </w:p>
    <w:p w:rsidR="00000000" w:rsidRPr="00BA65CF" w:rsidP="00BA65CF">
      <w:pPr>
        <w:pStyle w:val="Heading1"/>
      </w:pPr>
      <w:bookmarkStart w:id="12" w:name="O_1232135"/>
      <w:bookmarkEnd w:id="12"/>
      <w:r w:rsidRPr="00BA65CF">
        <w:t>Knowledge Evidence</w:t>
      </w:r>
    </w:p>
    <w:p w:rsidR="00000000" w:rsidRPr="00BA65CF" w:rsidP="003005F8">
      <w:pPr>
        <w:pStyle w:val="BodyText"/>
      </w:pPr>
      <w:r w:rsidRPr="00BA65CF">
        <w:t>Demonstrated knowledge required to complete the tasks outli</w:t>
      </w:r>
      <w:r w:rsidRPr="00BA65CF">
        <w:t>ned in elements and performance criteria of this unit:</w:t>
      </w:r>
    </w:p>
    <w:p w:rsidR="00000000" w:rsidRPr="00BA65CF" w:rsidP="00BA65CF">
      <w:pPr>
        <w:pStyle w:val="ListBullet"/>
      </w:pPr>
      <w:r w:rsidRPr="00BA65CF">
        <w:t>legal advantages and disadvantages, risks and benefits of different business operation structures:</w:t>
      </w:r>
    </w:p>
    <w:p w:rsidR="00000000" w:rsidRPr="00BA65CF" w:rsidP="00BA65CF">
      <w:pPr>
        <w:pStyle w:val="ListBullet2"/>
      </w:pPr>
      <w:r w:rsidRPr="00BA65CF">
        <w:t>sole trader</w:t>
      </w:r>
    </w:p>
    <w:p w:rsidR="00000000" w:rsidRPr="00BA65CF" w:rsidP="00BA65CF">
      <w:pPr>
        <w:pStyle w:val="ListBullet2"/>
      </w:pPr>
      <w:r w:rsidRPr="00BA65CF">
        <w:t>partnership</w:t>
      </w:r>
    </w:p>
    <w:p w:rsidR="00000000" w:rsidRPr="00BA65CF" w:rsidP="00BA65CF">
      <w:pPr>
        <w:pStyle w:val="ListBullet2"/>
      </w:pPr>
      <w:r w:rsidRPr="00BA65CF">
        <w:t>company</w:t>
      </w:r>
    </w:p>
    <w:p w:rsidR="00000000" w:rsidRPr="00BA65CF" w:rsidP="00BA65CF">
      <w:pPr>
        <w:pStyle w:val="ListBullet"/>
      </w:pPr>
      <w:r w:rsidRPr="00BA65CF">
        <w:t xml:space="preserve">sources of information and advice on legal </w:t>
      </w:r>
      <w:r w:rsidRPr="00BA65CF">
        <w:t>risk management and compliance:</w:t>
      </w:r>
    </w:p>
    <w:p w:rsidR="00000000" w:rsidRPr="00BA65CF" w:rsidP="00BA65CF">
      <w:pPr>
        <w:pStyle w:val="ListBullet2"/>
      </w:pPr>
      <w:r w:rsidRPr="00BA65CF">
        <w:t>local, state, territory or Commonwealth government departments or regulatory agencies</w:t>
      </w:r>
    </w:p>
    <w:p w:rsidR="00000000" w:rsidRPr="00BA65CF" w:rsidP="00BA65CF">
      <w:pPr>
        <w:pStyle w:val="ListBullet2"/>
      </w:pPr>
      <w:r w:rsidRPr="00BA65CF">
        <w:t>plain English documentation that explains the operational requirements of legislation</w:t>
      </w:r>
    </w:p>
    <w:p w:rsidR="00000000" w:rsidRPr="00BA65CF" w:rsidP="00BA65CF">
      <w:pPr>
        <w:pStyle w:val="ListBullet2"/>
      </w:pPr>
      <w:r w:rsidRPr="00BA65CF">
        <w:t>computer data</w:t>
      </w:r>
    </w:p>
    <w:p w:rsidR="00000000" w:rsidRPr="00BA65CF" w:rsidP="00BA65CF">
      <w:pPr>
        <w:pStyle w:val="ListBullet2"/>
      </w:pPr>
      <w:r w:rsidRPr="00BA65CF">
        <w:t>the internet</w:t>
      </w:r>
    </w:p>
    <w:p w:rsidR="00000000" w:rsidRPr="00BA65CF" w:rsidP="00BA65CF">
      <w:pPr>
        <w:pStyle w:val="ListBullet2"/>
      </w:pPr>
      <w:r w:rsidRPr="00BA65CF">
        <w:t>discussions with experie</w:t>
      </w:r>
      <w:r w:rsidRPr="00BA65CF">
        <w:t>nced industry personnel</w:t>
      </w:r>
    </w:p>
    <w:p w:rsidR="00000000" w:rsidRPr="00BA65CF" w:rsidP="00BA65CF">
      <w:pPr>
        <w:pStyle w:val="ListBullet2"/>
      </w:pPr>
      <w:r w:rsidRPr="00BA65CF">
        <w:t>industry:</w:t>
      </w:r>
    </w:p>
    <w:p w:rsidR="00000000" w:rsidRPr="00BA65CF" w:rsidP="00BA65CF">
      <w:pPr>
        <w:pStyle w:val="ListBullet3"/>
      </w:pPr>
      <w:r w:rsidRPr="00BA65CF">
        <w:t>accreditation operators</w:t>
      </w:r>
    </w:p>
    <w:p w:rsidR="00000000" w:rsidRPr="00BA65CF" w:rsidP="00BA65CF">
      <w:pPr>
        <w:pStyle w:val="ListBullet3"/>
      </w:pPr>
      <w:r w:rsidRPr="00BA65CF">
        <w:t>associations and organisations</w:t>
      </w:r>
    </w:p>
    <w:p w:rsidR="00000000" w:rsidRPr="00BA65CF" w:rsidP="00BA65CF">
      <w:pPr>
        <w:pStyle w:val="ListBullet3"/>
      </w:pPr>
      <w:r w:rsidRPr="00BA65CF">
        <w:t>developers of codes of conduct or ethics</w:t>
      </w:r>
    </w:p>
    <w:p w:rsidR="00000000" w:rsidRPr="00BA65CF" w:rsidP="00BA65CF">
      <w:pPr>
        <w:pStyle w:val="ListBullet3"/>
      </w:pPr>
      <w:r w:rsidRPr="00BA65CF">
        <w:t>journals</w:t>
      </w:r>
    </w:p>
    <w:p w:rsidR="00000000" w:rsidRPr="00BA65CF" w:rsidP="00BA65CF">
      <w:pPr>
        <w:pStyle w:val="ListBullet3"/>
      </w:pPr>
      <w:r w:rsidRPr="00BA65CF">
        <w:t>seminars</w:t>
      </w:r>
    </w:p>
    <w:p w:rsidR="00000000" w:rsidRPr="00BA65CF" w:rsidP="00BA65CF">
      <w:pPr>
        <w:pStyle w:val="ListBullet2"/>
      </w:pPr>
      <w:r w:rsidRPr="00BA65CF">
        <w:t>lawyers</w:t>
      </w:r>
    </w:p>
    <w:p w:rsidR="00000000" w:rsidRPr="00BA65CF" w:rsidP="00BA65CF">
      <w:pPr>
        <w:pStyle w:val="ListBullet2"/>
      </w:pPr>
      <w:r w:rsidRPr="00BA65CF">
        <w:t>libraries</w:t>
      </w:r>
    </w:p>
    <w:p w:rsidR="00000000" w:rsidRPr="00BA65CF" w:rsidP="00BA65CF">
      <w:pPr>
        <w:pStyle w:val="ListBullet2"/>
      </w:pPr>
      <w:r w:rsidRPr="00BA65CF">
        <w:t>personal observations and experience</w:t>
      </w:r>
    </w:p>
    <w:p w:rsidR="00000000" w:rsidRPr="00BA65CF" w:rsidP="00BA65CF">
      <w:pPr>
        <w:pStyle w:val="ListBullet2"/>
      </w:pPr>
      <w:r w:rsidRPr="00BA65CF">
        <w:t>reference books</w:t>
      </w:r>
    </w:p>
    <w:p w:rsidR="00000000" w:rsidRPr="00BA65CF" w:rsidP="00BA65CF">
      <w:pPr>
        <w:pStyle w:val="ListBullet2"/>
      </w:pPr>
      <w:r w:rsidRPr="00BA65CF">
        <w:t>training courses</w:t>
      </w:r>
    </w:p>
    <w:p w:rsidR="00000000" w:rsidRPr="00BA65CF" w:rsidP="00BA65CF">
      <w:pPr>
        <w:pStyle w:val="ListBullet"/>
      </w:pPr>
      <w:r w:rsidRPr="00BA65CF">
        <w:t>functions of regulatory authorities relevant to the tourism, travel, hospitality and events industries</w:t>
      </w:r>
    </w:p>
    <w:p w:rsidR="00000000" w:rsidRPr="00BA65CF" w:rsidP="00BA65CF">
      <w:pPr>
        <w:pStyle w:val="ListBullet"/>
      </w:pPr>
      <w:r w:rsidRPr="00BA65CF">
        <w:t>methods of receiving updated information on managing legal risks and compliance requirements</w:t>
      </w:r>
    </w:p>
    <w:p w:rsidR="00000000" w:rsidRPr="00BA65CF" w:rsidP="00BA65CF">
      <w:pPr>
        <w:pStyle w:val="ListBullet"/>
      </w:pPr>
      <w:r w:rsidRPr="00BA65CF">
        <w:t>strategies for managing legal risks and legal compliance</w:t>
      </w:r>
    </w:p>
    <w:p w:rsidR="00000000" w:rsidRPr="00BA65CF" w:rsidP="00BA65CF">
      <w:pPr>
        <w:pStyle w:val="ListBullet"/>
      </w:pPr>
      <w:r w:rsidRPr="00BA65CF">
        <w:t>primary components of legal principles and of local, state, territory and Commonwealth government laws to which all types of businesses must comply:</w:t>
      </w:r>
    </w:p>
    <w:p w:rsidR="00000000" w:rsidRPr="00BA65CF" w:rsidP="00BA65CF">
      <w:pPr>
        <w:pStyle w:val="ListBullet2"/>
      </w:pPr>
      <w:r w:rsidRPr="00BA65CF">
        <w:t>anti-discrimination, including provisions for equal employment opportunity (EEO) and harassment</w:t>
      </w:r>
    </w:p>
    <w:p w:rsidR="00000000" w:rsidRPr="00BA65CF" w:rsidP="00BA65CF">
      <w:pPr>
        <w:pStyle w:val="ListBullet2"/>
      </w:pPr>
      <w:r w:rsidRPr="00BA65CF">
        <w:t>anti-trust</w:t>
      </w:r>
      <w:r w:rsidRPr="00BA65CF">
        <w:t xml:space="preserve"> laws (</w:t>
      </w:r>
      <w:r>
        <w:t>“</w:t>
      </w:r>
      <w:r w:rsidRPr="00BA65CF">
        <w:t>restrictive trade practices</w:t>
      </w:r>
      <w:r>
        <w:t>”</w:t>
      </w:r>
      <w:r w:rsidRPr="00BA65CF">
        <w:t>), including the prohibitions on anti-cartel, resale price maintenance and third line forcing</w:t>
      </w:r>
    </w:p>
    <w:p w:rsidR="00000000" w:rsidRPr="00BA65CF" w:rsidP="00BA65CF">
      <w:pPr>
        <w:pStyle w:val="ListBullet2"/>
      </w:pPr>
      <w:r w:rsidRPr="00BA65CF">
        <w:t>Australian Consumer Law (ACL), including provisions for refunds, exchanges and cancellations, terms and conditions of quotatio</w:t>
      </w:r>
      <w:r w:rsidRPr="00BA65CF">
        <w:t>ns and consumer contracts</w:t>
      </w:r>
    </w:p>
    <w:p w:rsidR="00000000" w:rsidRPr="00BA65CF" w:rsidP="00BA65CF">
      <w:pPr>
        <w:pStyle w:val="ListBullet2"/>
      </w:pPr>
      <w:r w:rsidRPr="00BA65CF">
        <w:t>contract formation and content</w:t>
      </w:r>
    </w:p>
    <w:p w:rsidR="00000000" w:rsidRPr="00BA65CF" w:rsidP="00BA65CF">
      <w:pPr>
        <w:pStyle w:val="ListBullet2"/>
      </w:pPr>
      <w:r w:rsidRPr="00BA65CF">
        <w:t>copyright law</w:t>
      </w:r>
    </w:p>
    <w:p w:rsidR="00000000" w:rsidRPr="00BA65CF" w:rsidP="00BA65CF">
      <w:pPr>
        <w:pStyle w:val="ListBullet2"/>
      </w:pPr>
      <w:r w:rsidRPr="00BA65CF">
        <w:t>duty of care and negligence</w:t>
      </w:r>
    </w:p>
    <w:p w:rsidR="00000000" w:rsidRPr="00BA65CF" w:rsidP="00BA65CF">
      <w:pPr>
        <w:pStyle w:val="ListBullet2"/>
      </w:pPr>
      <w:r w:rsidRPr="00BA65CF">
        <w:t>e-commerce and social media</w:t>
      </w:r>
    </w:p>
    <w:p w:rsidR="00000000" w:rsidRPr="00BA65CF" w:rsidP="00BA65CF">
      <w:pPr>
        <w:pStyle w:val="ListBullet2"/>
      </w:pPr>
      <w:r w:rsidRPr="00BA65CF">
        <w:t>employer superannuation contributions</w:t>
      </w:r>
    </w:p>
    <w:p w:rsidR="00000000" w:rsidRPr="00BA65CF" w:rsidP="00BA65CF">
      <w:pPr>
        <w:pStyle w:val="ListBullet2"/>
      </w:pPr>
      <w:r w:rsidRPr="00BA65CF">
        <w:t>Fair Work Act 2009, including provisions for National Employment Standards (NES)</w:t>
      </w:r>
    </w:p>
    <w:p w:rsidR="00000000" w:rsidRPr="00BA65CF" w:rsidP="00BA65CF">
      <w:pPr>
        <w:pStyle w:val="ListBullet2"/>
      </w:pPr>
      <w:r w:rsidRPr="00BA65CF">
        <w:t>insurance,</w:t>
      </w:r>
      <w:r w:rsidRPr="00BA65CF">
        <w:t xml:space="preserve"> including public liability and professional indemnity insurance</w:t>
      </w:r>
    </w:p>
    <w:p w:rsidR="00000000" w:rsidRPr="00BA65CF" w:rsidP="00BA65CF">
      <w:pPr>
        <w:pStyle w:val="ListBullet2"/>
      </w:pPr>
      <w:r w:rsidRPr="00BA65CF">
        <w:t>privacy law</w:t>
      </w:r>
    </w:p>
    <w:p w:rsidR="00000000" w:rsidRPr="00BA65CF" w:rsidP="00BA65CF">
      <w:pPr>
        <w:pStyle w:val="ListBullet2"/>
      </w:pPr>
      <w:r w:rsidRPr="00BA65CF">
        <w:t>trade mark law</w:t>
      </w:r>
    </w:p>
    <w:p w:rsidR="00000000" w:rsidRPr="00BA65CF" w:rsidP="00BA65CF">
      <w:pPr>
        <w:pStyle w:val="ListBullet2"/>
      </w:pPr>
      <w:r w:rsidRPr="00BA65CF">
        <w:t>work health and safety</w:t>
      </w:r>
    </w:p>
    <w:p w:rsidR="00000000" w:rsidRPr="00BA65CF" w:rsidP="00BA65CF">
      <w:pPr>
        <w:pStyle w:val="ListBullet2"/>
      </w:pPr>
      <w:r w:rsidRPr="00BA65CF">
        <w:t>workers’ compensation, including provisions for injury reporting and occupational rehabilitation</w:t>
      </w:r>
    </w:p>
    <w:p w:rsidR="00000000" w:rsidRPr="00BA65CF" w:rsidP="00BA65CF">
      <w:pPr>
        <w:pStyle w:val="ListBullet"/>
      </w:pPr>
      <w:r w:rsidRPr="00BA65CF">
        <w:t>laws, codes, standards and licensing requirements that impact on specific operators in the tourism, travel, hospitality and event industries and are applicable to the individual’s context:</w:t>
      </w:r>
    </w:p>
    <w:p w:rsidR="00000000" w:rsidRPr="00BA65CF" w:rsidP="00BA65CF">
      <w:pPr>
        <w:pStyle w:val="ListBullet2"/>
      </w:pPr>
      <w:r w:rsidRPr="00BA65CF">
        <w:t>Criminal Code Act 1995 as it relates to child sex offences outside</w:t>
      </w:r>
      <w:r w:rsidRPr="00BA65CF">
        <w:t xml:space="preserve"> Australia</w:t>
      </w:r>
    </w:p>
    <w:p w:rsidR="00000000" w:rsidRPr="00BA65CF" w:rsidP="00BA65CF">
      <w:pPr>
        <w:pStyle w:val="ListBullet2"/>
      </w:pPr>
      <w:r w:rsidRPr="00BA65CF">
        <w:t>European Economic Directive of Foreign Travel</w:t>
      </w:r>
    </w:p>
    <w:p w:rsidR="00000000" w:rsidRPr="00BA65CF" w:rsidP="00BA65CF">
      <w:pPr>
        <w:pStyle w:val="ListBullet2"/>
      </w:pPr>
      <w:r w:rsidRPr="00BA65CF">
        <w:t>food safety</w:t>
      </w:r>
    </w:p>
    <w:p w:rsidR="00000000" w:rsidRPr="00BA65CF" w:rsidP="00BA65CF">
      <w:pPr>
        <w:pStyle w:val="ListBullet2"/>
      </w:pPr>
      <w:r w:rsidRPr="00BA65CF">
        <w:t>Food Standards Australia New Zealand Act 1991</w:t>
      </w:r>
    </w:p>
    <w:p w:rsidR="00000000" w:rsidRPr="00BA65CF" w:rsidP="00BA65CF">
      <w:pPr>
        <w:pStyle w:val="ListBullet2"/>
      </w:pPr>
      <w:r w:rsidRPr="00BA65CF">
        <w:t>liquor licensing, including responsible service of alcohol</w:t>
      </w:r>
    </w:p>
    <w:p w:rsidR="00000000" w:rsidRPr="00BA65CF" w:rsidP="00BA65CF">
      <w:pPr>
        <w:pStyle w:val="ListBullet2"/>
      </w:pPr>
      <w:r w:rsidRPr="00BA65CF">
        <w:t>Queensland Tourism Services Act 2003</w:t>
      </w:r>
    </w:p>
    <w:p w:rsidR="00000000" w:rsidRPr="00BA65CF" w:rsidP="00BA65CF">
      <w:pPr>
        <w:pStyle w:val="ListBullet2"/>
      </w:pPr>
      <w:r w:rsidRPr="00BA65CF">
        <w:t>Residential Tenancy Act</w:t>
      </w:r>
    </w:p>
    <w:p w:rsidR="00000000" w:rsidRPr="00BA65CF" w:rsidP="00BA65CF">
      <w:pPr>
        <w:pStyle w:val="ListBullet2"/>
      </w:pPr>
      <w:r w:rsidRPr="00BA65CF">
        <w:t>responsible conduct o</w:t>
      </w:r>
      <w:r w:rsidRPr="00BA65CF">
        <w:t>f gaming regulation</w:t>
      </w:r>
    </w:p>
    <w:p w:rsidR="00000000" w:rsidRPr="00BA65CF" w:rsidP="00BA65CF">
      <w:pPr>
        <w:pStyle w:val="ListBullet"/>
      </w:pPr>
      <w:r w:rsidRPr="00BA65CF">
        <w:t>for each relevant law, code, standard and licensing requirement listed above:</w:t>
      </w:r>
    </w:p>
    <w:p w:rsidR="00000000" w:rsidRPr="00BA65CF" w:rsidP="00BA65CF">
      <w:pPr>
        <w:pStyle w:val="ListBullet2"/>
      </w:pPr>
      <w:r w:rsidRPr="00BA65CF">
        <w:t xml:space="preserve">objectives and primary components </w:t>
      </w:r>
    </w:p>
    <w:p w:rsidR="00000000" w:rsidRPr="00BA65CF" w:rsidP="00BA65CF">
      <w:pPr>
        <w:pStyle w:val="ListBullet2"/>
      </w:pPr>
      <w:r w:rsidRPr="00BA65CF">
        <w:t>key practices and legal risks that need to be managed</w:t>
      </w:r>
    </w:p>
    <w:p w:rsidR="00000000" w:rsidRPr="00BA65CF" w:rsidP="00BA65CF">
      <w:pPr>
        <w:pStyle w:val="ListBullet2"/>
      </w:pPr>
      <w:r w:rsidRPr="00BA65CF">
        <w:t>key actions needed to manage the legal risk</w:t>
      </w:r>
      <w:r w:rsidRPr="00BA65CF">
        <w:t>s and comply with the law</w:t>
      </w:r>
    </w:p>
    <w:p w:rsidR="00000000" w:rsidRPr="00BA65CF" w:rsidP="00BA65CF">
      <w:pPr>
        <w:pStyle w:val="ListBullet2"/>
      </w:pPr>
      <w:r w:rsidRPr="00BA65CF">
        <w:t>main consequences of failure to manage the legal risks or non-compliance with the law</w:t>
      </w:r>
    </w:p>
    <w:p w:rsidR="00000000" w:rsidRPr="00BA65CF" w:rsidP="00BA65CF">
      <w:pPr>
        <w:pStyle w:val="ListBullet2"/>
      </w:pPr>
      <w:r w:rsidRPr="00BA65CF">
        <w:t>requirements for record keeping and acceptable record keeping mechanisms</w:t>
      </w:r>
    </w:p>
    <w:p w:rsidR="00000000" w:rsidRPr="00BA65CF" w:rsidP="00BA65CF">
      <w:pPr>
        <w:pStyle w:val="ListBullet"/>
      </w:pPr>
      <w:r w:rsidRPr="00BA65CF">
        <w:t>opportunities to maintain knowledge of legal risks and legal risk mana</w:t>
      </w:r>
      <w:r w:rsidRPr="00BA65CF">
        <w:t>gement and compliance requirements:</w:t>
      </w:r>
    </w:p>
    <w:p w:rsidR="00000000" w:rsidRPr="00BA65CF" w:rsidP="00BA65CF">
      <w:pPr>
        <w:pStyle w:val="ListBullet2"/>
      </w:pPr>
      <w:r w:rsidRPr="00BA65CF">
        <w:t>participating in industry seminars</w:t>
      </w:r>
    </w:p>
    <w:p w:rsidR="00000000" w:rsidRPr="00BA65CF" w:rsidP="00BA65CF">
      <w:pPr>
        <w:pStyle w:val="ListBullet2"/>
      </w:pPr>
      <w:r w:rsidRPr="00BA65CF">
        <w:t>membership of professional industry associations</w:t>
      </w:r>
    </w:p>
    <w:p w:rsidR="00000000" w:rsidRPr="00BA65CF" w:rsidP="00BA65CF">
      <w:pPr>
        <w:pStyle w:val="ListBullet2"/>
      </w:pPr>
      <w:r w:rsidRPr="00BA65CF">
        <w:t>participating in training courses.</w:t>
      </w:r>
    </w:p>
    <w:p w:rsidR="00000000" w:rsidRPr="00BA65CF" w:rsidP="00BA65CF">
      <w:pPr>
        <w:pStyle w:val="AllowPageBreak"/>
      </w:pPr>
    </w:p>
    <w:p w:rsidR="00000000" w:rsidRPr="00BA65CF" w:rsidP="00BA65CF">
      <w:pPr>
        <w:pStyle w:val="Heading1"/>
      </w:pPr>
      <w:bookmarkStart w:id="13" w:name="O_1232134"/>
      <w:bookmarkEnd w:id="13"/>
      <w:r w:rsidRPr="00BA65CF">
        <w:t>Assessment Conditions</w:t>
      </w:r>
    </w:p>
    <w:p w:rsidR="00000000" w:rsidRPr="00BA65CF" w:rsidP="003005F8">
      <w:pPr>
        <w:pStyle w:val="BodyText"/>
      </w:pPr>
      <w:r w:rsidRPr="00BA65CF">
        <w:t>Skills must be demonstrated in an operational tourism, trav</w:t>
      </w:r>
      <w:r w:rsidRPr="00BA65CF">
        <w:t>el, hospitality or events business operation. This can be:</w:t>
      </w:r>
    </w:p>
    <w:p w:rsidR="00000000" w:rsidRPr="00BA65CF" w:rsidP="00BA65CF">
      <w:pPr>
        <w:pStyle w:val="ListBullet"/>
      </w:pPr>
      <w:r w:rsidRPr="00BA65CF">
        <w:t>an industry workplace; or</w:t>
      </w:r>
    </w:p>
    <w:p w:rsidR="00000000" w:rsidRPr="00BA65CF" w:rsidP="00BA65CF">
      <w:pPr>
        <w:pStyle w:val="ListBullet"/>
      </w:pPr>
      <w:r w:rsidRPr="00BA65CF">
        <w:t>a simulated industry environment set up for the purposes of assessment.</w:t>
      </w:r>
    </w:p>
    <w:p w:rsidR="00000000" w:rsidRPr="00BA65CF" w:rsidP="003005F8">
      <w:pPr>
        <w:pStyle w:val="BodyText"/>
      </w:pPr>
      <w:r w:rsidRPr="00BA65CF">
        <w:t>Assessment must ensure access to:</w:t>
      </w:r>
    </w:p>
    <w:p w:rsidR="00000000" w:rsidRPr="00BA65CF" w:rsidP="00BA65CF">
      <w:pPr>
        <w:pStyle w:val="ListBullet"/>
      </w:pPr>
      <w:r w:rsidRPr="00BA65CF">
        <w:t>computers, software programs, printers and communication technology used to source information on legal risk management and compliance</w:t>
      </w:r>
    </w:p>
    <w:p w:rsidR="00000000" w:rsidRPr="00BA65CF" w:rsidP="00BA65CF">
      <w:pPr>
        <w:pStyle w:val="ListBullet"/>
      </w:pPr>
      <w:r w:rsidRPr="00BA65CF">
        <w:t>current legislation</w:t>
      </w:r>
    </w:p>
    <w:p w:rsidR="00000000" w:rsidRPr="00BA65CF" w:rsidP="00BA65CF">
      <w:pPr>
        <w:pStyle w:val="ListBullet"/>
      </w:pPr>
      <w:r w:rsidRPr="00BA65CF">
        <w:t>current materials displayed or published by government regulators</w:t>
      </w:r>
    </w:p>
    <w:p w:rsidR="00000000" w:rsidRPr="00BA65CF" w:rsidP="00BA65CF">
      <w:pPr>
        <w:pStyle w:val="ListBullet"/>
      </w:pPr>
      <w:r w:rsidRPr="00BA65CF">
        <w:t>information issued by industry asso</w:t>
      </w:r>
      <w:r w:rsidRPr="00BA65CF">
        <w:t>ciations or commercial publishers.</w:t>
      </w:r>
    </w:p>
    <w:p w:rsidR="00000000" w:rsidRPr="00BA65CF" w:rsidP="003005F8">
      <w:pPr>
        <w:pStyle w:val="BodyText"/>
      </w:pPr>
      <w:r w:rsidRPr="00BA65CF">
        <w:t>Assessors must satisfy the Standards for Registered Training Organisations’ requirements for assessors.</w:t>
      </w:r>
    </w:p>
    <w:p w:rsidR="00000000" w:rsidRPr="00BA65CF" w:rsidP="00BA65CF">
      <w:pPr>
        <w:pStyle w:val="Heading1"/>
      </w:pPr>
      <w:bookmarkStart w:id="14" w:name="O_1232132"/>
      <w:bookmarkEnd w:id="14"/>
      <w:r w:rsidRPr="00BA65CF">
        <w:t>Links</w:t>
      </w:r>
    </w:p>
    <w:p w:rsidR="00000000" w:rsidRPr="00BA65CF" w:rsidP="003005F8">
      <w:pPr>
        <w:pStyle w:val="BodyText"/>
      </w:pPr>
      <w:r w:rsidRPr="00BA65C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90816">
        <w:rPr>
          <w:rStyle w:val="Hyperlink"/>
        </w:rPr>
        <w:t>https://vetnet.gov.au/Pages/TrainingDocs.aspx?q=68c40a93-e51d-4e0f-bc06-899dff092694</w:t>
      </w:r>
      <w:r>
        <w:fldChar w:fldCharType="end"/>
      </w:r>
    </w:p>
    <w:p w:rsidR="00000000" w:rsidRPr="00BA65CF" w:rsidP="00BA65CF"/>
    <w:sectPr w:rsidSect="00BA65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rsidRPr="003005F8" w:rsidP="00300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F8" w:rsidP="00BA6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005F8" w:rsidP="00BA65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005F8" w:rsidP="00BA65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rsidP="00BA65CF">
    <w:pPr>
      <w:pStyle w:val="Footer"/>
      <w:framePr w:wrap="around"/>
    </w:pPr>
    <w:r>
      <w:fldChar w:fldCharType="begin"/>
    </w:r>
    <w:r>
      <w:instrText xml:space="preserve"> DOCPROPERTY  Subject  \* MERGEFORMAT </w:instrText>
    </w:r>
    <w:r>
      <w:fldChar w:fldCharType="separate"/>
    </w:r>
    <w:r w:rsidR="003005F8">
      <w:t>Approved</w:t>
    </w:r>
    <w:r w:rsidR="003005F8">
      <w:fldChar w:fldCharType="end"/>
    </w:r>
    <w:r>
      <w:tab/>
      <w:t xml:space="preserve">Page </w:t>
    </w:r>
    <w:r>
      <w:fldChar w:fldCharType="begin"/>
    </w:r>
    <w:r>
      <w:instrText xml:space="preserve"> PAGE  \* Arabic  \* MERGEFORMAT </w:instrText>
    </w:r>
    <w:r>
      <w:fldChar w:fldCharType="separate"/>
    </w:r>
    <w:r w:rsidR="003005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05F8">
      <w:rPr>
        <w:noProof/>
      </w:rPr>
      <w:t>5</w:t>
    </w:r>
    <w:r>
      <w:rPr>
        <w:noProof/>
      </w:rPr>
      <w:fldChar w:fldCharType="end"/>
    </w:r>
  </w:p>
  <w:p w:rsidR="00BA65CF" w:rsidP="00BA65CF">
    <w:pPr>
      <w:pStyle w:val="Footer"/>
      <w:framePr w:wrap="around"/>
    </w:pPr>
    <w:r>
      <w:t xml:space="preserve">© Commonwealth of Australia, </w:t>
    </w:r>
    <w:r>
      <w:fldChar w:fldCharType="begin"/>
    </w:r>
    <w:r>
      <w:instrText xml:space="preserve"> DATE  \@ "yyyy"  \* MERGEFORMAT </w:instrText>
    </w:r>
    <w:r>
      <w:fldChar w:fldCharType="separate"/>
    </w:r>
    <w:r w:rsidR="003005F8">
      <w:rPr>
        <w:noProof/>
      </w:rPr>
      <w:t>2025</w:t>
    </w:r>
    <w:r>
      <w:fldChar w:fldCharType="end"/>
    </w:r>
    <w:r>
      <w:tab/>
    </w:r>
    <w:r>
      <w:fldChar w:fldCharType="begin"/>
    </w:r>
    <w:r>
      <w:instrText xml:space="preserve"> DOCPROPERTY  Author  \* MERGEFORMAT </w:instrText>
    </w:r>
    <w:r>
      <w:fldChar w:fldCharType="separate"/>
    </w:r>
    <w:r w:rsidR="003005F8">
      <w:t>Service and Creative Skills Australia</w:t>
    </w:r>
    <w:r w:rsidR="003005F8">
      <w:fldChar w:fldCharType="end"/>
    </w:r>
  </w:p>
  <w:p w:rsidR="00BA65CF" w:rsidP="00BA6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65CF" w:rsidRPr="003005F8" w:rsidP="00300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5F8" w:rsidRPr="002D2AF8" w:rsidP="00BA65CF">
    <w:pPr>
      <w:pStyle w:val="Header"/>
      <w:framePr w:wrap="around"/>
    </w:pPr>
    <w:r>
      <w:fldChar w:fldCharType="begin"/>
    </w:r>
    <w:r>
      <w:instrText xml:space="preserve"> TITLE   \* MERGEFORMAT </w:instrText>
    </w:r>
    <w:r>
      <w:fldChar w:fldCharType="separate"/>
    </w:r>
    <w:r>
      <w:t>SITXGLC002 Identify and manage legal risks and comply with law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005F8" w:rsidP="00BA65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5CF" w:rsidRPr="002D2AF8" w:rsidP="00BA65CF">
    <w:pPr>
      <w:pStyle w:val="Header"/>
      <w:framePr w:wrap="around"/>
    </w:pPr>
    <w:r>
      <w:fldChar w:fldCharType="begin"/>
    </w:r>
    <w:r>
      <w:instrText xml:space="preserve"> TITLE   \* MERGEFORMAT </w:instrText>
    </w:r>
    <w:r>
      <w:fldChar w:fldCharType="separate"/>
    </w:r>
    <w:r w:rsidR="003005F8">
      <w:t>SITXGLC002 Identify and manage legal risks and comply with law</w:t>
    </w:r>
    <w:r w:rsidR="003005F8">
      <w:fldChar w:fldCharType="end"/>
    </w:r>
    <w:r>
      <w:tab/>
      <w:t xml:space="preserve">Date this document was generated: </w:t>
    </w:r>
    <w:r>
      <w:fldChar w:fldCharType="begin"/>
    </w:r>
    <w:r>
      <w:instrText xml:space="preserve"> CREATEDATE  \@ "d MMMM yyyy"  \* MERGEFORMAT </w:instrText>
    </w:r>
    <w:r>
      <w:fldChar w:fldCharType="separate"/>
    </w:r>
    <w:r w:rsidR="003005F8">
      <w:rPr>
        <w:noProof/>
      </w:rPr>
      <w:t>1 March 2025</w:t>
    </w:r>
    <w:r>
      <w:fldChar w:fldCharType="end"/>
    </w:r>
  </w:p>
  <w:p w:rsidR="00BA65CF" w:rsidP="00BA6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E4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2F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70B0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5CF"/>
    <w:pPr>
      <w:spacing w:before="360" w:after="60"/>
      <w:outlineLvl w:val="0"/>
    </w:pPr>
    <w:rPr>
      <w:sz w:val="32"/>
    </w:rPr>
  </w:style>
  <w:style w:type="paragraph" w:styleId="Heading2">
    <w:name w:val="heading 2"/>
    <w:basedOn w:val="HeadingBase"/>
    <w:next w:val="BodyText"/>
    <w:link w:val="Heading2Char"/>
    <w:qFormat/>
    <w:rsid w:val="00BA65CF"/>
    <w:pPr>
      <w:keepLines/>
      <w:spacing w:before="240" w:after="120"/>
      <w:outlineLvl w:val="1"/>
    </w:pPr>
    <w:rPr>
      <w:sz w:val="28"/>
      <w:szCs w:val="40"/>
    </w:rPr>
  </w:style>
  <w:style w:type="paragraph" w:styleId="Heading3">
    <w:name w:val="heading 3"/>
    <w:basedOn w:val="HeadingBase"/>
    <w:next w:val="BodyText"/>
    <w:link w:val="Heading3Char"/>
    <w:qFormat/>
    <w:rsid w:val="00BA65CF"/>
    <w:pPr>
      <w:spacing w:before="180" w:after="120"/>
      <w:outlineLvl w:val="2"/>
    </w:pPr>
    <w:rPr>
      <w:spacing w:val="-10"/>
      <w:kern w:val="32"/>
    </w:rPr>
  </w:style>
  <w:style w:type="paragraph" w:styleId="Heading4">
    <w:name w:val="heading 4"/>
    <w:basedOn w:val="HeadingBase"/>
    <w:next w:val="BodyText"/>
    <w:link w:val="Heading4Char"/>
    <w:qFormat/>
    <w:rsid w:val="00BA65CF"/>
    <w:pPr>
      <w:spacing w:before="160" w:after="120"/>
      <w:outlineLvl w:val="3"/>
    </w:pPr>
    <w:rPr>
      <w:sz w:val="22"/>
    </w:rPr>
  </w:style>
  <w:style w:type="paragraph" w:styleId="Heading5">
    <w:name w:val="heading 5"/>
    <w:basedOn w:val="HeadingBase"/>
    <w:next w:val="Normal"/>
    <w:link w:val="Heading5Char"/>
    <w:qFormat/>
    <w:rsid w:val="00BA65CF"/>
    <w:pPr>
      <w:spacing w:before="80"/>
      <w:outlineLvl w:val="4"/>
    </w:pPr>
    <w:rPr>
      <w:color w:val="918585"/>
      <w:sz w:val="20"/>
    </w:rPr>
  </w:style>
  <w:style w:type="paragraph" w:styleId="Heading6">
    <w:name w:val="heading 6"/>
    <w:basedOn w:val="HeadingBase"/>
    <w:next w:val="Normal"/>
    <w:link w:val="Heading6Char"/>
    <w:qFormat/>
    <w:rsid w:val="00BA65CF"/>
    <w:pPr>
      <w:spacing w:before="60"/>
      <w:outlineLvl w:val="5"/>
    </w:pPr>
    <w:rPr>
      <w:color w:val="918585"/>
      <w:sz w:val="20"/>
    </w:rPr>
  </w:style>
  <w:style w:type="paragraph" w:styleId="Heading7">
    <w:name w:val="heading 7"/>
    <w:basedOn w:val="Normal"/>
    <w:next w:val="Normal"/>
    <w:link w:val="Heading7Char"/>
    <w:qFormat/>
    <w:rsid w:val="00BA65CF"/>
    <w:pPr>
      <w:ind w:left="720"/>
      <w:outlineLvl w:val="6"/>
    </w:pPr>
    <w:rPr>
      <w:i/>
    </w:rPr>
  </w:style>
  <w:style w:type="paragraph" w:styleId="Heading8">
    <w:name w:val="heading 8"/>
    <w:basedOn w:val="Normal"/>
    <w:next w:val="Normal"/>
    <w:link w:val="Heading8Char"/>
    <w:qFormat/>
    <w:rsid w:val="00BA65CF"/>
    <w:pPr>
      <w:ind w:left="720"/>
      <w:outlineLvl w:val="7"/>
    </w:pPr>
    <w:rPr>
      <w:i/>
    </w:rPr>
  </w:style>
  <w:style w:type="paragraph" w:styleId="Heading9">
    <w:name w:val="heading 9"/>
    <w:basedOn w:val="Normal"/>
    <w:next w:val="Normal"/>
    <w:link w:val="Heading9Char"/>
    <w:qFormat/>
    <w:rsid w:val="00BA65CF"/>
    <w:pPr>
      <w:ind w:left="720"/>
      <w:outlineLvl w:val="8"/>
    </w:pPr>
    <w:rPr>
      <w:i/>
    </w:rPr>
  </w:style>
  <w:style w:type="character" w:default="1" w:styleId="DefaultParagraphFont">
    <w:name w:val="Default Paragraph Font"/>
    <w:uiPriority w:val="1"/>
    <w:unhideWhenUsed/>
    <w:rsid w:val="00BA6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5CF"/>
  </w:style>
  <w:style w:type="character" w:customStyle="1" w:styleId="Heading1Char">
    <w:name w:val="Heading 1 Char"/>
    <w:basedOn w:val="DefaultParagraphFont"/>
    <w:link w:val="Heading1"/>
    <w:rsid w:val="00BA65CF"/>
    <w:rPr>
      <w:rFonts w:ascii="Times New Roman" w:eastAsia="Times New Roman" w:hAnsi="Times New Roman" w:cs="Times New Roman"/>
      <w:b/>
      <w:sz w:val="32"/>
      <w:szCs w:val="20"/>
      <w:lang w:eastAsia="en-US"/>
    </w:rPr>
  </w:style>
  <w:style w:type="paragraph" w:styleId="BodyText">
    <w:name w:val="Body Text"/>
    <w:basedOn w:val="Normal"/>
    <w:link w:val="BodyTextChar"/>
    <w:rsid w:val="00BA6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65CF"/>
    <w:rPr>
      <w:rFonts w:ascii="Times New Roman" w:eastAsia="Times New Roman" w:hAnsi="Times New Roman" w:cs="Times New Roman"/>
      <w:sz w:val="24"/>
      <w:lang w:eastAsia="en-US"/>
    </w:rPr>
  </w:style>
  <w:style w:type="paragraph" w:styleId="List">
    <w:name w:val="List"/>
    <w:basedOn w:val="BodyText"/>
    <w:next w:val="BodyText"/>
    <w:rsid w:val="00BA65CF"/>
    <w:pPr>
      <w:tabs>
        <w:tab w:val="left" w:pos="340"/>
      </w:tabs>
      <w:spacing w:before="60" w:after="60"/>
      <w:ind w:left="340" w:hanging="340"/>
    </w:pPr>
  </w:style>
  <w:style w:type="paragraph" w:styleId="ListBullet">
    <w:name w:val="List Bullet"/>
    <w:basedOn w:val="List"/>
    <w:rsid w:val="00BA65CF"/>
    <w:pPr>
      <w:numPr>
        <w:numId w:val="13"/>
      </w:numPr>
      <w:tabs>
        <w:tab w:val="clear" w:pos="340"/>
      </w:tabs>
      <w:spacing w:before="40" w:after="40"/>
    </w:pPr>
  </w:style>
  <w:style w:type="character" w:customStyle="1" w:styleId="SpecialBold">
    <w:name w:val="Special Bold"/>
    <w:basedOn w:val="DefaultParagraphFont"/>
    <w:rsid w:val="00BA65CF"/>
    <w:rPr>
      <w:b/>
      <w:spacing w:val="0"/>
    </w:rPr>
  </w:style>
  <w:style w:type="paragraph" w:styleId="ListBullet2">
    <w:name w:val="List Bullet 2"/>
    <w:basedOn w:val="List2"/>
    <w:rsid w:val="00BA65CF"/>
    <w:pPr>
      <w:numPr>
        <w:numId w:val="14"/>
      </w:numPr>
      <w:tabs>
        <w:tab w:val="clear" w:pos="680"/>
      </w:tabs>
    </w:pPr>
  </w:style>
  <w:style w:type="character" w:styleId="Emphasis">
    <w:name w:val="Emphasis"/>
    <w:basedOn w:val="DefaultParagraphFont"/>
    <w:qFormat/>
    <w:rsid w:val="00BA65CF"/>
    <w:rPr>
      <w:i/>
    </w:rPr>
  </w:style>
  <w:style w:type="paragraph" w:customStyle="1" w:styleId="SuperHeading">
    <w:name w:val="SuperHeading"/>
    <w:basedOn w:val="Normal"/>
    <w:rsid w:val="00BA65CF"/>
    <w:pPr>
      <w:spacing w:before="240" w:after="120"/>
      <w:outlineLvl w:val="0"/>
    </w:pPr>
    <w:rPr>
      <w:rFonts w:ascii="Times New Roman" w:hAnsi="Times New Roman"/>
      <w:b/>
      <w:sz w:val="32"/>
    </w:rPr>
  </w:style>
  <w:style w:type="paragraph" w:customStyle="1" w:styleId="AllowPageBreak">
    <w:name w:val="AllowPageBreak"/>
    <w:rsid w:val="00BA65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A65CF"/>
    <w:pPr>
      <w:numPr>
        <w:numId w:val="3"/>
      </w:numPr>
      <w:tabs>
        <w:tab w:val="clear" w:pos="1021"/>
      </w:tabs>
      <w:ind w:left="1037" w:hanging="357"/>
    </w:pPr>
  </w:style>
  <w:style w:type="character" w:customStyle="1" w:styleId="Heading2Char">
    <w:name w:val="Heading 2 Char"/>
    <w:basedOn w:val="DefaultParagraphFont"/>
    <w:link w:val="Heading2"/>
    <w:rsid w:val="00BA6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5CF"/>
    <w:rPr>
      <w:rFonts w:ascii="Courier New" w:eastAsia="Times New Roman" w:hAnsi="Courier New" w:cs="Times New Roman"/>
      <w:i/>
      <w:szCs w:val="20"/>
      <w:lang w:eastAsia="en-US"/>
    </w:rPr>
  </w:style>
  <w:style w:type="paragraph" w:customStyle="1" w:styleId="HeadingBase">
    <w:name w:val="Heading Base"/>
    <w:rsid w:val="00BA6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5CF"/>
    <w:pPr>
      <w:tabs>
        <w:tab w:val="right" w:leader="dot" w:pos="9072"/>
      </w:tabs>
      <w:ind w:left="567"/>
    </w:pPr>
    <w:rPr>
      <w:szCs w:val="22"/>
    </w:rPr>
  </w:style>
  <w:style w:type="paragraph" w:customStyle="1" w:styleId="TOCBase">
    <w:name w:val="TOC Base"/>
    <w:rsid w:val="00BA6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5CF"/>
    <w:pPr>
      <w:tabs>
        <w:tab w:val="right" w:leader="dot" w:pos="9072"/>
      </w:tabs>
      <w:spacing w:before="40" w:after="40"/>
      <w:ind w:left="284"/>
    </w:pPr>
    <w:rPr>
      <w:rFonts w:ascii="Times New Roman" w:hAnsi="Times New Roman"/>
    </w:rPr>
  </w:style>
  <w:style w:type="paragraph" w:styleId="TOC1">
    <w:name w:val="toc 1"/>
    <w:basedOn w:val="TOCBase"/>
    <w:next w:val="Normal"/>
    <w:rsid w:val="00BA6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5CF"/>
    <w:rPr>
      <w:rFonts w:ascii="Times New Roman" w:eastAsia="Times New Roman" w:hAnsi="Times New Roman" w:cs="Times New Roman"/>
      <w:sz w:val="16"/>
      <w:lang w:eastAsia="en-US"/>
    </w:rPr>
  </w:style>
  <w:style w:type="paragraph" w:styleId="Title">
    <w:name w:val="Title"/>
    <w:basedOn w:val="HeadingBase"/>
    <w:link w:val="TitleChar"/>
    <w:qFormat/>
    <w:rsid w:val="00BA65CF"/>
    <w:pPr>
      <w:spacing w:before="5040"/>
      <w:jc w:val="center"/>
    </w:pPr>
    <w:rPr>
      <w:sz w:val="48"/>
      <w:szCs w:val="72"/>
      <w:lang w:val="en-US"/>
    </w:rPr>
  </w:style>
  <w:style w:type="character" w:customStyle="1" w:styleId="TitleChar">
    <w:name w:val="Title Char"/>
    <w:basedOn w:val="DefaultParagraphFont"/>
    <w:link w:val="Title"/>
    <w:rsid w:val="00BA6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5CF"/>
    <w:pPr>
      <w:tabs>
        <w:tab w:val="left" w:pos="3600"/>
        <w:tab w:val="left" w:pos="3958"/>
      </w:tabs>
    </w:pPr>
  </w:style>
  <w:style w:type="paragraph" w:customStyle="1" w:styleId="Note">
    <w:name w:val="Note"/>
    <w:basedOn w:val="BodyText"/>
    <w:rsid w:val="00BA6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5CF"/>
    <w:pPr>
      <w:framePr w:wrap="auto" w:hAnchor="text" w:y="6049"/>
    </w:pPr>
    <w:rPr>
      <w:color w:val="000000"/>
      <w:sz w:val="40"/>
    </w:rPr>
  </w:style>
  <w:style w:type="paragraph" w:customStyle="1" w:styleId="TOCTitle">
    <w:name w:val="TOCTitle"/>
    <w:basedOn w:val="Heading1"/>
    <w:rsid w:val="00BA65CF"/>
    <w:pPr>
      <w:spacing w:after="240"/>
      <w:jc w:val="center"/>
      <w:outlineLvl w:val="9"/>
    </w:pPr>
    <w:rPr>
      <w:caps/>
    </w:rPr>
  </w:style>
  <w:style w:type="paragraph" w:customStyle="1" w:styleId="Version">
    <w:name w:val="Version"/>
    <w:rsid w:val="00BA65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65CF"/>
    <w:pPr>
      <w:keepNext w:val="0"/>
      <w:tabs>
        <w:tab w:val="right" w:pos="4176"/>
      </w:tabs>
      <w:ind w:left="198" w:hanging="198"/>
    </w:pPr>
    <w:rPr>
      <w:rFonts w:ascii="Garamond" w:hAnsi="Garamond"/>
    </w:rPr>
  </w:style>
  <w:style w:type="paragraph" w:styleId="IndexHeading">
    <w:name w:val="index heading"/>
    <w:basedOn w:val="Normal"/>
    <w:next w:val="Index1"/>
    <w:semiHidden/>
    <w:rsid w:val="00BA65CF"/>
    <w:pPr>
      <w:spacing w:before="120" w:after="120"/>
    </w:pPr>
    <w:rPr>
      <w:rFonts w:ascii="Arial" w:hAnsi="Arial"/>
      <w:b/>
      <w:color w:val="918585"/>
      <w:sz w:val="24"/>
    </w:rPr>
  </w:style>
  <w:style w:type="paragraph" w:styleId="Header">
    <w:name w:val="header"/>
    <w:basedOn w:val="Normal"/>
    <w:link w:val="HeaderChar"/>
    <w:rsid w:val="00BA6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5CF"/>
    <w:rPr>
      <w:rFonts w:ascii="Times New Roman" w:eastAsia="Times New Roman" w:hAnsi="Times New Roman" w:cs="Times New Roman"/>
      <w:sz w:val="16"/>
      <w:szCs w:val="20"/>
      <w:lang w:val="en-GB" w:eastAsia="en-US"/>
    </w:rPr>
  </w:style>
  <w:style w:type="paragraph" w:customStyle="1" w:styleId="Chapter">
    <w:name w:val="Chapter"/>
    <w:basedOn w:val="Normal"/>
    <w:rsid w:val="00BA65CF"/>
    <w:pPr>
      <w:spacing w:before="240"/>
    </w:pPr>
    <w:rPr>
      <w:rFonts w:ascii="Times New Roman" w:hAnsi="Times New Roman"/>
      <w:smallCaps/>
      <w:spacing w:val="80"/>
      <w:sz w:val="28"/>
    </w:rPr>
  </w:style>
  <w:style w:type="paragraph" w:customStyle="1" w:styleId="InChapter">
    <w:name w:val="InChapter"/>
    <w:basedOn w:val="Heading3"/>
    <w:rsid w:val="00BA65CF"/>
    <w:pPr>
      <w:spacing w:after="240"/>
      <w:outlineLvl w:val="9"/>
    </w:pPr>
    <w:rPr>
      <w:noProof/>
    </w:rPr>
  </w:style>
  <w:style w:type="paragraph" w:styleId="Index2">
    <w:name w:val="index 2"/>
    <w:basedOn w:val="Normal"/>
    <w:next w:val="Normal"/>
    <w:semiHidden/>
    <w:rsid w:val="00BA65CF"/>
    <w:pPr>
      <w:tabs>
        <w:tab w:val="right" w:pos="4176"/>
      </w:tabs>
      <w:ind w:left="568" w:hanging="284"/>
    </w:pPr>
    <w:rPr>
      <w:rFonts w:ascii="Garamond" w:hAnsi="Garamond"/>
    </w:rPr>
  </w:style>
  <w:style w:type="paragraph" w:customStyle="1" w:styleId="Byline">
    <w:name w:val="Byline"/>
    <w:rsid w:val="00BA6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5CF"/>
    <w:pPr>
      <w:tabs>
        <w:tab w:val="clear" w:pos="3600"/>
        <w:tab w:val="clear" w:pos="3958"/>
      </w:tabs>
      <w:jc w:val="right"/>
    </w:pPr>
  </w:style>
  <w:style w:type="paragraph" w:styleId="Caption">
    <w:name w:val="caption"/>
    <w:basedOn w:val="BodyText"/>
    <w:next w:val="Normal"/>
    <w:qFormat/>
    <w:rsid w:val="00BA65CF"/>
    <w:pPr>
      <w:framePr w:w="2268" w:hSpace="181" w:vSpace="181" w:wrap="around" w:vAnchor="text" w:hAnchor="page" w:x="1135" w:y="285" w:anchorLock="1"/>
    </w:pPr>
    <w:rPr>
      <w:i/>
    </w:rPr>
  </w:style>
  <w:style w:type="paragraph" w:customStyle="1" w:styleId="MiniTOCTitle">
    <w:name w:val="MiniTOCTitle"/>
    <w:basedOn w:val="Heading4"/>
    <w:rsid w:val="00BA65CF"/>
    <w:pPr>
      <w:spacing w:before="240"/>
      <w:outlineLvl w:val="9"/>
    </w:pPr>
    <w:rPr>
      <w:noProof/>
      <w:sz w:val="24"/>
    </w:rPr>
  </w:style>
  <w:style w:type="paragraph" w:customStyle="1" w:styleId="MiniTOCItem">
    <w:name w:val="MiniTOCItem"/>
    <w:basedOn w:val="ListBullet"/>
    <w:rsid w:val="00BA65CF"/>
    <w:pPr>
      <w:numPr>
        <w:numId w:val="0"/>
      </w:numPr>
      <w:tabs>
        <w:tab w:val="right" w:leader="dot" w:pos="6521"/>
      </w:tabs>
      <w:spacing w:before="0" w:after="0"/>
    </w:pPr>
  </w:style>
  <w:style w:type="paragraph" w:customStyle="1" w:styleId="TOFTitle">
    <w:name w:val="TOFTitle"/>
    <w:basedOn w:val="TOCTitle"/>
    <w:rsid w:val="00BA65CF"/>
  </w:style>
  <w:style w:type="paragraph" w:styleId="TableofFigures">
    <w:name w:val="table of figures"/>
    <w:basedOn w:val="Normal"/>
    <w:next w:val="Normal"/>
    <w:semiHidden/>
    <w:rsid w:val="00BA65CF"/>
    <w:pPr>
      <w:tabs>
        <w:tab w:val="right" w:leader="dot" w:pos="9072"/>
      </w:tabs>
      <w:ind w:left="970" w:hanging="403"/>
    </w:pPr>
    <w:rPr>
      <w:rFonts w:ascii="Times New Roman" w:hAnsi="Times New Roman"/>
      <w:b/>
    </w:rPr>
  </w:style>
  <w:style w:type="paragraph" w:styleId="ListNumber">
    <w:name w:val="List Number"/>
    <w:basedOn w:val="List"/>
    <w:rsid w:val="00BA65CF"/>
    <w:pPr>
      <w:numPr>
        <w:numId w:val="16"/>
      </w:numPr>
      <w:tabs>
        <w:tab w:val="clear" w:pos="340"/>
      </w:tabs>
    </w:pPr>
  </w:style>
  <w:style w:type="character" w:customStyle="1" w:styleId="WingdingSymbols">
    <w:name w:val="Wingding Symbols"/>
    <w:rsid w:val="00BA65CF"/>
    <w:rPr>
      <w:rFonts w:ascii="Wingdings" w:hAnsi="Wingdings"/>
    </w:rPr>
  </w:style>
  <w:style w:type="paragraph" w:customStyle="1" w:styleId="TableHeading">
    <w:name w:val="Table Heading"/>
    <w:basedOn w:val="HeadingBase"/>
    <w:rsid w:val="00BA65CF"/>
    <w:pPr>
      <w:keepLines/>
      <w:pBdr>
        <w:bottom w:val="single" w:sz="6" w:space="1" w:color="918585"/>
      </w:pBdr>
      <w:spacing w:before="240"/>
    </w:pPr>
  </w:style>
  <w:style w:type="character" w:customStyle="1" w:styleId="HotSpot">
    <w:name w:val="HotSpot"/>
    <w:rsid w:val="00BA65CF"/>
    <w:rPr>
      <w:color w:val="0033CC"/>
      <w:u w:val="none"/>
    </w:rPr>
  </w:style>
  <w:style w:type="paragraph" w:customStyle="1" w:styleId="BodyTextRight">
    <w:name w:val="Body Text Right"/>
    <w:basedOn w:val="BodyText"/>
    <w:rsid w:val="00BA65CF"/>
    <w:pPr>
      <w:spacing w:before="0" w:after="0"/>
      <w:jc w:val="right"/>
    </w:pPr>
  </w:style>
  <w:style w:type="paragraph" w:styleId="Index3">
    <w:name w:val="index 3"/>
    <w:basedOn w:val="ListNumber2"/>
    <w:next w:val="Normal"/>
    <w:semiHidden/>
    <w:rsid w:val="00BA65CF"/>
    <w:pPr>
      <w:numPr>
        <w:numId w:val="0"/>
      </w:numPr>
      <w:tabs>
        <w:tab w:val="right" w:leader="dot" w:pos="4176"/>
      </w:tabs>
    </w:pPr>
  </w:style>
  <w:style w:type="paragraph" w:styleId="ListNumber2">
    <w:name w:val="List Number 2"/>
    <w:basedOn w:val="List2"/>
    <w:rsid w:val="00BA65CF"/>
    <w:pPr>
      <w:numPr>
        <w:numId w:val="11"/>
      </w:numPr>
      <w:tabs>
        <w:tab w:val="clear" w:pos="1060"/>
      </w:tabs>
    </w:pPr>
  </w:style>
  <w:style w:type="paragraph" w:customStyle="1" w:styleId="MarginNote">
    <w:name w:val="Margin Note"/>
    <w:basedOn w:val="BodyText"/>
    <w:rsid w:val="00BA6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5CF"/>
    <w:rPr>
      <w:sz w:val="32"/>
    </w:rPr>
  </w:style>
  <w:style w:type="paragraph" w:customStyle="1" w:styleId="HeadingProcedure">
    <w:name w:val="Heading Procedure"/>
    <w:basedOn w:val="HeadingBase"/>
    <w:next w:val="Normal"/>
    <w:rsid w:val="00BA65CF"/>
    <w:pPr>
      <w:tabs>
        <w:tab w:val="left" w:pos="0"/>
      </w:tabs>
      <w:spacing w:before="120" w:after="60"/>
    </w:pPr>
    <w:rPr>
      <w:i/>
      <w:color w:val="918585"/>
      <w:sz w:val="22"/>
    </w:rPr>
  </w:style>
  <w:style w:type="paragraph" w:customStyle="1" w:styleId="TableBodyText">
    <w:name w:val="Table Body Text"/>
    <w:basedOn w:val="BodyText"/>
    <w:rsid w:val="00BA65CF"/>
    <w:pPr>
      <w:spacing w:before="60" w:after="60"/>
    </w:pPr>
  </w:style>
  <w:style w:type="paragraph" w:styleId="ListContinue">
    <w:name w:val="List Continue"/>
    <w:basedOn w:val="List"/>
    <w:rsid w:val="00BA65CF"/>
    <w:pPr>
      <w:ind w:firstLine="0"/>
    </w:pPr>
  </w:style>
  <w:style w:type="paragraph" w:customStyle="1" w:styleId="ListNote">
    <w:name w:val="List Note"/>
    <w:basedOn w:val="List"/>
    <w:rsid w:val="00BA65CF"/>
    <w:pPr>
      <w:pBdr>
        <w:top w:val="single" w:sz="6" w:space="2" w:color="918585"/>
        <w:bottom w:val="single" w:sz="6" w:space="2" w:color="918585"/>
      </w:pBdr>
      <w:tabs>
        <w:tab w:val="left" w:pos="1021"/>
      </w:tabs>
      <w:ind w:firstLine="0"/>
    </w:pPr>
  </w:style>
  <w:style w:type="paragraph" w:customStyle="1" w:styleId="Warning">
    <w:name w:val="Warning"/>
    <w:basedOn w:val="BodyText"/>
    <w:rsid w:val="00BA65CF"/>
    <w:pPr>
      <w:shd w:val="clear" w:color="auto" w:fill="D9D9D9"/>
      <w:tabs>
        <w:tab w:val="left" w:pos="992"/>
      </w:tabs>
      <w:ind w:left="119" w:right="119"/>
    </w:pPr>
    <w:rPr>
      <w:sz w:val="20"/>
    </w:rPr>
  </w:style>
  <w:style w:type="paragraph" w:customStyle="1" w:styleId="MarginIcons">
    <w:name w:val="Margin Icons"/>
    <w:basedOn w:val="BodyText"/>
    <w:rsid w:val="00BA6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5CF"/>
    <w:rPr>
      <w:rFonts w:ascii="Courier New" w:hAnsi="Courier New"/>
    </w:rPr>
  </w:style>
  <w:style w:type="paragraph" w:customStyle="1" w:styleId="NoteBullet">
    <w:name w:val="Note Bullet"/>
    <w:basedOn w:val="Note"/>
    <w:rsid w:val="00BA65CF"/>
    <w:pPr>
      <w:tabs>
        <w:tab w:val="clear" w:pos="680"/>
      </w:tabs>
      <w:spacing w:before="60" w:after="60"/>
    </w:pPr>
  </w:style>
  <w:style w:type="paragraph" w:customStyle="1" w:styleId="SubHeading2">
    <w:name w:val="SubHeading2"/>
    <w:basedOn w:val="HeadingBase"/>
    <w:rsid w:val="00BA65CF"/>
    <w:pPr>
      <w:spacing w:before="240" w:after="60"/>
    </w:pPr>
    <w:rPr>
      <w:sz w:val="20"/>
    </w:rPr>
  </w:style>
  <w:style w:type="paragraph" w:customStyle="1" w:styleId="SubHeading1">
    <w:name w:val="SubHeading1"/>
    <w:basedOn w:val="HeadingBase"/>
    <w:rsid w:val="00BA65CF"/>
    <w:pPr>
      <w:spacing w:before="240" w:after="60"/>
    </w:pPr>
    <w:rPr>
      <w:color w:val="918585"/>
      <w:sz w:val="22"/>
    </w:rPr>
  </w:style>
  <w:style w:type="paragraph" w:customStyle="1" w:styleId="SideHeading">
    <w:name w:val="Side Heading"/>
    <w:basedOn w:val="HeadingBase"/>
    <w:rsid w:val="00BA6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5CF"/>
    <w:pPr>
      <w:numPr>
        <w:numId w:val="12"/>
      </w:numPr>
    </w:pPr>
  </w:style>
  <w:style w:type="paragraph" w:styleId="PlainText">
    <w:name w:val="Plain Text"/>
    <w:basedOn w:val="Normal"/>
    <w:link w:val="PlainTextChar"/>
    <w:rsid w:val="00BA65CF"/>
    <w:rPr>
      <w:sz w:val="20"/>
    </w:rPr>
  </w:style>
  <w:style w:type="character" w:customStyle="1" w:styleId="PlainTextChar">
    <w:name w:val="Plain Text Char"/>
    <w:basedOn w:val="DefaultParagraphFont"/>
    <w:link w:val="PlainText"/>
    <w:rsid w:val="00BA65CF"/>
    <w:rPr>
      <w:rFonts w:ascii="Courier New" w:eastAsia="Times New Roman" w:hAnsi="Courier New" w:cs="Times New Roman"/>
      <w:sz w:val="20"/>
      <w:szCs w:val="20"/>
      <w:lang w:eastAsia="en-US"/>
    </w:rPr>
  </w:style>
  <w:style w:type="character" w:customStyle="1" w:styleId="MenuOption">
    <w:name w:val="Menu Option"/>
    <w:basedOn w:val="DefaultParagraphFont"/>
    <w:rsid w:val="00BA65CF"/>
    <w:rPr>
      <w:b/>
      <w:smallCaps/>
    </w:rPr>
  </w:style>
  <w:style w:type="paragraph" w:customStyle="1" w:styleId="TableListNumber">
    <w:name w:val="Table List Number"/>
    <w:basedOn w:val="ListNumber"/>
    <w:rsid w:val="00BA65CF"/>
    <w:pPr>
      <w:numPr>
        <w:numId w:val="0"/>
      </w:numPr>
    </w:pPr>
  </w:style>
  <w:style w:type="paragraph" w:styleId="TOC4">
    <w:name w:val="toc 4"/>
    <w:basedOn w:val="TOCBase"/>
    <w:next w:val="Normal"/>
    <w:semiHidden/>
    <w:rsid w:val="00BA65CF"/>
    <w:pPr>
      <w:tabs>
        <w:tab w:val="right" w:leader="dot" w:pos="9071"/>
      </w:tabs>
      <w:ind w:left="1701"/>
    </w:pPr>
  </w:style>
  <w:style w:type="paragraph" w:customStyle="1" w:styleId="ListAlpha">
    <w:name w:val="List Alpha"/>
    <w:basedOn w:val="List"/>
    <w:rsid w:val="00BA65CF"/>
    <w:pPr>
      <w:numPr>
        <w:numId w:val="10"/>
      </w:numPr>
    </w:pPr>
  </w:style>
  <w:style w:type="paragraph" w:customStyle="1" w:styleId="ListAlpha2">
    <w:name w:val="List Alpha 2"/>
    <w:basedOn w:val="List2"/>
    <w:rsid w:val="00BA65CF"/>
    <w:pPr>
      <w:numPr>
        <w:numId w:val="9"/>
      </w:numPr>
    </w:pPr>
  </w:style>
  <w:style w:type="paragraph" w:styleId="List2">
    <w:name w:val="List 2"/>
    <w:basedOn w:val="BodyText"/>
    <w:rsid w:val="00BA65CF"/>
    <w:pPr>
      <w:tabs>
        <w:tab w:val="left" w:pos="680"/>
      </w:tabs>
      <w:spacing w:before="60" w:after="60"/>
      <w:ind w:left="680" w:hanging="340"/>
    </w:pPr>
  </w:style>
  <w:style w:type="paragraph" w:styleId="List3">
    <w:name w:val="List 3"/>
    <w:basedOn w:val="BodyText"/>
    <w:rsid w:val="00BA65CF"/>
    <w:pPr>
      <w:tabs>
        <w:tab w:val="left" w:pos="1021"/>
      </w:tabs>
      <w:spacing w:before="60" w:after="60"/>
      <w:ind w:left="1020" w:hanging="340"/>
    </w:pPr>
  </w:style>
  <w:style w:type="paragraph" w:styleId="List4">
    <w:name w:val="List 4"/>
    <w:basedOn w:val="BodyText"/>
    <w:rsid w:val="00BA65CF"/>
    <w:pPr>
      <w:tabs>
        <w:tab w:val="left" w:pos="1361"/>
      </w:tabs>
      <w:spacing w:before="60" w:after="60"/>
      <w:ind w:left="1361" w:hanging="340"/>
    </w:pPr>
  </w:style>
  <w:style w:type="paragraph" w:styleId="List5">
    <w:name w:val="List 5"/>
    <w:basedOn w:val="BodyText"/>
    <w:rsid w:val="00BA65CF"/>
    <w:pPr>
      <w:tabs>
        <w:tab w:val="left" w:pos="1701"/>
      </w:tabs>
      <w:spacing w:before="60" w:after="60"/>
      <w:ind w:left="1701" w:hanging="340"/>
    </w:pPr>
  </w:style>
  <w:style w:type="paragraph" w:styleId="ListBullet4">
    <w:name w:val="List Bullet 4"/>
    <w:basedOn w:val="List4"/>
    <w:rsid w:val="00BA65CF"/>
    <w:pPr>
      <w:numPr>
        <w:numId w:val="4"/>
      </w:numPr>
      <w:tabs>
        <w:tab w:val="clear" w:pos="1361"/>
      </w:tabs>
    </w:pPr>
  </w:style>
  <w:style w:type="paragraph" w:styleId="ListBullet5">
    <w:name w:val="List Bullet 5"/>
    <w:basedOn w:val="List5"/>
    <w:rsid w:val="00BA65CF"/>
    <w:pPr>
      <w:numPr>
        <w:numId w:val="5"/>
      </w:numPr>
    </w:pPr>
  </w:style>
  <w:style w:type="paragraph" w:styleId="ListContinue2">
    <w:name w:val="List Continue 2"/>
    <w:basedOn w:val="List2"/>
    <w:rsid w:val="00BA65CF"/>
    <w:pPr>
      <w:ind w:firstLine="0"/>
    </w:pPr>
  </w:style>
  <w:style w:type="paragraph" w:styleId="ListContinue3">
    <w:name w:val="List Continue 3"/>
    <w:basedOn w:val="List3"/>
    <w:rsid w:val="00BA65CF"/>
    <w:pPr>
      <w:ind w:left="1021" w:firstLine="0"/>
    </w:pPr>
  </w:style>
  <w:style w:type="paragraph" w:styleId="ListContinue4">
    <w:name w:val="List Continue 4"/>
    <w:basedOn w:val="List4"/>
    <w:rsid w:val="00BA65CF"/>
    <w:pPr>
      <w:ind w:firstLine="0"/>
    </w:pPr>
  </w:style>
  <w:style w:type="paragraph" w:styleId="ListContinue5">
    <w:name w:val="List Continue 5"/>
    <w:basedOn w:val="List5"/>
    <w:rsid w:val="00BA65CF"/>
    <w:pPr>
      <w:ind w:firstLine="0"/>
    </w:pPr>
  </w:style>
  <w:style w:type="paragraph" w:styleId="ListNumber3">
    <w:name w:val="List Number 3"/>
    <w:basedOn w:val="List3"/>
    <w:rsid w:val="00BA65CF"/>
    <w:pPr>
      <w:numPr>
        <w:numId w:val="6"/>
      </w:numPr>
    </w:pPr>
  </w:style>
  <w:style w:type="paragraph" w:styleId="ListNumber4">
    <w:name w:val="List Number 4"/>
    <w:basedOn w:val="List4"/>
    <w:rsid w:val="00BA65CF"/>
    <w:pPr>
      <w:numPr>
        <w:numId w:val="7"/>
      </w:numPr>
    </w:pPr>
  </w:style>
  <w:style w:type="paragraph" w:styleId="ListNumber5">
    <w:name w:val="List Number 5"/>
    <w:basedOn w:val="List5"/>
    <w:rsid w:val="00BA65CF"/>
    <w:pPr>
      <w:numPr>
        <w:numId w:val="8"/>
      </w:numPr>
    </w:pPr>
  </w:style>
  <w:style w:type="paragraph" w:styleId="BlockText">
    <w:name w:val="Block Text"/>
    <w:basedOn w:val="Normal"/>
    <w:rsid w:val="00BA65CF"/>
    <w:pPr>
      <w:spacing w:after="120"/>
      <w:ind w:left="1440" w:right="1440"/>
    </w:pPr>
  </w:style>
  <w:style w:type="character" w:customStyle="1" w:styleId="Subscript">
    <w:name w:val="Subscript"/>
    <w:basedOn w:val="DefaultParagraphFont"/>
    <w:rsid w:val="00BA65CF"/>
    <w:rPr>
      <w:sz w:val="16"/>
      <w:vertAlign w:val="subscript"/>
    </w:rPr>
  </w:style>
  <w:style w:type="character" w:customStyle="1" w:styleId="Superscript">
    <w:name w:val="Superscript"/>
    <w:basedOn w:val="DefaultParagraphFont"/>
    <w:rsid w:val="00BA65CF"/>
    <w:rPr>
      <w:sz w:val="16"/>
      <w:vertAlign w:val="superscript"/>
    </w:rPr>
  </w:style>
  <w:style w:type="character" w:customStyle="1" w:styleId="Symbols">
    <w:name w:val="Symbols"/>
    <w:basedOn w:val="DefaultParagraphFont"/>
    <w:rsid w:val="00BA65CF"/>
    <w:rPr>
      <w:rFonts w:ascii="Symbol" w:hAnsi="Symbol"/>
    </w:rPr>
  </w:style>
  <w:style w:type="character" w:customStyle="1" w:styleId="MenuOptions">
    <w:name w:val="Menu Options"/>
    <w:basedOn w:val="DefaultParagraphFont"/>
    <w:rsid w:val="00BA65CF"/>
    <w:rPr>
      <w:rFonts w:ascii="Arial Narrow" w:hAnsi="Arial Narrow"/>
      <w:smallCaps/>
    </w:rPr>
  </w:style>
  <w:style w:type="character" w:customStyle="1" w:styleId="Buttons">
    <w:name w:val="Buttons"/>
    <w:basedOn w:val="DefaultParagraphFont"/>
    <w:rsid w:val="00BA65CF"/>
    <w:rPr>
      <w:b/>
    </w:rPr>
  </w:style>
  <w:style w:type="character" w:customStyle="1" w:styleId="Underlined">
    <w:name w:val="Underlined"/>
    <w:basedOn w:val="DefaultParagraphFont"/>
    <w:rsid w:val="00BA65CF"/>
    <w:rPr>
      <w:u w:val="single"/>
    </w:rPr>
  </w:style>
  <w:style w:type="paragraph" w:customStyle="1" w:styleId="TableBodyTextRight">
    <w:name w:val="Table Body Text Right"/>
    <w:basedOn w:val="TableBodyText"/>
    <w:rsid w:val="00BA65CF"/>
    <w:pPr>
      <w:widowControl w:val="0"/>
      <w:autoSpaceDE w:val="0"/>
      <w:autoSpaceDN w:val="0"/>
      <w:adjustRightInd w:val="0"/>
      <w:jc w:val="right"/>
    </w:pPr>
    <w:rPr>
      <w:rFonts w:cs="Arial"/>
      <w:szCs w:val="18"/>
    </w:rPr>
  </w:style>
  <w:style w:type="paragraph" w:customStyle="1" w:styleId="CopyrightText">
    <w:name w:val="Copyright Text"/>
    <w:basedOn w:val="BodyText"/>
    <w:rsid w:val="00BA65CF"/>
    <w:rPr>
      <w:sz w:val="18"/>
    </w:rPr>
  </w:style>
  <w:style w:type="paragraph" w:customStyle="1" w:styleId="BodySmallRight">
    <w:name w:val="Body Small Right"/>
    <w:basedOn w:val="BodyTextRight"/>
    <w:rsid w:val="00BA65CF"/>
    <w:rPr>
      <w:sz w:val="18"/>
      <w:szCs w:val="18"/>
    </w:rPr>
  </w:style>
  <w:style w:type="paragraph" w:customStyle="1" w:styleId="MarginEdition">
    <w:name w:val="Margin Edition"/>
    <w:basedOn w:val="MarginNote"/>
    <w:rsid w:val="00BA65CF"/>
    <w:pPr>
      <w:spacing w:before="0" w:after="0"/>
    </w:pPr>
    <w:rPr>
      <w:rFonts w:ascii="Times New Roman" w:hAnsi="Times New Roman"/>
      <w:color w:val="999999"/>
    </w:rPr>
  </w:style>
  <w:style w:type="paragraph" w:customStyle="1" w:styleId="Spacer">
    <w:name w:val="Spacer"/>
    <w:basedOn w:val="Normal"/>
    <w:rsid w:val="00BA65CF"/>
    <w:rPr>
      <w:sz w:val="2"/>
      <w:szCs w:val="2"/>
    </w:rPr>
  </w:style>
  <w:style w:type="character" w:customStyle="1" w:styleId="Small">
    <w:name w:val="Small"/>
    <w:basedOn w:val="DefaultParagraphFont"/>
    <w:rsid w:val="00BA65CF"/>
    <w:rPr>
      <w:sz w:val="16"/>
    </w:rPr>
  </w:style>
  <w:style w:type="paragraph" w:customStyle="1" w:styleId="WideTable">
    <w:name w:val="Wide Table"/>
    <w:basedOn w:val="Normal"/>
    <w:rsid w:val="00BA65CF"/>
    <w:pPr>
      <w:ind w:left="-1418"/>
    </w:pPr>
    <w:rPr>
      <w:sz w:val="2"/>
      <w:szCs w:val="2"/>
    </w:rPr>
  </w:style>
  <w:style w:type="character" w:styleId="PageNumber">
    <w:name w:val="page number"/>
    <w:basedOn w:val="DefaultParagraphFont"/>
    <w:rsid w:val="00BA65CF"/>
  </w:style>
  <w:style w:type="paragraph" w:styleId="Quote">
    <w:name w:val="Quote"/>
    <w:basedOn w:val="Heading1"/>
    <w:link w:val="QuoteChar"/>
    <w:qFormat/>
    <w:rsid w:val="00BA65CF"/>
    <w:rPr>
      <w:b w:val="0"/>
      <w:sz w:val="72"/>
      <w:szCs w:val="72"/>
      <w:lang w:val="en-NZ"/>
    </w:rPr>
  </w:style>
  <w:style w:type="character" w:customStyle="1" w:styleId="QuoteChar">
    <w:name w:val="Quote Char"/>
    <w:basedOn w:val="DefaultParagraphFont"/>
    <w:link w:val="Quote"/>
    <w:rsid w:val="00BA6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5CF"/>
    <w:pPr>
      <w:pageBreakBefore/>
    </w:pPr>
  </w:style>
  <w:style w:type="paragraph" w:customStyle="1" w:styleId="Border">
    <w:name w:val="Border"/>
    <w:basedOn w:val="Normal"/>
    <w:qFormat/>
    <w:rsid w:val="00BA6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5CF"/>
    <w:rPr>
      <w:b/>
      <w:bCs/>
      <w:i/>
      <w:iCs/>
      <w:color w:val="auto"/>
    </w:rPr>
  </w:style>
  <w:style w:type="paragraph" w:styleId="IntenseQuote">
    <w:name w:val="Intense Quote"/>
    <w:basedOn w:val="Normal"/>
    <w:next w:val="Normal"/>
    <w:link w:val="IntenseQuoteChar"/>
    <w:uiPriority w:val="30"/>
    <w:qFormat/>
    <w:rsid w:val="00BA6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5CF"/>
    <w:rPr>
      <w:smallCaps/>
      <w:color w:val="auto"/>
      <w:u w:val="single"/>
    </w:rPr>
  </w:style>
  <w:style w:type="character" w:styleId="IntenseReference">
    <w:name w:val="Intense Reference"/>
    <w:basedOn w:val="DefaultParagraphFont"/>
    <w:uiPriority w:val="32"/>
    <w:qFormat/>
    <w:rsid w:val="00BA65CF"/>
    <w:rPr>
      <w:b/>
      <w:bCs/>
      <w:smallCaps/>
      <w:color w:val="auto"/>
      <w:spacing w:val="5"/>
      <w:u w:val="single"/>
    </w:rPr>
  </w:style>
  <w:style w:type="paragraph" w:customStyle="1" w:styleId="2ColumnHeading">
    <w:name w:val="2Column Heading"/>
    <w:basedOn w:val="BodyText"/>
    <w:qFormat/>
    <w:rsid w:val="00BA65CF"/>
    <w:pPr>
      <w:spacing w:after="60"/>
      <w:ind w:left="-2268"/>
    </w:pPr>
    <w:rPr>
      <w:b/>
    </w:rPr>
  </w:style>
  <w:style w:type="paragraph" w:customStyle="1" w:styleId="Heading1TOC">
    <w:name w:val="Heading1 TOC"/>
    <w:basedOn w:val="Normal"/>
    <w:qFormat/>
    <w:rsid w:val="00BA65CF"/>
    <w:pPr>
      <w:spacing w:before="240" w:after="120"/>
    </w:pPr>
    <w:rPr>
      <w:rFonts w:ascii="Times New Roman" w:hAnsi="Times New Roman"/>
      <w:b/>
      <w:sz w:val="32"/>
    </w:rPr>
  </w:style>
  <w:style w:type="paragraph" w:customStyle="1" w:styleId="Heading2TOC">
    <w:name w:val="Heading2 TOC"/>
    <w:basedOn w:val="Normal"/>
    <w:qFormat/>
    <w:rsid w:val="00BA65CF"/>
    <w:pPr>
      <w:spacing w:before="240" w:after="60"/>
    </w:pPr>
    <w:rPr>
      <w:rFonts w:ascii="Times New Roman" w:hAnsi="Times New Roman"/>
      <w:b/>
      <w:sz w:val="28"/>
    </w:rPr>
  </w:style>
  <w:style w:type="character" w:customStyle="1" w:styleId="Underline">
    <w:name w:val="Underline"/>
    <w:basedOn w:val="DefaultParagraphFont"/>
    <w:qFormat/>
    <w:rsid w:val="00BA65CF"/>
    <w:rPr>
      <w:u w:val="single"/>
    </w:rPr>
  </w:style>
  <w:style w:type="character" w:customStyle="1" w:styleId="BoldandItalics">
    <w:name w:val="Bold and Italics"/>
    <w:qFormat/>
    <w:rsid w:val="00BA65CF"/>
    <w:rPr>
      <w:b/>
      <w:i/>
      <w:u w:val="none"/>
    </w:rPr>
  </w:style>
  <w:style w:type="paragraph" w:styleId="BalloonText">
    <w:name w:val="Balloon Text"/>
    <w:basedOn w:val="Normal"/>
    <w:link w:val="BalloonTextChar"/>
    <w:rsid w:val="00BA65CF"/>
    <w:rPr>
      <w:rFonts w:ascii="Tahoma" w:hAnsi="Tahoma" w:cs="Tahoma"/>
      <w:sz w:val="16"/>
      <w:szCs w:val="16"/>
    </w:rPr>
  </w:style>
  <w:style w:type="character" w:customStyle="1" w:styleId="BalloonTextChar">
    <w:name w:val="Balloon Text Char"/>
    <w:basedOn w:val="DefaultParagraphFont"/>
    <w:link w:val="BalloonText"/>
    <w:rsid w:val="00BA6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6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5CF"/>
    <w:rPr>
      <w:b/>
      <w:color w:val="660033"/>
      <w:spacing w:val="0"/>
    </w:rPr>
  </w:style>
  <w:style w:type="paragraph" w:customStyle="1" w:styleId="Nameditemlist">
    <w:name w:val="Named item list"/>
    <w:basedOn w:val="BodyText"/>
    <w:qFormat/>
    <w:rsid w:val="00BA65CF"/>
    <w:pPr>
      <w:tabs>
        <w:tab w:val="left" w:pos="2835"/>
      </w:tabs>
      <w:ind w:left="2835" w:hanging="2835"/>
    </w:pPr>
  </w:style>
  <w:style w:type="paragraph" w:customStyle="1" w:styleId="BodyTextnopadding">
    <w:name w:val="Body Text no padding"/>
    <w:basedOn w:val="BodyText"/>
    <w:qFormat/>
    <w:rsid w:val="00BA65CF"/>
    <w:pPr>
      <w:spacing w:before="0" w:after="0"/>
    </w:pPr>
  </w:style>
  <w:style w:type="paragraph" w:customStyle="1" w:styleId="BodyTextBold">
    <w:name w:val="Body Text Bold"/>
    <w:basedOn w:val="BodyText"/>
    <w:qFormat/>
    <w:rsid w:val="00BA65CF"/>
    <w:rPr>
      <w:b/>
    </w:rPr>
  </w:style>
  <w:style w:type="character" w:styleId="Hyperlink">
    <w:name w:val="Hyperlink"/>
    <w:basedOn w:val="DefaultParagraphFont"/>
    <w:uiPriority w:val="99"/>
    <w:unhideWhenUsed/>
    <w:rsid w:val="00300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1174</Words>
  <Characters>7702</Characters>
  <Application>Microsoft Office Word</Application>
  <DocSecurity>0</DocSecurity>
  <Lines>226</Lines>
  <Paragraphs>155</Paragraphs>
  <ScaleCrop>false</ScaleCrop>
  <Company>Author-it Software Corporation Ltd.</Company>
  <LinksUpToDate>false</LinksUpToDate>
  <CharactersWithSpaces>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SITXGLC002 Identify and manage legal risks and comply with law</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