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F9" w:rsidP="002F0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SITXGLC002 Identify and manage legal risks and comply with law</w:t>
      </w:r>
      <w:r>
        <w:fldChar w:fldCharType="end"/>
      </w:r>
    </w:p>
    <w:p w:rsidR="002F04F9" w:rsidP="002F04F9">
      <w:pPr>
        <w:pStyle w:val="Version"/>
        <w:sectPr w:rsidSect="00D82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21F" w:rsidP="00D8221F">
      <w:pPr>
        <w:pStyle w:val="SuperHeading"/>
      </w:pPr>
      <w:r w:rsidRPr="00D8221F">
        <w:t>Assessment Requirements for SITXGLC002 Identify and manage legal risks and comply with law</w:t>
      </w:r>
    </w:p>
    <w:p w:rsidR="00000000" w:rsidRPr="00D8221F" w:rsidP="00D8221F">
      <w:pPr>
        <w:pStyle w:val="Heading1"/>
      </w:pPr>
      <w:bookmarkStart w:id="1" w:name="O_1232133"/>
      <w:bookmarkEnd w:id="1"/>
      <w:r w:rsidRPr="00D8221F">
        <w:t>Modification History</w:t>
      </w:r>
    </w:p>
    <w:p w:rsidR="00000000" w:rsidRPr="00D8221F" w:rsidP="002F04F9">
      <w:pPr>
        <w:pStyle w:val="BodyText"/>
      </w:pPr>
      <w:r w:rsidRPr="00D8221F">
        <w:t>Not applicable.</w:t>
      </w:r>
    </w:p>
    <w:p w:rsidR="00000000" w:rsidRPr="00D8221F" w:rsidP="00D8221F">
      <w:pPr>
        <w:pStyle w:val="Heading1"/>
      </w:pPr>
      <w:bookmarkStart w:id="2" w:name="O_1232136"/>
      <w:bookmarkEnd w:id="2"/>
      <w:r w:rsidRPr="00D8221F">
        <w:t>Performance Evidence</w:t>
      </w:r>
    </w:p>
    <w:p w:rsidR="00000000" w:rsidRPr="00D8221F" w:rsidP="002F04F9">
      <w:pPr>
        <w:pStyle w:val="BodyText"/>
      </w:pPr>
      <w:r w:rsidRPr="00D8221F">
        <w:t>Evidence of the abi</w:t>
      </w:r>
      <w:r w:rsidRPr="00D8221F">
        <w:t>lity to complete tasks outlined in elements and performance criteria of this unit in the context of the job role, and:</w:t>
      </w:r>
    </w:p>
    <w:p w:rsidR="00000000" w:rsidRPr="00D8221F" w:rsidP="00D8221F">
      <w:pPr>
        <w:pStyle w:val="ListBullet"/>
      </w:pPr>
      <w:r w:rsidRPr="00D8221F">
        <w:t>identify six different legal risks requiring risk management and legal compliance for the operations of a specific tourism, travel, hosp</w:t>
      </w:r>
      <w:r w:rsidRPr="00D8221F">
        <w:t>itality or events business</w:t>
      </w:r>
    </w:p>
    <w:p w:rsidR="00000000" w:rsidRPr="00D8221F" w:rsidP="00D8221F">
      <w:pPr>
        <w:pStyle w:val="ListBullet"/>
      </w:pPr>
      <w:r w:rsidRPr="00D8221F">
        <w:t>develop risk management strategies and legal compliance actions for each of the six legal areas above</w:t>
      </w:r>
    </w:p>
    <w:p w:rsidR="00000000" w:rsidRPr="00D8221F" w:rsidP="00D8221F">
      <w:pPr>
        <w:pStyle w:val="ListBullet"/>
      </w:pPr>
      <w:r w:rsidRPr="00D8221F">
        <w:t xml:space="preserve">integrate the risk management strategies and legal compliance actions into operational planning activities for each of the six </w:t>
      </w:r>
      <w:r w:rsidRPr="00D8221F">
        <w:t>legal areas above</w:t>
      </w:r>
    </w:p>
    <w:p w:rsidR="00000000" w:rsidRPr="00D8221F" w:rsidP="00D8221F">
      <w:pPr>
        <w:pStyle w:val="ListBullet"/>
      </w:pPr>
      <w:r w:rsidRPr="00D8221F">
        <w:t>identify sources of information and advice on risk management and legal compliance for each of the six legal areas above.</w:t>
      </w:r>
    </w:p>
    <w:p w:rsidR="00000000" w:rsidRPr="00D8221F" w:rsidP="00D8221F">
      <w:pPr>
        <w:pStyle w:val="AllowPageBreak"/>
      </w:pPr>
    </w:p>
    <w:p w:rsidR="00000000" w:rsidRPr="00D8221F" w:rsidP="00D8221F">
      <w:pPr>
        <w:pStyle w:val="Heading1"/>
      </w:pPr>
      <w:bookmarkStart w:id="3" w:name="O_1232135"/>
      <w:bookmarkEnd w:id="3"/>
      <w:r w:rsidRPr="00D8221F">
        <w:t>Knowledge Evidence</w:t>
      </w:r>
    </w:p>
    <w:p w:rsidR="00000000" w:rsidRPr="00D8221F" w:rsidP="002F04F9">
      <w:pPr>
        <w:pStyle w:val="BodyText"/>
      </w:pPr>
      <w:r w:rsidRPr="00D8221F">
        <w:t>Demonstrated knowledge required to complete the tasks outlined in elements and</w:t>
      </w:r>
      <w:r w:rsidRPr="00D8221F">
        <w:t xml:space="preserve"> performance criteria of this unit:</w:t>
      </w:r>
    </w:p>
    <w:p w:rsidR="00000000" w:rsidRPr="00D8221F" w:rsidP="00D8221F">
      <w:pPr>
        <w:pStyle w:val="ListBullet"/>
      </w:pPr>
      <w:r w:rsidRPr="00D8221F">
        <w:t>legal advantages and disadvantages, risks and benefits of different business operation structures:</w:t>
      </w:r>
    </w:p>
    <w:p w:rsidR="00000000" w:rsidRPr="00D8221F" w:rsidP="00D8221F">
      <w:pPr>
        <w:pStyle w:val="ListBullet2"/>
      </w:pPr>
      <w:r w:rsidRPr="00D8221F">
        <w:t>sole trader</w:t>
      </w:r>
    </w:p>
    <w:p w:rsidR="00000000" w:rsidRPr="00D8221F" w:rsidP="00D8221F">
      <w:pPr>
        <w:pStyle w:val="ListBullet2"/>
      </w:pPr>
      <w:r w:rsidRPr="00D8221F">
        <w:t>partnership</w:t>
      </w:r>
    </w:p>
    <w:p w:rsidR="00000000" w:rsidRPr="00D8221F" w:rsidP="00D8221F">
      <w:pPr>
        <w:pStyle w:val="ListBullet2"/>
      </w:pPr>
      <w:r w:rsidRPr="00D8221F">
        <w:t>company</w:t>
      </w:r>
    </w:p>
    <w:p w:rsidR="00000000" w:rsidRPr="00D8221F" w:rsidP="00D8221F">
      <w:pPr>
        <w:pStyle w:val="ListBullet"/>
      </w:pPr>
      <w:r w:rsidRPr="00D8221F">
        <w:t>sources of information and advice on legal risk management and compliance:</w:t>
      </w:r>
    </w:p>
    <w:p w:rsidR="00000000" w:rsidRPr="00D8221F" w:rsidP="00D8221F">
      <w:pPr>
        <w:pStyle w:val="ListBullet2"/>
      </w:pPr>
      <w:r w:rsidRPr="00D8221F">
        <w:t>local, state, territory or Commonwealth government departments or regulatory agencies</w:t>
      </w:r>
    </w:p>
    <w:p w:rsidR="00000000" w:rsidRPr="00D8221F" w:rsidP="00D8221F">
      <w:pPr>
        <w:pStyle w:val="ListBullet2"/>
      </w:pPr>
      <w:r w:rsidRPr="00D8221F">
        <w:t>plain English documentation that explains the operational requirements of legislation</w:t>
      </w:r>
    </w:p>
    <w:p w:rsidR="00000000" w:rsidRPr="00D8221F" w:rsidP="00D8221F">
      <w:pPr>
        <w:pStyle w:val="ListBullet2"/>
      </w:pPr>
      <w:r w:rsidRPr="00D8221F">
        <w:t>computer data</w:t>
      </w:r>
    </w:p>
    <w:p w:rsidR="00000000" w:rsidRPr="00D8221F" w:rsidP="00D8221F">
      <w:pPr>
        <w:pStyle w:val="ListBullet2"/>
      </w:pPr>
      <w:r w:rsidRPr="00D8221F">
        <w:t>the internet</w:t>
      </w:r>
    </w:p>
    <w:p w:rsidR="00000000" w:rsidRPr="00D8221F" w:rsidP="00D8221F">
      <w:pPr>
        <w:pStyle w:val="ListBullet2"/>
      </w:pPr>
      <w:r w:rsidRPr="00D8221F">
        <w:t>discussions with experienced industry personnel</w:t>
      </w:r>
    </w:p>
    <w:p w:rsidR="00000000" w:rsidRPr="00D8221F" w:rsidP="00D8221F">
      <w:pPr>
        <w:pStyle w:val="ListBullet2"/>
      </w:pPr>
      <w:r w:rsidRPr="00D8221F">
        <w:t>industry:</w:t>
      </w:r>
    </w:p>
    <w:p w:rsidR="00000000" w:rsidRPr="00D8221F" w:rsidP="00D8221F">
      <w:pPr>
        <w:pStyle w:val="ListBullet3"/>
      </w:pPr>
      <w:r w:rsidRPr="00D8221F">
        <w:t>accreditation operators</w:t>
      </w:r>
    </w:p>
    <w:p w:rsidR="00000000" w:rsidRPr="00D8221F" w:rsidP="00D8221F">
      <w:pPr>
        <w:pStyle w:val="ListBullet3"/>
      </w:pPr>
      <w:r w:rsidRPr="00D8221F">
        <w:t>associations and organisations</w:t>
      </w:r>
    </w:p>
    <w:p w:rsidR="00000000" w:rsidRPr="00D8221F" w:rsidP="00D8221F">
      <w:pPr>
        <w:pStyle w:val="ListBullet3"/>
      </w:pPr>
      <w:r w:rsidRPr="00D8221F">
        <w:t>developers of codes of conduct or ethics</w:t>
      </w:r>
    </w:p>
    <w:p w:rsidR="00000000" w:rsidRPr="00D8221F" w:rsidP="00D8221F">
      <w:pPr>
        <w:pStyle w:val="ListBullet3"/>
      </w:pPr>
      <w:r w:rsidRPr="00D8221F">
        <w:t>journals</w:t>
      </w:r>
    </w:p>
    <w:p w:rsidR="00000000" w:rsidRPr="00D8221F" w:rsidP="00D8221F">
      <w:pPr>
        <w:pStyle w:val="ListBullet3"/>
      </w:pPr>
      <w:r w:rsidRPr="00D8221F">
        <w:t>seminars</w:t>
      </w:r>
    </w:p>
    <w:p w:rsidR="00000000" w:rsidRPr="00D8221F" w:rsidP="00D8221F">
      <w:pPr>
        <w:pStyle w:val="ListBullet2"/>
      </w:pPr>
      <w:r w:rsidRPr="00D8221F">
        <w:t>lawyers</w:t>
      </w:r>
    </w:p>
    <w:p w:rsidR="00000000" w:rsidRPr="00D8221F" w:rsidP="00D8221F">
      <w:pPr>
        <w:pStyle w:val="ListBullet2"/>
      </w:pPr>
      <w:r w:rsidRPr="00D8221F">
        <w:t>libraries</w:t>
      </w:r>
    </w:p>
    <w:p w:rsidR="00000000" w:rsidRPr="00D8221F" w:rsidP="00D8221F">
      <w:pPr>
        <w:pStyle w:val="ListBullet2"/>
      </w:pPr>
      <w:r w:rsidRPr="00D8221F">
        <w:t>personal observations and experience</w:t>
      </w:r>
    </w:p>
    <w:p w:rsidR="00000000" w:rsidRPr="00D8221F" w:rsidP="00D8221F">
      <w:pPr>
        <w:pStyle w:val="ListBullet2"/>
      </w:pPr>
      <w:r w:rsidRPr="00D8221F">
        <w:t>reference books</w:t>
      </w:r>
    </w:p>
    <w:p w:rsidR="00000000" w:rsidRPr="00D8221F" w:rsidP="00D8221F">
      <w:pPr>
        <w:pStyle w:val="ListBullet2"/>
      </w:pPr>
      <w:r w:rsidRPr="00D8221F">
        <w:t>training courses</w:t>
      </w:r>
    </w:p>
    <w:p w:rsidR="00000000" w:rsidRPr="00D8221F" w:rsidP="00D8221F">
      <w:pPr>
        <w:pStyle w:val="ListBullet"/>
      </w:pPr>
      <w:r w:rsidRPr="00D8221F">
        <w:t>functions of regulatory authorities relevant to the tourism, travel, hospitality and events industries</w:t>
      </w:r>
    </w:p>
    <w:p w:rsidR="00000000" w:rsidRPr="00D8221F" w:rsidP="00D8221F">
      <w:pPr>
        <w:pStyle w:val="ListBullet"/>
      </w:pPr>
      <w:r w:rsidRPr="00D8221F">
        <w:t>methods of receiving updated information on managing legal risks and compliance requirements</w:t>
      </w:r>
    </w:p>
    <w:p w:rsidR="00000000" w:rsidRPr="00D8221F" w:rsidP="00D8221F">
      <w:pPr>
        <w:pStyle w:val="ListBullet"/>
      </w:pPr>
      <w:r w:rsidRPr="00D8221F">
        <w:t>strategies for managing legal risks and legal compliance</w:t>
      </w:r>
    </w:p>
    <w:p w:rsidR="00000000" w:rsidRPr="00D8221F" w:rsidP="00D8221F">
      <w:pPr>
        <w:pStyle w:val="ListBullet"/>
      </w:pPr>
      <w:r w:rsidRPr="00D8221F">
        <w:t>primary components of legal principles and of local, state, territory and Commonwealth government laws to which all types of businesses must comply:</w:t>
      </w:r>
    </w:p>
    <w:p w:rsidR="00000000" w:rsidRPr="00D8221F" w:rsidP="00D8221F">
      <w:pPr>
        <w:pStyle w:val="ListBullet2"/>
      </w:pPr>
      <w:r w:rsidRPr="00D8221F">
        <w:t>anti-discrimination, including provisions for equal employment opportunity (EEO) and harassment</w:t>
      </w:r>
    </w:p>
    <w:p w:rsidR="00000000" w:rsidRPr="00D8221F" w:rsidP="00D8221F">
      <w:pPr>
        <w:pStyle w:val="ListBullet2"/>
      </w:pPr>
      <w:r w:rsidRPr="00D8221F">
        <w:t>anti-trust</w:t>
      </w:r>
      <w:r w:rsidRPr="00D8221F">
        <w:t xml:space="preserve"> laws (</w:t>
      </w:r>
      <w:r>
        <w:t>“</w:t>
      </w:r>
      <w:r w:rsidRPr="00D8221F">
        <w:t>restrictive trade practices</w:t>
      </w:r>
      <w:r>
        <w:t>”</w:t>
      </w:r>
      <w:r w:rsidRPr="00D8221F">
        <w:t>), including the prohibitions on anti-cartel, resale price maintenance and third line forcing</w:t>
      </w:r>
    </w:p>
    <w:p w:rsidR="00000000" w:rsidRPr="00D8221F" w:rsidP="00D8221F">
      <w:pPr>
        <w:pStyle w:val="ListBullet2"/>
      </w:pPr>
      <w:r w:rsidRPr="00D8221F">
        <w:t>Australian Consumer Law (ACL), including provisions for refunds, exchanges and cancellations, terms and conditions of quotatio</w:t>
      </w:r>
      <w:r w:rsidRPr="00D8221F">
        <w:t>ns and consumer contracts</w:t>
      </w:r>
    </w:p>
    <w:p w:rsidR="00000000" w:rsidRPr="00D8221F" w:rsidP="00D8221F">
      <w:pPr>
        <w:pStyle w:val="ListBullet2"/>
      </w:pPr>
      <w:r w:rsidRPr="00D8221F">
        <w:t>contract formation and content</w:t>
      </w:r>
    </w:p>
    <w:p w:rsidR="00000000" w:rsidRPr="00D8221F" w:rsidP="00D8221F">
      <w:pPr>
        <w:pStyle w:val="ListBullet2"/>
      </w:pPr>
      <w:r w:rsidRPr="00D8221F">
        <w:t>copyright law</w:t>
      </w:r>
    </w:p>
    <w:p w:rsidR="00000000" w:rsidRPr="00D8221F" w:rsidP="00D8221F">
      <w:pPr>
        <w:pStyle w:val="ListBullet2"/>
      </w:pPr>
      <w:r w:rsidRPr="00D8221F">
        <w:t>duty of care and negligence</w:t>
      </w:r>
    </w:p>
    <w:p w:rsidR="00000000" w:rsidRPr="00D8221F" w:rsidP="00D8221F">
      <w:pPr>
        <w:pStyle w:val="ListBullet2"/>
      </w:pPr>
      <w:r w:rsidRPr="00D8221F">
        <w:t>e-commerce and social media</w:t>
      </w:r>
    </w:p>
    <w:p w:rsidR="00000000" w:rsidRPr="00D8221F" w:rsidP="00D8221F">
      <w:pPr>
        <w:pStyle w:val="ListBullet2"/>
      </w:pPr>
      <w:r w:rsidRPr="00D8221F">
        <w:t>employer superannuation contributions</w:t>
      </w:r>
    </w:p>
    <w:p w:rsidR="00000000" w:rsidRPr="00D8221F" w:rsidP="00D8221F">
      <w:pPr>
        <w:pStyle w:val="ListBullet2"/>
      </w:pPr>
      <w:r w:rsidRPr="00D8221F">
        <w:t>Fair Work Act 2009, including provisions for National Employment Standards (NES)</w:t>
      </w:r>
    </w:p>
    <w:p w:rsidR="00000000" w:rsidRPr="00D8221F" w:rsidP="00D8221F">
      <w:pPr>
        <w:pStyle w:val="ListBullet2"/>
      </w:pPr>
      <w:r w:rsidRPr="00D8221F">
        <w:t>insurance,</w:t>
      </w:r>
      <w:r w:rsidRPr="00D8221F">
        <w:t xml:space="preserve"> including public liability and professional indemnity insurance</w:t>
      </w:r>
    </w:p>
    <w:p w:rsidR="00000000" w:rsidRPr="00D8221F" w:rsidP="00D8221F">
      <w:pPr>
        <w:pStyle w:val="ListBullet2"/>
      </w:pPr>
      <w:r w:rsidRPr="00D8221F">
        <w:t>privacy law</w:t>
      </w:r>
    </w:p>
    <w:p w:rsidR="00000000" w:rsidRPr="00D8221F" w:rsidP="00D8221F">
      <w:pPr>
        <w:pStyle w:val="ListBullet2"/>
      </w:pPr>
      <w:r w:rsidRPr="00D8221F">
        <w:t>trade mark law</w:t>
      </w:r>
    </w:p>
    <w:p w:rsidR="00000000" w:rsidRPr="00D8221F" w:rsidP="00D8221F">
      <w:pPr>
        <w:pStyle w:val="ListBullet2"/>
      </w:pPr>
      <w:r w:rsidRPr="00D8221F">
        <w:t>work health and safety</w:t>
      </w:r>
    </w:p>
    <w:p w:rsidR="00000000" w:rsidRPr="00D8221F" w:rsidP="00D8221F">
      <w:pPr>
        <w:pStyle w:val="ListBullet2"/>
      </w:pPr>
      <w:r w:rsidRPr="00D8221F">
        <w:t>workers’ compensation, including provisions for injury reporting and occupational rehabilitation</w:t>
      </w:r>
    </w:p>
    <w:p w:rsidR="00000000" w:rsidRPr="00D8221F" w:rsidP="00D8221F">
      <w:pPr>
        <w:pStyle w:val="ListBullet"/>
      </w:pPr>
      <w:r w:rsidRPr="00D8221F">
        <w:t>laws, codes, standards and licensing requirements that impact on specific operators in the tourism, travel, hospitality and event industries and are applicable to the individual’s context:</w:t>
      </w:r>
    </w:p>
    <w:p w:rsidR="00000000" w:rsidRPr="00D8221F" w:rsidP="00D8221F">
      <w:pPr>
        <w:pStyle w:val="ListBullet2"/>
      </w:pPr>
      <w:r w:rsidRPr="00D8221F">
        <w:t>Criminal Code Act 1995 as it relates to child sex offences outside</w:t>
      </w:r>
      <w:r w:rsidRPr="00D8221F">
        <w:t xml:space="preserve"> Australia</w:t>
      </w:r>
    </w:p>
    <w:p w:rsidR="00000000" w:rsidRPr="00D8221F" w:rsidP="00D8221F">
      <w:pPr>
        <w:pStyle w:val="ListBullet2"/>
      </w:pPr>
      <w:r w:rsidRPr="00D8221F">
        <w:t>European Economic Directive of Foreign Travel</w:t>
      </w:r>
    </w:p>
    <w:p w:rsidR="00000000" w:rsidRPr="00D8221F" w:rsidP="00D8221F">
      <w:pPr>
        <w:pStyle w:val="ListBullet2"/>
      </w:pPr>
      <w:r w:rsidRPr="00D8221F">
        <w:t>food safety</w:t>
      </w:r>
    </w:p>
    <w:p w:rsidR="00000000" w:rsidRPr="00D8221F" w:rsidP="00D8221F">
      <w:pPr>
        <w:pStyle w:val="ListBullet2"/>
      </w:pPr>
      <w:r w:rsidRPr="00D8221F">
        <w:t>Food Standards Australia New Zealand Act 1991</w:t>
      </w:r>
    </w:p>
    <w:p w:rsidR="00000000" w:rsidRPr="00D8221F" w:rsidP="00D8221F">
      <w:pPr>
        <w:pStyle w:val="ListBullet2"/>
      </w:pPr>
      <w:r w:rsidRPr="00D8221F">
        <w:t>liquor licensing, including responsible service of alcohol</w:t>
      </w:r>
    </w:p>
    <w:p w:rsidR="00000000" w:rsidRPr="00D8221F" w:rsidP="00D8221F">
      <w:pPr>
        <w:pStyle w:val="ListBullet2"/>
      </w:pPr>
      <w:r w:rsidRPr="00D8221F">
        <w:t>Queensland Tourism Services Act 2003</w:t>
      </w:r>
    </w:p>
    <w:p w:rsidR="00000000" w:rsidRPr="00D8221F" w:rsidP="00D8221F">
      <w:pPr>
        <w:pStyle w:val="ListBullet2"/>
      </w:pPr>
      <w:r w:rsidRPr="00D8221F">
        <w:t>Residential Tenancy Act</w:t>
      </w:r>
    </w:p>
    <w:p w:rsidR="00000000" w:rsidRPr="00D8221F" w:rsidP="00D8221F">
      <w:pPr>
        <w:pStyle w:val="ListBullet2"/>
      </w:pPr>
      <w:r w:rsidRPr="00D8221F">
        <w:t>responsible conduct o</w:t>
      </w:r>
      <w:r w:rsidRPr="00D8221F">
        <w:t>f gaming regulation</w:t>
      </w:r>
    </w:p>
    <w:p w:rsidR="00000000" w:rsidRPr="00D8221F" w:rsidP="00D8221F">
      <w:pPr>
        <w:pStyle w:val="ListBullet"/>
      </w:pPr>
      <w:r w:rsidRPr="00D8221F">
        <w:t>for each relevant law, code, standard and licensing requirement listed above:</w:t>
      </w:r>
    </w:p>
    <w:p w:rsidR="00000000" w:rsidRPr="00D8221F" w:rsidP="00D8221F">
      <w:pPr>
        <w:pStyle w:val="ListBullet2"/>
      </w:pPr>
      <w:r w:rsidRPr="00D8221F">
        <w:t xml:space="preserve">objectives and primary components </w:t>
      </w:r>
    </w:p>
    <w:p w:rsidR="00000000" w:rsidRPr="00D8221F" w:rsidP="00D8221F">
      <w:pPr>
        <w:pStyle w:val="ListBullet2"/>
      </w:pPr>
      <w:r w:rsidRPr="00D8221F">
        <w:t>key practices and legal risks that need to be managed</w:t>
      </w:r>
    </w:p>
    <w:p w:rsidR="00000000" w:rsidRPr="00D8221F" w:rsidP="00D8221F">
      <w:pPr>
        <w:pStyle w:val="ListBullet2"/>
      </w:pPr>
      <w:r w:rsidRPr="00D8221F">
        <w:t>key actions needed to manage the legal risks and comply with the la</w:t>
      </w:r>
      <w:r w:rsidRPr="00D8221F">
        <w:t>w</w:t>
      </w:r>
    </w:p>
    <w:p w:rsidR="00000000" w:rsidRPr="00D8221F" w:rsidP="00D8221F">
      <w:pPr>
        <w:pStyle w:val="ListBullet2"/>
      </w:pPr>
      <w:r w:rsidRPr="00D8221F">
        <w:t>main consequences of failure to manage the legal risks or non-compliance with the law</w:t>
      </w:r>
    </w:p>
    <w:p w:rsidR="00000000" w:rsidRPr="00D8221F" w:rsidP="00D8221F">
      <w:pPr>
        <w:pStyle w:val="ListBullet2"/>
      </w:pPr>
      <w:r w:rsidRPr="00D8221F">
        <w:t>requirements for record keeping and acceptable record keeping mechanisms</w:t>
      </w:r>
    </w:p>
    <w:p w:rsidR="00000000" w:rsidRPr="00D8221F" w:rsidP="00D8221F">
      <w:pPr>
        <w:pStyle w:val="ListBullet"/>
      </w:pPr>
      <w:r w:rsidRPr="00D8221F">
        <w:t xml:space="preserve">opportunities to maintain knowledge of legal risks and legal risk management and compliance </w:t>
      </w:r>
      <w:r w:rsidRPr="00D8221F">
        <w:t>requirements:</w:t>
      </w:r>
    </w:p>
    <w:p w:rsidR="00000000" w:rsidRPr="00D8221F" w:rsidP="00D8221F">
      <w:pPr>
        <w:pStyle w:val="ListBullet2"/>
      </w:pPr>
      <w:r w:rsidRPr="00D8221F">
        <w:t>participating in industry seminars</w:t>
      </w:r>
    </w:p>
    <w:p w:rsidR="00000000" w:rsidRPr="00D8221F" w:rsidP="00D8221F">
      <w:pPr>
        <w:pStyle w:val="ListBullet2"/>
      </w:pPr>
      <w:r w:rsidRPr="00D8221F">
        <w:t>membership of professional industry associations</w:t>
      </w:r>
    </w:p>
    <w:p w:rsidR="00000000" w:rsidRPr="00D8221F" w:rsidP="00D8221F">
      <w:pPr>
        <w:pStyle w:val="ListBullet2"/>
      </w:pPr>
      <w:r w:rsidRPr="00D8221F">
        <w:t>participating in training courses.</w:t>
      </w:r>
    </w:p>
    <w:p w:rsidR="00000000" w:rsidRPr="00D8221F" w:rsidP="00D8221F">
      <w:pPr>
        <w:pStyle w:val="AllowPageBreak"/>
      </w:pPr>
    </w:p>
    <w:p w:rsidR="00000000" w:rsidRPr="00D8221F" w:rsidP="00D8221F">
      <w:pPr>
        <w:pStyle w:val="Heading1"/>
      </w:pPr>
      <w:bookmarkStart w:id="4" w:name="O_1232134"/>
      <w:bookmarkEnd w:id="4"/>
      <w:r w:rsidRPr="00D8221F">
        <w:t>Assessment Conditions</w:t>
      </w:r>
    </w:p>
    <w:p w:rsidR="00000000" w:rsidRPr="00D8221F" w:rsidP="002F04F9">
      <w:pPr>
        <w:pStyle w:val="BodyText"/>
      </w:pPr>
      <w:r w:rsidRPr="00D8221F">
        <w:t>Skills must be demonstrated in an operational tourism, travel, hospitality or eve</w:t>
      </w:r>
      <w:r w:rsidRPr="00D8221F">
        <w:t>nts business operation. This can be:</w:t>
      </w:r>
    </w:p>
    <w:p w:rsidR="00000000" w:rsidRPr="00D8221F" w:rsidP="00D8221F">
      <w:pPr>
        <w:pStyle w:val="ListBullet"/>
      </w:pPr>
      <w:r w:rsidRPr="00D8221F">
        <w:t>an industry workplace; or</w:t>
      </w:r>
    </w:p>
    <w:p w:rsidR="00000000" w:rsidRPr="00D8221F" w:rsidP="00D8221F">
      <w:pPr>
        <w:pStyle w:val="ListBullet"/>
      </w:pPr>
      <w:r w:rsidRPr="00D8221F">
        <w:t>a simulated industry environment set up for the purposes of assessment.</w:t>
      </w:r>
    </w:p>
    <w:p w:rsidR="00000000" w:rsidRPr="00D8221F" w:rsidP="002F04F9">
      <w:pPr>
        <w:pStyle w:val="BodyText"/>
      </w:pPr>
      <w:r w:rsidRPr="00D8221F">
        <w:t>Assessment must ensure access to:</w:t>
      </w:r>
    </w:p>
    <w:p w:rsidR="00000000" w:rsidRPr="00D8221F" w:rsidP="00D8221F">
      <w:pPr>
        <w:pStyle w:val="ListBullet"/>
      </w:pPr>
      <w:r w:rsidRPr="00D8221F">
        <w:t>computers, software programs, printers and communication technology used to source in</w:t>
      </w:r>
      <w:r w:rsidRPr="00D8221F">
        <w:t>formation on legal risk management and compliance</w:t>
      </w:r>
    </w:p>
    <w:p w:rsidR="00000000" w:rsidRPr="00D8221F" w:rsidP="00D8221F">
      <w:pPr>
        <w:pStyle w:val="ListBullet"/>
      </w:pPr>
      <w:r w:rsidRPr="00D8221F">
        <w:t>current legislation</w:t>
      </w:r>
    </w:p>
    <w:p w:rsidR="00000000" w:rsidRPr="00D8221F" w:rsidP="00D8221F">
      <w:pPr>
        <w:pStyle w:val="ListBullet"/>
      </w:pPr>
      <w:r w:rsidRPr="00D8221F">
        <w:t>current materials displayed or published by government regulators</w:t>
      </w:r>
    </w:p>
    <w:p w:rsidR="00000000" w:rsidRPr="00D8221F" w:rsidP="00D8221F">
      <w:pPr>
        <w:pStyle w:val="ListBullet"/>
      </w:pPr>
      <w:r w:rsidRPr="00D8221F">
        <w:t>information issued by industry associations or commercial publishers.</w:t>
      </w:r>
    </w:p>
    <w:p w:rsidR="00000000" w:rsidRPr="00D8221F" w:rsidP="002F04F9">
      <w:pPr>
        <w:pStyle w:val="BodyText"/>
      </w:pPr>
      <w:r w:rsidRPr="00D8221F">
        <w:t>Assessors must satisfy the Standards for Registered Training Organisations’ requirements for assessors.</w:t>
      </w:r>
    </w:p>
    <w:p w:rsidR="00000000" w:rsidRPr="00D8221F" w:rsidP="00D8221F">
      <w:pPr>
        <w:pStyle w:val="Heading1"/>
      </w:pPr>
      <w:bookmarkStart w:id="5" w:name="O_1232132"/>
      <w:bookmarkEnd w:id="5"/>
      <w:r w:rsidRPr="00D8221F">
        <w:t>Links</w:t>
      </w:r>
    </w:p>
    <w:p w:rsidR="00000000" w:rsidRPr="00D8221F" w:rsidP="002F04F9">
      <w:pPr>
        <w:pStyle w:val="BodyText"/>
      </w:pPr>
      <w:r w:rsidRPr="00D82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2E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221F" w:rsidP="00D8221F"/>
    <w:sectPr w:rsidSect="00D822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F" w:rsidRPr="002F04F9" w:rsidP="002F0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F9" w:rsidP="00D82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F9" w:rsidP="00D82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04F9" w:rsidP="00D82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21F" w:rsidRPr="002F04F9" w:rsidP="002F0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F9" w:rsidRPr="002D2AF8" w:rsidP="00D82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SITXGLC002 Identify and manage legal risks and comply with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F04F9" w:rsidP="00D82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AB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CD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22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21F"/>
  </w:style>
  <w:style w:type="character" w:customStyle="1" w:styleId="Heading1Char">
    <w:name w:val="Heading 1 Char"/>
    <w:basedOn w:val="DefaultParagraphFont"/>
    <w:link w:val="Heading1"/>
    <w:rsid w:val="00D82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2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2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22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2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21F"/>
    <w:rPr>
      <w:b/>
      <w:spacing w:val="0"/>
    </w:rPr>
  </w:style>
  <w:style w:type="paragraph" w:customStyle="1" w:styleId="SuperTitle">
    <w:name w:val="SuperTitle"/>
    <w:basedOn w:val="Title"/>
    <w:rsid w:val="00D82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21F"/>
    <w:rPr>
      <w:i/>
    </w:rPr>
  </w:style>
  <w:style w:type="paragraph" w:styleId="Caption">
    <w:name w:val="caption"/>
    <w:basedOn w:val="BodyText"/>
    <w:next w:val="Normal"/>
    <w:qFormat/>
    <w:rsid w:val="00D82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21F"/>
  </w:style>
  <w:style w:type="paragraph" w:styleId="TableofFigures">
    <w:name w:val="table of figures"/>
    <w:basedOn w:val="Normal"/>
    <w:next w:val="Normal"/>
    <w:semiHidden/>
    <w:rsid w:val="00D82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2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221F"/>
    <w:rPr>
      <w:rFonts w:ascii="Wingdings" w:hAnsi="Wingdings"/>
    </w:rPr>
  </w:style>
  <w:style w:type="paragraph" w:customStyle="1" w:styleId="TableHeading">
    <w:name w:val="Table Heading"/>
    <w:basedOn w:val="HeadingBase"/>
    <w:rsid w:val="00D82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21F"/>
    <w:rPr>
      <w:color w:val="0033CC"/>
      <w:u w:val="none"/>
    </w:rPr>
  </w:style>
  <w:style w:type="paragraph" w:customStyle="1" w:styleId="BodyTextRight">
    <w:name w:val="Body Text Right"/>
    <w:basedOn w:val="BodyText"/>
    <w:rsid w:val="00D82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2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21F"/>
    <w:rPr>
      <w:sz w:val="32"/>
    </w:rPr>
  </w:style>
  <w:style w:type="paragraph" w:customStyle="1" w:styleId="HeadingProcedure">
    <w:name w:val="Heading Procedure"/>
    <w:basedOn w:val="HeadingBase"/>
    <w:next w:val="Normal"/>
    <w:rsid w:val="00D82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21F"/>
    <w:pPr>
      <w:spacing w:before="60" w:after="60"/>
    </w:pPr>
  </w:style>
  <w:style w:type="paragraph" w:styleId="ListContinue">
    <w:name w:val="List Continue"/>
    <w:basedOn w:val="List"/>
    <w:rsid w:val="00D8221F"/>
    <w:pPr>
      <w:ind w:firstLine="0"/>
    </w:pPr>
  </w:style>
  <w:style w:type="paragraph" w:customStyle="1" w:styleId="ListNote">
    <w:name w:val="List Note"/>
    <w:basedOn w:val="List"/>
    <w:rsid w:val="00D82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21F"/>
    <w:rPr>
      <w:rFonts w:ascii="Courier New" w:hAnsi="Courier New"/>
    </w:rPr>
  </w:style>
  <w:style w:type="paragraph" w:customStyle="1" w:styleId="NoteBullet">
    <w:name w:val="Note Bullet"/>
    <w:basedOn w:val="Note"/>
    <w:rsid w:val="00D82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2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2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21F"/>
    <w:rPr>
      <w:b/>
      <w:smallCaps/>
    </w:rPr>
  </w:style>
  <w:style w:type="paragraph" w:customStyle="1" w:styleId="TableListNumber">
    <w:name w:val="Table List Number"/>
    <w:basedOn w:val="ListNumber"/>
    <w:rsid w:val="00D82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21F"/>
    <w:pPr>
      <w:numPr>
        <w:numId w:val="10"/>
      </w:numPr>
    </w:pPr>
  </w:style>
  <w:style w:type="paragraph" w:customStyle="1" w:styleId="ListAlpha2">
    <w:name w:val="List Alpha 2"/>
    <w:basedOn w:val="List2"/>
    <w:rsid w:val="00D8221F"/>
    <w:pPr>
      <w:numPr>
        <w:numId w:val="9"/>
      </w:numPr>
    </w:pPr>
  </w:style>
  <w:style w:type="paragraph" w:styleId="List2">
    <w:name w:val="List 2"/>
    <w:basedOn w:val="BodyText"/>
    <w:rsid w:val="00D82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2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22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221F"/>
    <w:pPr>
      <w:numPr>
        <w:numId w:val="5"/>
      </w:numPr>
    </w:pPr>
  </w:style>
  <w:style w:type="paragraph" w:styleId="ListContinue2">
    <w:name w:val="List Continue 2"/>
    <w:basedOn w:val="List2"/>
    <w:rsid w:val="00D8221F"/>
    <w:pPr>
      <w:ind w:firstLine="0"/>
    </w:pPr>
  </w:style>
  <w:style w:type="paragraph" w:styleId="ListContinue3">
    <w:name w:val="List Continue 3"/>
    <w:basedOn w:val="List3"/>
    <w:rsid w:val="00D8221F"/>
    <w:pPr>
      <w:ind w:left="1021" w:firstLine="0"/>
    </w:pPr>
  </w:style>
  <w:style w:type="paragraph" w:styleId="ListContinue4">
    <w:name w:val="List Continue 4"/>
    <w:basedOn w:val="List4"/>
    <w:rsid w:val="00D8221F"/>
    <w:pPr>
      <w:ind w:firstLine="0"/>
    </w:pPr>
  </w:style>
  <w:style w:type="paragraph" w:styleId="ListContinue5">
    <w:name w:val="List Continue 5"/>
    <w:basedOn w:val="List5"/>
    <w:rsid w:val="00D8221F"/>
    <w:pPr>
      <w:ind w:firstLine="0"/>
    </w:pPr>
  </w:style>
  <w:style w:type="paragraph" w:styleId="ListNumber3">
    <w:name w:val="List Number 3"/>
    <w:basedOn w:val="List3"/>
    <w:rsid w:val="00D8221F"/>
    <w:pPr>
      <w:numPr>
        <w:numId w:val="6"/>
      </w:numPr>
    </w:pPr>
  </w:style>
  <w:style w:type="paragraph" w:styleId="ListNumber4">
    <w:name w:val="List Number 4"/>
    <w:basedOn w:val="List4"/>
    <w:rsid w:val="00D8221F"/>
    <w:pPr>
      <w:numPr>
        <w:numId w:val="7"/>
      </w:numPr>
    </w:pPr>
  </w:style>
  <w:style w:type="paragraph" w:styleId="ListNumber5">
    <w:name w:val="List Number 5"/>
    <w:basedOn w:val="List5"/>
    <w:rsid w:val="00D8221F"/>
    <w:pPr>
      <w:numPr>
        <w:numId w:val="8"/>
      </w:numPr>
    </w:pPr>
  </w:style>
  <w:style w:type="paragraph" w:styleId="BlockText">
    <w:name w:val="Block Text"/>
    <w:basedOn w:val="Normal"/>
    <w:rsid w:val="00D82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21F"/>
    <w:rPr>
      <w:sz w:val="16"/>
      <w:vertAlign w:val="superscript"/>
    </w:rPr>
  </w:style>
  <w:style w:type="character" w:customStyle="1" w:styleId="Symbols">
    <w:name w:val="Symbols"/>
    <w:basedOn w:val="DefaultParagraphFont"/>
    <w:rsid w:val="00D8221F"/>
    <w:rPr>
      <w:rFonts w:ascii="Symbol" w:hAnsi="Symbol"/>
    </w:rPr>
  </w:style>
  <w:style w:type="character" w:customStyle="1" w:styleId="MenuOptions">
    <w:name w:val="Menu Options"/>
    <w:basedOn w:val="DefaultParagraphFont"/>
    <w:rsid w:val="00D82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21F"/>
    <w:rPr>
      <w:b/>
    </w:rPr>
  </w:style>
  <w:style w:type="character" w:customStyle="1" w:styleId="Underlined">
    <w:name w:val="Underlined"/>
    <w:basedOn w:val="DefaultParagraphFont"/>
    <w:rsid w:val="00D8221F"/>
    <w:rPr>
      <w:u w:val="single"/>
    </w:rPr>
  </w:style>
  <w:style w:type="paragraph" w:customStyle="1" w:styleId="TableBodyTextRight">
    <w:name w:val="Table Body Text Right"/>
    <w:basedOn w:val="TableBodyText"/>
    <w:rsid w:val="00D82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21F"/>
    <w:rPr>
      <w:sz w:val="18"/>
    </w:rPr>
  </w:style>
  <w:style w:type="paragraph" w:customStyle="1" w:styleId="BodySmallRight">
    <w:name w:val="Body Small Right"/>
    <w:basedOn w:val="BodyTextRight"/>
    <w:rsid w:val="00D8221F"/>
    <w:rPr>
      <w:sz w:val="18"/>
      <w:szCs w:val="18"/>
    </w:rPr>
  </w:style>
  <w:style w:type="paragraph" w:customStyle="1" w:styleId="MarginEdition">
    <w:name w:val="Margin Edition"/>
    <w:basedOn w:val="MarginNote"/>
    <w:rsid w:val="00D82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21F"/>
    <w:rPr>
      <w:sz w:val="2"/>
      <w:szCs w:val="2"/>
    </w:rPr>
  </w:style>
  <w:style w:type="character" w:customStyle="1" w:styleId="Small">
    <w:name w:val="Small"/>
    <w:basedOn w:val="DefaultParagraphFont"/>
    <w:rsid w:val="00D8221F"/>
    <w:rPr>
      <w:sz w:val="16"/>
    </w:rPr>
  </w:style>
  <w:style w:type="paragraph" w:customStyle="1" w:styleId="WideTable">
    <w:name w:val="Wide Table"/>
    <w:basedOn w:val="Normal"/>
    <w:rsid w:val="00D82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21F"/>
  </w:style>
  <w:style w:type="paragraph" w:styleId="Quote">
    <w:name w:val="Quote"/>
    <w:basedOn w:val="Heading1"/>
    <w:link w:val="QuoteChar"/>
    <w:qFormat/>
    <w:rsid w:val="00D82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21F"/>
    <w:pPr>
      <w:pageBreakBefore/>
    </w:pPr>
  </w:style>
  <w:style w:type="paragraph" w:customStyle="1" w:styleId="Border">
    <w:name w:val="Border"/>
    <w:basedOn w:val="Normal"/>
    <w:qFormat/>
    <w:rsid w:val="00D82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21F"/>
    <w:rPr>
      <w:u w:val="single"/>
    </w:rPr>
  </w:style>
  <w:style w:type="character" w:customStyle="1" w:styleId="BoldandItalics">
    <w:name w:val="Bold and Italics"/>
    <w:qFormat/>
    <w:rsid w:val="00D8221F"/>
    <w:rPr>
      <w:b/>
      <w:i/>
      <w:u w:val="none"/>
    </w:rPr>
  </w:style>
  <w:style w:type="paragraph" w:styleId="BalloonText">
    <w:name w:val="Balloon Text"/>
    <w:basedOn w:val="Normal"/>
    <w:link w:val="BalloonTextChar"/>
    <w:rsid w:val="00D8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21F"/>
    <w:pPr>
      <w:spacing w:before="0" w:after="0"/>
    </w:pPr>
  </w:style>
  <w:style w:type="paragraph" w:customStyle="1" w:styleId="BodyTextBold">
    <w:name w:val="Body Text Bold"/>
    <w:basedOn w:val="BodyText"/>
    <w:qFormat/>
    <w:rsid w:val="00D8221F"/>
    <w:rPr>
      <w:b/>
    </w:rPr>
  </w:style>
  <w:style w:type="character" w:styleId="Hyperlink">
    <w:name w:val="Hyperlink"/>
    <w:basedOn w:val="DefaultParagraphFont"/>
    <w:uiPriority w:val="99"/>
    <w:unhideWhenUsed/>
    <w:rsid w:val="002F0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4427</Characters>
  <Application>Microsoft Office Word</Application>
  <DocSecurity>0</DocSecurity>
  <Lines>116</Lines>
  <Paragraphs>96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SITXGLC002 Identify and manage legal risks and comply with law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