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DBD" w:rsidP="00202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SITXGLC001 Research and comply with regulatory requirements</w:t>
      </w:r>
      <w:r>
        <w:fldChar w:fldCharType="end"/>
      </w:r>
    </w:p>
    <w:p w:rsidR="00202DBD" w:rsidP="00202DBD">
      <w:pPr>
        <w:pStyle w:val="Version"/>
        <w:sectPr w:rsidSect="00727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D28" w:rsidP="00727D28">
      <w:pPr>
        <w:pStyle w:val="SuperHeading"/>
      </w:pPr>
      <w:r w:rsidRPr="00727D28">
        <w:t>SITXGLC001 Research and comply with regulatory requirements</w:t>
      </w:r>
    </w:p>
    <w:p w:rsidR="00000000" w:rsidRPr="00727D28" w:rsidP="00727D28">
      <w:pPr>
        <w:pStyle w:val="Heading1"/>
      </w:pPr>
      <w:bookmarkStart w:id="1" w:name="O_767651"/>
      <w:bookmarkEnd w:id="1"/>
      <w:r w:rsidRPr="00727D28">
        <w:t>Modification History</w:t>
      </w:r>
    </w:p>
    <w:p w:rsidR="00000000" w:rsidRPr="00727D28" w:rsidP="00202DBD">
      <w:pPr>
        <w:pStyle w:val="BodyText"/>
      </w:pPr>
      <w:r w:rsidRPr="00727D28">
        <w:t>Not applicable.</w:t>
      </w:r>
    </w:p>
    <w:p w:rsidR="00000000" w:rsidRPr="00727D28" w:rsidP="00727D28">
      <w:pPr>
        <w:pStyle w:val="Heading1"/>
      </w:pPr>
      <w:bookmarkStart w:id="2" w:name="O_767652"/>
      <w:bookmarkEnd w:id="2"/>
      <w:r w:rsidRPr="00727D28">
        <w:t>Application</w:t>
      </w:r>
    </w:p>
    <w:p w:rsidR="00000000" w:rsidRPr="00727D28" w:rsidP="00202DBD">
      <w:pPr>
        <w:pStyle w:val="BodyText"/>
      </w:pPr>
      <w:r w:rsidRPr="00727D28">
        <w:t>This unit describes the performance outcomes, skills and knowledge required to comply with laws and licensing requirements for specific business operations. It requires the a</w:t>
      </w:r>
      <w:r w:rsidRPr="00727D28">
        <w:t xml:space="preserve">bility to access and interpret regulatory information, determine scope of compliance, and develop, implement and continuously review and update policies and practices for business compliance. </w:t>
      </w:r>
    </w:p>
    <w:p w:rsidR="00000000" w:rsidRPr="00727D28" w:rsidP="00202DBD">
      <w:pPr>
        <w:pStyle w:val="BodyText"/>
      </w:pPr>
      <w:r w:rsidRPr="00727D28">
        <w:t>The unit applies to regulatory requirements for day-to-day bus</w:t>
      </w:r>
      <w:r w:rsidRPr="00727D28">
        <w:t>iness operations in all tourism, travel, hospitality and event sectors and to special requirements for one-off events.</w:t>
      </w:r>
    </w:p>
    <w:p w:rsidR="00000000" w:rsidRPr="00727D28" w:rsidP="00202DBD">
      <w:pPr>
        <w:pStyle w:val="BodyText"/>
      </w:pPr>
      <w:r w:rsidRPr="00727D28">
        <w:t>It applies to senior personnel who operate independently or with limited guidance from others and who are responsible for making a range</w:t>
      </w:r>
      <w:r w:rsidRPr="00727D28">
        <w:t xml:space="preserve"> of operational business and regulatory compliance decisions.</w:t>
      </w:r>
    </w:p>
    <w:p w:rsidR="00000000" w:rsidRPr="00727D28" w:rsidP="00202DBD">
      <w:pPr>
        <w:pStyle w:val="BodyText"/>
      </w:pPr>
      <w:r w:rsidRPr="00727D28">
        <w:t>No occupational licensing, certification or specific legislative requirements apply to this unit at the time of publication.</w:t>
      </w:r>
    </w:p>
    <w:p w:rsidR="00000000" w:rsidRPr="00727D28" w:rsidP="00727D28">
      <w:pPr>
        <w:pStyle w:val="Heading1"/>
      </w:pPr>
      <w:bookmarkStart w:id="3" w:name="O_767653"/>
      <w:bookmarkEnd w:id="3"/>
      <w:r w:rsidRPr="00727D28">
        <w:t>Pre-requisite Unit</w:t>
      </w:r>
    </w:p>
    <w:p w:rsidR="00000000" w:rsidRPr="00727D28" w:rsidP="00202DBD">
      <w:pPr>
        <w:pStyle w:val="BodyText"/>
      </w:pPr>
      <w:r w:rsidRPr="00727D28">
        <w:t>Nil</w:t>
      </w:r>
    </w:p>
    <w:p w:rsidR="00000000" w:rsidRPr="00727D28" w:rsidP="00727D28">
      <w:pPr>
        <w:pStyle w:val="Heading1"/>
      </w:pPr>
      <w:bookmarkStart w:id="4" w:name="O_767654"/>
      <w:bookmarkEnd w:id="4"/>
      <w:r w:rsidRPr="00727D28">
        <w:t xml:space="preserve">Competency </w:t>
      </w:r>
      <w:r w:rsidRPr="00727D28">
        <w:t>Field</w:t>
      </w:r>
    </w:p>
    <w:p w:rsidR="00000000" w:rsidRPr="00727D28" w:rsidP="00202DBD">
      <w:pPr>
        <w:pStyle w:val="BodyText"/>
      </w:pPr>
      <w:r w:rsidRPr="00727D28">
        <w:t xml:space="preserve">Governance and Legal Compliance </w:t>
      </w:r>
    </w:p>
    <w:p w:rsidR="00000000" w:rsidRPr="00727D28" w:rsidP="00727D28">
      <w:pPr>
        <w:pStyle w:val="Heading1"/>
      </w:pPr>
      <w:bookmarkStart w:id="5" w:name="O_767655"/>
      <w:bookmarkEnd w:id="5"/>
      <w:r w:rsidRPr="00727D28">
        <w:t>Unit Sector</w:t>
      </w:r>
    </w:p>
    <w:p w:rsidR="00000000" w:rsidRPr="00727D28" w:rsidP="00202DBD">
      <w:pPr>
        <w:pStyle w:val="BodyText"/>
      </w:pPr>
      <w:r w:rsidRPr="00727D28">
        <w:t>Cross-Sector</w:t>
      </w:r>
    </w:p>
    <w:p w:rsidR="00000000" w:rsidRPr="00727D28" w:rsidP="00727D28">
      <w:pPr>
        <w:pStyle w:val="Heading1"/>
      </w:pPr>
      <w:bookmarkStart w:id="6" w:name="O_767656"/>
      <w:bookmarkEnd w:id="6"/>
      <w:r w:rsidRPr="00727D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BodyText"/>
            </w:pPr>
            <w:r w:rsidRPr="00727D2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rPr>
                <w:rStyle w:val="SpecialBold"/>
              </w:rPr>
              <w:t>PERFORMANCE CRITERIA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t xml:space="preserve">Elements describe the essential </w:t>
            </w:r>
            <w:r w:rsidRPr="00727D28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t xml:space="preserve">Performance criteria describe the performance needed to </w:t>
            </w:r>
            <w:r w:rsidRPr="00727D28">
              <w:t>demonstrate achievement of the element.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List"/>
              <w:rPr>
                <w:lang w:val="en-NZ"/>
              </w:rPr>
            </w:pPr>
            <w:r w:rsidRPr="00727D28">
              <w:t>1.</w:t>
            </w:r>
            <w:r w:rsidRPr="00727D28">
              <w:tab/>
              <w:t>Research information required for legal compliance.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List"/>
            </w:pPr>
            <w:r w:rsidRPr="00727D28">
              <w:t>1.1.Identify sources of information for compliance with laws and licensing for business operations.</w:t>
            </w:r>
          </w:p>
          <w:p w:rsidR="00000000" w:rsidRPr="00727D28" w:rsidP="00727D28">
            <w:pPr>
              <w:pStyle w:val="List"/>
            </w:pPr>
            <w:r w:rsidRPr="00727D28">
              <w:t>1.2.</w:t>
            </w:r>
            <w:r w:rsidRPr="00727D28">
              <w:t>Evaluate areas of business operation and determine scope of compliance requirements.</w:t>
            </w:r>
          </w:p>
          <w:p w:rsidR="00000000" w:rsidRPr="00727D28" w:rsidP="00727D28">
            <w:pPr>
              <w:pStyle w:val="List"/>
            </w:pPr>
            <w:r w:rsidRPr="00727D28">
              <w:t>1.3.Access regulatory information relevant to specific business operation.</w:t>
            </w:r>
          </w:p>
          <w:p w:rsidR="00000000" w:rsidRPr="00727D28" w:rsidP="00727D28">
            <w:pPr>
              <w:pStyle w:val="List"/>
            </w:pPr>
            <w:r w:rsidRPr="00727D28">
              <w:t>1.4.Identify risks, penalties and consequences of non-compliance.</w:t>
            </w:r>
          </w:p>
          <w:p w:rsidR="00000000" w:rsidP="00727D28">
            <w:pPr>
              <w:pStyle w:val="List"/>
              <w:rPr>
                <w:lang w:val="en-NZ"/>
              </w:rPr>
            </w:pPr>
            <w:r w:rsidRPr="00727D28">
              <w:t>1.5.Assess and act on need for</w:t>
            </w:r>
            <w:r w:rsidRPr="00727D28">
              <w:t xml:space="preserve"> specialist legal advice.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List"/>
              <w:rPr>
                <w:lang w:val="en-NZ"/>
              </w:rPr>
            </w:pPr>
            <w:r w:rsidRPr="00727D28">
              <w:t>2.</w:t>
            </w:r>
            <w:r w:rsidRPr="00727D28">
              <w:tab/>
              <w:t>Develop and communicate policies and procedures for legal compliance.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List"/>
            </w:pPr>
            <w:r w:rsidRPr="00727D28">
              <w:t>2.1.Develop and clearly articulate regulatory policies and procedures in a format readily accessible to all personnel.</w:t>
            </w:r>
          </w:p>
          <w:p w:rsidR="00000000" w:rsidRPr="00727D28" w:rsidP="00727D28">
            <w:pPr>
              <w:pStyle w:val="List"/>
            </w:pPr>
            <w:r w:rsidRPr="00727D28">
              <w:t>2.2.Nominate the roles and responsibi</w:t>
            </w:r>
            <w:r w:rsidRPr="00727D28">
              <w:t>lities of personnel for regulatory compliance in policies and procedures.</w:t>
            </w:r>
          </w:p>
          <w:p w:rsidR="00000000" w:rsidRPr="00727D28" w:rsidP="00727D28">
            <w:pPr>
              <w:pStyle w:val="List"/>
            </w:pPr>
            <w:r w:rsidRPr="00727D28">
              <w:t>2.3.Distribute policies, procedures and legal information to personnel at appropriate times.</w:t>
            </w:r>
          </w:p>
          <w:p w:rsidR="00000000" w:rsidP="00727D28">
            <w:pPr>
              <w:pStyle w:val="List"/>
              <w:rPr>
                <w:lang w:val="en-NZ"/>
              </w:rPr>
            </w:pPr>
            <w:r w:rsidRPr="00727D28">
              <w:t>2.4.Organise information updates for personnel to ensure their knowledge of roles and res</w:t>
            </w:r>
            <w:r w:rsidRPr="00727D28">
              <w:t>ponsibilities for legal compliance.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List"/>
              <w:rPr>
                <w:lang w:val="en-NZ"/>
              </w:rPr>
            </w:pPr>
            <w:r w:rsidRPr="00727D28">
              <w:t>3.</w:t>
            </w:r>
            <w:r w:rsidRPr="00727D28">
              <w:tab/>
              <w:t>Ensure compliance with legal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List"/>
            </w:pPr>
            <w:r w:rsidRPr="00727D28">
              <w:t>3.1.Communicate with regulatory authorities when planning business operations and submit required documentation.</w:t>
            </w:r>
          </w:p>
          <w:p w:rsidR="00000000" w:rsidRPr="00727D28" w:rsidP="00727D28">
            <w:pPr>
              <w:pStyle w:val="List"/>
            </w:pPr>
            <w:r w:rsidRPr="00727D28">
              <w:t>3.2.Maintain business and occupational licences and check co</w:t>
            </w:r>
            <w:r w:rsidRPr="00727D28">
              <w:t>ntractor compliance to avoid risk to business.</w:t>
            </w:r>
          </w:p>
          <w:p w:rsidR="00000000" w:rsidP="00727D28">
            <w:pPr>
              <w:pStyle w:val="List"/>
              <w:rPr>
                <w:lang w:val="en-NZ"/>
              </w:rPr>
            </w:pPr>
            <w:r w:rsidRPr="00727D28">
              <w:t>3.3.Continuously evaluate business operations for non-compliance and implement modifications.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List"/>
              <w:rPr>
                <w:lang w:val="en-NZ"/>
              </w:rPr>
            </w:pPr>
            <w:r w:rsidRPr="00727D28">
              <w:t>4.</w:t>
            </w:r>
            <w:r w:rsidRPr="00727D28">
              <w:tab/>
              <w:t>Maintain personal and organisational knowledge of regulatory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List"/>
            </w:pPr>
            <w:r w:rsidRPr="00727D28">
              <w:t>4.1.Identify and use a range of opportunities to maintain knowledge of current regulatory requirements.</w:t>
            </w:r>
          </w:p>
          <w:p w:rsidR="00000000" w:rsidRPr="00727D28" w:rsidP="00727D28">
            <w:pPr>
              <w:pStyle w:val="List"/>
            </w:pPr>
            <w:r w:rsidRPr="00727D28">
              <w:t>4.2.Use organisational communication methods to share updated regulatory knowledge.</w:t>
            </w:r>
          </w:p>
          <w:p w:rsidR="00000000" w:rsidRPr="00727D28" w:rsidP="00727D28">
            <w:pPr>
              <w:pStyle w:val="List"/>
            </w:pPr>
            <w:r w:rsidRPr="00727D28">
              <w:t>4.3.Continuously review and distribute plans, policies and procedure</w:t>
            </w:r>
            <w:r w:rsidRPr="00727D28">
              <w:t>s for compliance with current laws and licensing requirements.</w:t>
            </w:r>
          </w:p>
        </w:tc>
      </w:tr>
    </w:tbl>
    <w:p w:rsidR="00000000" w:rsidRPr="00727D28" w:rsidP="00727D28">
      <w:pPr>
        <w:pStyle w:val="BodyText"/>
      </w:pPr>
    </w:p>
    <w:p w:rsidR="00000000" w:rsidRPr="00727D28" w:rsidP="00727D28">
      <w:pPr>
        <w:pStyle w:val="AllowPageBreak"/>
      </w:pPr>
    </w:p>
    <w:p w:rsidR="00000000" w:rsidRPr="00727D28" w:rsidP="00727D28">
      <w:pPr>
        <w:pStyle w:val="Heading1"/>
      </w:pPr>
      <w:bookmarkStart w:id="7" w:name="O_767657"/>
      <w:bookmarkEnd w:id="7"/>
      <w:r w:rsidRPr="00727D2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t>Foundation skills essential to performance in this unit, but not explicit in the performance criteria are listed here, along with a brief context statement.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BodyText"/>
            </w:pPr>
            <w:r w:rsidRPr="00727D2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rPr>
                <w:rStyle w:val="SpecialBold"/>
              </w:rPr>
              <w:t>DESCRIPTION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ListBullet"/>
            </w:pPr>
            <w:r w:rsidRPr="00727D28">
              <w:t>interpret unfamiliar and complex materials describing regulatory requirements</w:t>
            </w:r>
          </w:p>
          <w:p w:rsidR="00000000" w:rsidP="00727D28">
            <w:pPr>
              <w:pStyle w:val="ListBullet"/>
              <w:rPr>
                <w:lang w:val="en-NZ"/>
              </w:rPr>
            </w:pPr>
            <w:r w:rsidRPr="00727D28">
              <w:t xml:space="preserve">research regulatory requirements specifically applicable to </w:t>
            </w:r>
            <w:r w:rsidRPr="00727D28">
              <w:t>the business operation.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ListBullet"/>
            </w:pPr>
            <w:r w:rsidRPr="00727D28">
              <w:t>write comprehensive yet easily accessible regulatory policies and procedures</w:t>
            </w:r>
          </w:p>
          <w:p w:rsidR="00000000" w:rsidP="00727D28">
            <w:pPr>
              <w:pStyle w:val="ListBullet"/>
              <w:rPr>
                <w:lang w:val="en-NZ"/>
              </w:rPr>
            </w:pPr>
            <w:r w:rsidRPr="00727D28">
              <w:t>complete complex documentation required by regulatory authorities.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ListBullet"/>
              <w:rPr>
                <w:lang w:val="en-NZ"/>
              </w:rPr>
            </w:pPr>
            <w:r w:rsidRPr="00727D28">
              <w:t>consult with regulatory authorities to determine the scope of compliance require</w:t>
            </w:r>
            <w:r w:rsidRPr="00727D28">
              <w:t>ments.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ListBullet"/>
              <w:rPr>
                <w:lang w:val="en-NZ"/>
              </w:rPr>
            </w:pPr>
            <w:r w:rsidRPr="00727D28">
              <w:t>evaluate areas of business operation and determine scope of compliance.</w:t>
            </w:r>
          </w:p>
        </w:tc>
      </w:tr>
      <w:tr w:rsidTr="00202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D28">
            <w:pPr>
              <w:pStyle w:val="BodyText"/>
              <w:rPr>
                <w:lang w:val="en-NZ"/>
              </w:rPr>
            </w:pPr>
            <w:r w:rsidRPr="00727D2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D28" w:rsidP="00727D28">
            <w:pPr>
              <w:pStyle w:val="ListBullet"/>
            </w:pPr>
            <w:r w:rsidRPr="00727D28">
              <w:t>research, establish and regularly monitor all components of a business compliance system.</w:t>
            </w:r>
          </w:p>
        </w:tc>
      </w:tr>
    </w:tbl>
    <w:p w:rsidR="00000000" w:rsidRPr="00727D28" w:rsidP="00727D28">
      <w:pPr>
        <w:pStyle w:val="BodyText"/>
      </w:pPr>
    </w:p>
    <w:p w:rsidR="00000000" w:rsidRPr="00727D28" w:rsidP="00727D28">
      <w:pPr>
        <w:pStyle w:val="AllowPageBreak"/>
      </w:pPr>
    </w:p>
    <w:p w:rsidR="00000000" w:rsidRPr="00727D28" w:rsidP="00727D28">
      <w:pPr>
        <w:pStyle w:val="Heading1"/>
      </w:pPr>
      <w:bookmarkStart w:id="8" w:name="O_767659"/>
      <w:bookmarkEnd w:id="8"/>
      <w:r w:rsidRPr="00727D28">
        <w:t>Unit Mapping Information</w:t>
      </w:r>
    </w:p>
    <w:p w:rsidR="00000000" w:rsidRPr="00727D28" w:rsidP="00202DBD">
      <w:pPr>
        <w:pStyle w:val="BodyText"/>
      </w:pPr>
      <w:r w:rsidRPr="00727D28">
        <w:t>SITXGLC501 Research and comply with regulatory requirements</w:t>
      </w:r>
    </w:p>
    <w:p w:rsidR="00000000" w:rsidRPr="00727D28" w:rsidP="00727D28">
      <w:pPr>
        <w:pStyle w:val="Heading1"/>
      </w:pPr>
      <w:bookmarkStart w:id="9" w:name="O_767666"/>
      <w:bookmarkEnd w:id="9"/>
      <w:r w:rsidRPr="00727D28">
        <w:t>Links</w:t>
      </w:r>
    </w:p>
    <w:p w:rsidR="00000000" w:rsidRPr="00727D28" w:rsidP="00202DBD">
      <w:pPr>
        <w:pStyle w:val="BodyText"/>
      </w:pPr>
      <w:r w:rsidRPr="00727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016F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27D28" w:rsidP="00727D28"/>
    <w:sectPr w:rsidSect="00727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28" w:rsidRPr="00202DBD" w:rsidP="00202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BD" w:rsidP="00727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DBD" w:rsidP="00727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2DBD" w:rsidP="00727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D28" w:rsidRPr="00202DBD" w:rsidP="00202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BD" w:rsidRPr="002D2AF8" w:rsidP="00727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SITXGLC001 Research and comply with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02DBD" w:rsidP="00727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B45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B68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D28"/>
  </w:style>
  <w:style w:type="character" w:customStyle="1" w:styleId="Heading1Char">
    <w:name w:val="Heading 1 Char"/>
    <w:basedOn w:val="DefaultParagraphFont"/>
    <w:link w:val="Heading1"/>
    <w:rsid w:val="00727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D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7D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D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D28"/>
    <w:rPr>
      <w:b/>
      <w:spacing w:val="0"/>
    </w:rPr>
  </w:style>
  <w:style w:type="paragraph" w:customStyle="1" w:styleId="SuperHeading">
    <w:name w:val="SuperHeading"/>
    <w:basedOn w:val="Normal"/>
    <w:rsid w:val="00727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D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7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D28"/>
    <w:rPr>
      <w:i/>
    </w:rPr>
  </w:style>
  <w:style w:type="paragraph" w:styleId="Caption">
    <w:name w:val="caption"/>
    <w:basedOn w:val="BodyText"/>
    <w:next w:val="Normal"/>
    <w:qFormat/>
    <w:rsid w:val="00727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D28"/>
  </w:style>
  <w:style w:type="paragraph" w:styleId="TableofFigures">
    <w:name w:val="table of figures"/>
    <w:basedOn w:val="Normal"/>
    <w:next w:val="Normal"/>
    <w:semiHidden/>
    <w:rsid w:val="00727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D28"/>
    <w:rPr>
      <w:rFonts w:ascii="Wingdings" w:hAnsi="Wingdings"/>
    </w:rPr>
  </w:style>
  <w:style w:type="paragraph" w:customStyle="1" w:styleId="TableHeading">
    <w:name w:val="Table Heading"/>
    <w:basedOn w:val="HeadingBase"/>
    <w:rsid w:val="00727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D28"/>
    <w:rPr>
      <w:color w:val="0033CC"/>
      <w:u w:val="none"/>
    </w:rPr>
  </w:style>
  <w:style w:type="paragraph" w:customStyle="1" w:styleId="BodyTextRight">
    <w:name w:val="Body Text Right"/>
    <w:basedOn w:val="BodyText"/>
    <w:rsid w:val="00727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D28"/>
    <w:rPr>
      <w:sz w:val="32"/>
    </w:rPr>
  </w:style>
  <w:style w:type="paragraph" w:customStyle="1" w:styleId="HeadingProcedure">
    <w:name w:val="Heading Procedure"/>
    <w:basedOn w:val="HeadingBase"/>
    <w:next w:val="Normal"/>
    <w:rsid w:val="00727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D28"/>
    <w:pPr>
      <w:spacing w:before="60" w:after="60"/>
    </w:pPr>
  </w:style>
  <w:style w:type="paragraph" w:styleId="ListContinue">
    <w:name w:val="List Continue"/>
    <w:basedOn w:val="List"/>
    <w:rsid w:val="00727D28"/>
    <w:pPr>
      <w:ind w:firstLine="0"/>
    </w:pPr>
  </w:style>
  <w:style w:type="paragraph" w:customStyle="1" w:styleId="ListNote">
    <w:name w:val="List Note"/>
    <w:basedOn w:val="List"/>
    <w:rsid w:val="00727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D28"/>
    <w:rPr>
      <w:rFonts w:ascii="Courier New" w:hAnsi="Courier New"/>
    </w:rPr>
  </w:style>
  <w:style w:type="paragraph" w:customStyle="1" w:styleId="NoteBullet">
    <w:name w:val="Note Bullet"/>
    <w:basedOn w:val="Note"/>
    <w:rsid w:val="00727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D28"/>
    <w:rPr>
      <w:b/>
      <w:smallCaps/>
    </w:rPr>
  </w:style>
  <w:style w:type="paragraph" w:customStyle="1" w:styleId="TableListNumber">
    <w:name w:val="Table List Number"/>
    <w:basedOn w:val="ListNumber"/>
    <w:rsid w:val="00727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D28"/>
    <w:pPr>
      <w:numPr>
        <w:numId w:val="8"/>
      </w:numPr>
    </w:pPr>
  </w:style>
  <w:style w:type="paragraph" w:customStyle="1" w:styleId="ListAlpha2">
    <w:name w:val="List Alpha 2"/>
    <w:basedOn w:val="List2"/>
    <w:rsid w:val="00727D28"/>
    <w:pPr>
      <w:numPr>
        <w:numId w:val="7"/>
      </w:numPr>
    </w:pPr>
  </w:style>
  <w:style w:type="paragraph" w:styleId="List2">
    <w:name w:val="List 2"/>
    <w:basedOn w:val="BodyText"/>
    <w:rsid w:val="00727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D28"/>
    <w:pPr>
      <w:numPr>
        <w:numId w:val="3"/>
      </w:numPr>
    </w:pPr>
  </w:style>
  <w:style w:type="paragraph" w:styleId="ListContinue2">
    <w:name w:val="List Continue 2"/>
    <w:basedOn w:val="List2"/>
    <w:rsid w:val="00727D28"/>
    <w:pPr>
      <w:ind w:firstLine="0"/>
    </w:pPr>
  </w:style>
  <w:style w:type="paragraph" w:styleId="ListContinue3">
    <w:name w:val="List Continue 3"/>
    <w:basedOn w:val="List3"/>
    <w:rsid w:val="00727D28"/>
    <w:pPr>
      <w:ind w:left="1021" w:firstLine="0"/>
    </w:pPr>
  </w:style>
  <w:style w:type="paragraph" w:styleId="ListContinue4">
    <w:name w:val="List Continue 4"/>
    <w:basedOn w:val="List4"/>
    <w:rsid w:val="00727D28"/>
    <w:pPr>
      <w:ind w:firstLine="0"/>
    </w:pPr>
  </w:style>
  <w:style w:type="paragraph" w:styleId="ListContinue5">
    <w:name w:val="List Continue 5"/>
    <w:basedOn w:val="List5"/>
    <w:rsid w:val="00727D28"/>
    <w:pPr>
      <w:ind w:firstLine="0"/>
    </w:pPr>
  </w:style>
  <w:style w:type="paragraph" w:styleId="ListNumber3">
    <w:name w:val="List Number 3"/>
    <w:basedOn w:val="List3"/>
    <w:rsid w:val="00727D28"/>
    <w:pPr>
      <w:numPr>
        <w:numId w:val="4"/>
      </w:numPr>
    </w:pPr>
  </w:style>
  <w:style w:type="paragraph" w:styleId="ListNumber4">
    <w:name w:val="List Number 4"/>
    <w:basedOn w:val="List4"/>
    <w:rsid w:val="00727D28"/>
    <w:pPr>
      <w:numPr>
        <w:numId w:val="5"/>
      </w:numPr>
    </w:pPr>
  </w:style>
  <w:style w:type="paragraph" w:styleId="ListNumber5">
    <w:name w:val="List Number 5"/>
    <w:basedOn w:val="List5"/>
    <w:rsid w:val="00727D28"/>
    <w:pPr>
      <w:numPr>
        <w:numId w:val="6"/>
      </w:numPr>
    </w:pPr>
  </w:style>
  <w:style w:type="paragraph" w:styleId="BlockText">
    <w:name w:val="Block Text"/>
    <w:basedOn w:val="Normal"/>
    <w:rsid w:val="00727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D28"/>
    <w:rPr>
      <w:sz w:val="16"/>
      <w:vertAlign w:val="superscript"/>
    </w:rPr>
  </w:style>
  <w:style w:type="character" w:customStyle="1" w:styleId="Symbols">
    <w:name w:val="Symbols"/>
    <w:basedOn w:val="DefaultParagraphFont"/>
    <w:rsid w:val="00727D28"/>
    <w:rPr>
      <w:rFonts w:ascii="Symbol" w:hAnsi="Symbol"/>
    </w:rPr>
  </w:style>
  <w:style w:type="character" w:customStyle="1" w:styleId="MenuOptions">
    <w:name w:val="Menu Options"/>
    <w:basedOn w:val="DefaultParagraphFont"/>
    <w:rsid w:val="00727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D28"/>
    <w:rPr>
      <w:b/>
    </w:rPr>
  </w:style>
  <w:style w:type="character" w:customStyle="1" w:styleId="Underlined">
    <w:name w:val="Underlined"/>
    <w:basedOn w:val="DefaultParagraphFont"/>
    <w:rsid w:val="00727D28"/>
    <w:rPr>
      <w:u w:val="single"/>
    </w:rPr>
  </w:style>
  <w:style w:type="paragraph" w:customStyle="1" w:styleId="TableBodyTextRight">
    <w:name w:val="Table Body Text Right"/>
    <w:basedOn w:val="TableBodyText"/>
    <w:rsid w:val="00727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D28"/>
    <w:rPr>
      <w:sz w:val="18"/>
    </w:rPr>
  </w:style>
  <w:style w:type="paragraph" w:customStyle="1" w:styleId="BodySmallRight">
    <w:name w:val="Body Small Right"/>
    <w:basedOn w:val="BodyTextRight"/>
    <w:rsid w:val="00727D28"/>
    <w:rPr>
      <w:sz w:val="18"/>
      <w:szCs w:val="18"/>
    </w:rPr>
  </w:style>
  <w:style w:type="paragraph" w:customStyle="1" w:styleId="MarginEdition">
    <w:name w:val="Margin Edition"/>
    <w:basedOn w:val="MarginNote"/>
    <w:rsid w:val="00727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D28"/>
    <w:rPr>
      <w:sz w:val="2"/>
      <w:szCs w:val="2"/>
    </w:rPr>
  </w:style>
  <w:style w:type="character" w:customStyle="1" w:styleId="Small">
    <w:name w:val="Small"/>
    <w:basedOn w:val="DefaultParagraphFont"/>
    <w:rsid w:val="00727D28"/>
    <w:rPr>
      <w:sz w:val="16"/>
    </w:rPr>
  </w:style>
  <w:style w:type="paragraph" w:customStyle="1" w:styleId="WideTable">
    <w:name w:val="Wide Table"/>
    <w:basedOn w:val="Normal"/>
    <w:rsid w:val="00727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D28"/>
  </w:style>
  <w:style w:type="paragraph" w:styleId="Quote">
    <w:name w:val="Quote"/>
    <w:basedOn w:val="Heading1"/>
    <w:link w:val="QuoteChar"/>
    <w:qFormat/>
    <w:rsid w:val="00727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D28"/>
    <w:pPr>
      <w:pageBreakBefore/>
    </w:pPr>
  </w:style>
  <w:style w:type="paragraph" w:customStyle="1" w:styleId="Border">
    <w:name w:val="Border"/>
    <w:basedOn w:val="Normal"/>
    <w:qFormat/>
    <w:rsid w:val="00727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D28"/>
    <w:rPr>
      <w:u w:val="single"/>
    </w:rPr>
  </w:style>
  <w:style w:type="character" w:customStyle="1" w:styleId="BoldandItalics">
    <w:name w:val="Bold and Italics"/>
    <w:qFormat/>
    <w:rsid w:val="00727D28"/>
    <w:rPr>
      <w:b/>
      <w:i/>
      <w:u w:val="none"/>
    </w:rPr>
  </w:style>
  <w:style w:type="paragraph" w:styleId="BalloonText">
    <w:name w:val="Balloon Text"/>
    <w:basedOn w:val="Normal"/>
    <w:link w:val="BalloonTextChar"/>
    <w:rsid w:val="00727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D28"/>
    <w:pPr>
      <w:spacing w:before="0" w:after="0"/>
    </w:pPr>
  </w:style>
  <w:style w:type="paragraph" w:customStyle="1" w:styleId="BodyTextBold">
    <w:name w:val="Body Text Bold"/>
    <w:basedOn w:val="BodyText"/>
    <w:qFormat/>
    <w:rsid w:val="00727D28"/>
    <w:rPr>
      <w:b/>
    </w:rPr>
  </w:style>
  <w:style w:type="character" w:styleId="Hyperlink">
    <w:name w:val="Hyperlink"/>
    <w:basedOn w:val="DefaultParagraphFont"/>
    <w:uiPriority w:val="99"/>
    <w:unhideWhenUsed/>
    <w:rsid w:val="00202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3830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SITXGLC001 Research and comply with regulatory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