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098" w:rsidP="009B4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SITXGLC001 Research and comply with regulatory requirements</w:t>
      </w:r>
      <w:r>
        <w:fldChar w:fldCharType="end"/>
      </w:r>
    </w:p>
    <w:p w:rsidR="009B4098" w:rsidP="009B4098">
      <w:pPr>
        <w:pStyle w:val="Version"/>
        <w:sectPr w:rsidSect="00A36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8D9" w:rsidP="00A368D9">
      <w:pPr>
        <w:pStyle w:val="SuperHeading"/>
      </w:pPr>
      <w:r w:rsidRPr="00A368D9">
        <w:t>SITXGLC001 Research and comply with regulatory requirements</w:t>
      </w:r>
    </w:p>
    <w:p w:rsidR="00000000" w:rsidRPr="00A368D9" w:rsidP="00A368D9">
      <w:pPr>
        <w:pStyle w:val="Heading1"/>
      </w:pPr>
      <w:bookmarkStart w:id="1" w:name="O_767651"/>
      <w:bookmarkEnd w:id="1"/>
      <w:r w:rsidRPr="00A368D9">
        <w:t>Modification History</w:t>
      </w:r>
    </w:p>
    <w:p w:rsidR="00000000" w:rsidRPr="00A368D9" w:rsidP="009B4098">
      <w:pPr>
        <w:pStyle w:val="BodyText"/>
      </w:pPr>
      <w:r w:rsidRPr="00A368D9">
        <w:t>Not applicable.</w:t>
      </w:r>
    </w:p>
    <w:p w:rsidR="00000000" w:rsidRPr="00A368D9" w:rsidP="00A368D9">
      <w:pPr>
        <w:pStyle w:val="Heading1"/>
      </w:pPr>
      <w:bookmarkStart w:id="2" w:name="O_767652"/>
      <w:bookmarkEnd w:id="2"/>
      <w:r w:rsidRPr="00A368D9">
        <w:t>Application</w:t>
      </w:r>
    </w:p>
    <w:p w:rsidR="00000000" w:rsidRPr="00A368D9" w:rsidP="009B4098">
      <w:pPr>
        <w:pStyle w:val="BodyText"/>
      </w:pPr>
      <w:r w:rsidRPr="00A368D9">
        <w:t>This unit describes the performance outcomes, skills and knowledge required to comply with laws and licensing requirements for specific business operations. It requires the a</w:t>
      </w:r>
      <w:r w:rsidRPr="00A368D9">
        <w:t xml:space="preserve">bility to access and interpret regulatory information, determine scope of compliance, and develop, implement and continuously review and update policies and practices for business compliance. </w:t>
      </w:r>
    </w:p>
    <w:p w:rsidR="00000000" w:rsidRPr="00A368D9" w:rsidP="009B4098">
      <w:pPr>
        <w:pStyle w:val="BodyText"/>
      </w:pPr>
      <w:r w:rsidRPr="00A368D9">
        <w:t>The unit applies to regulatory requirements for day-to-day bus</w:t>
      </w:r>
      <w:r w:rsidRPr="00A368D9">
        <w:t>iness operations in all tourism, travel, hospitality and event sectors and to special requirements for one-off events.</w:t>
      </w:r>
    </w:p>
    <w:p w:rsidR="00000000" w:rsidRPr="00A368D9" w:rsidP="009B4098">
      <w:pPr>
        <w:pStyle w:val="BodyText"/>
      </w:pPr>
      <w:r w:rsidRPr="00A368D9">
        <w:t>It applies to senior personnel who operate independently or with limited guidance from others and who are responsible for making a range</w:t>
      </w:r>
      <w:r w:rsidRPr="00A368D9">
        <w:t xml:space="preserve"> of operational business and regulatory compliance decisions.</w:t>
      </w:r>
    </w:p>
    <w:p w:rsidR="00000000" w:rsidRPr="00A368D9" w:rsidP="009B4098">
      <w:pPr>
        <w:pStyle w:val="BodyText"/>
      </w:pPr>
      <w:r w:rsidRPr="00A368D9">
        <w:t>No occupational licensing, certification or specific legislative requirements apply to this unit at the time of publication.</w:t>
      </w:r>
    </w:p>
    <w:p w:rsidR="00000000" w:rsidRPr="00A368D9" w:rsidP="00A368D9">
      <w:pPr>
        <w:pStyle w:val="Heading1"/>
      </w:pPr>
      <w:bookmarkStart w:id="3" w:name="O_767653"/>
      <w:bookmarkEnd w:id="3"/>
      <w:r w:rsidRPr="00A368D9">
        <w:t>Pre-requisite Unit</w:t>
      </w:r>
    </w:p>
    <w:p w:rsidR="00000000" w:rsidRPr="00A368D9" w:rsidP="009B4098">
      <w:pPr>
        <w:pStyle w:val="BodyText"/>
      </w:pPr>
      <w:r w:rsidRPr="00A368D9">
        <w:t>Nil</w:t>
      </w:r>
    </w:p>
    <w:p w:rsidR="00000000" w:rsidRPr="00A368D9" w:rsidP="00A368D9">
      <w:pPr>
        <w:pStyle w:val="Heading1"/>
      </w:pPr>
      <w:bookmarkStart w:id="4" w:name="O_767654"/>
      <w:bookmarkEnd w:id="4"/>
      <w:r w:rsidRPr="00A368D9">
        <w:t xml:space="preserve">Competency </w:t>
      </w:r>
      <w:r w:rsidRPr="00A368D9">
        <w:t>Field</w:t>
      </w:r>
    </w:p>
    <w:p w:rsidR="00000000" w:rsidRPr="00A368D9" w:rsidP="009B4098">
      <w:pPr>
        <w:pStyle w:val="BodyText"/>
      </w:pPr>
      <w:r w:rsidRPr="00A368D9">
        <w:t xml:space="preserve">Governance and Legal Compliance </w:t>
      </w:r>
    </w:p>
    <w:p w:rsidR="00000000" w:rsidRPr="00A368D9" w:rsidP="00A368D9">
      <w:pPr>
        <w:pStyle w:val="Heading1"/>
      </w:pPr>
      <w:bookmarkStart w:id="5" w:name="O_767655"/>
      <w:bookmarkEnd w:id="5"/>
      <w:r w:rsidRPr="00A368D9">
        <w:t>Unit Sector</w:t>
      </w:r>
    </w:p>
    <w:p w:rsidR="00000000" w:rsidRPr="00A368D9" w:rsidP="009B4098">
      <w:pPr>
        <w:pStyle w:val="BodyText"/>
      </w:pPr>
      <w:r w:rsidRPr="00A368D9">
        <w:t>Cross-Sector</w:t>
      </w:r>
    </w:p>
    <w:p w:rsidR="00000000" w:rsidRPr="00A368D9" w:rsidP="00A368D9">
      <w:pPr>
        <w:pStyle w:val="Heading1"/>
      </w:pPr>
      <w:bookmarkStart w:id="6" w:name="O_767656"/>
      <w:bookmarkEnd w:id="6"/>
      <w:r w:rsidRPr="00A368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BodyText"/>
            </w:pPr>
            <w:r w:rsidRPr="00A368D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rPr>
                <w:rStyle w:val="SpecialBold"/>
              </w:rPr>
              <w:t>PERFORMANCE CRITERIA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 xml:space="preserve">Elements describe the essential </w:t>
            </w:r>
            <w:r w:rsidRPr="00A368D9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 xml:space="preserve">Performance criteria describe the performance needed to </w:t>
            </w:r>
            <w:r w:rsidRPr="00A368D9">
              <w:t>demonstrate achievement of the element.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List"/>
              <w:rPr>
                <w:lang w:val="en-NZ"/>
              </w:rPr>
            </w:pPr>
            <w:r w:rsidRPr="00A368D9">
              <w:t>1.</w:t>
            </w:r>
            <w:r w:rsidRPr="00A368D9">
              <w:tab/>
              <w:t>Research information required for legal compliance.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"/>
            </w:pPr>
            <w:r w:rsidRPr="00A368D9">
              <w:t>1.1.Identify sources of information for compliance with laws and licensing for business operations.</w:t>
            </w:r>
          </w:p>
          <w:p w:rsidR="00000000" w:rsidRPr="00A368D9" w:rsidP="00A368D9">
            <w:pPr>
              <w:pStyle w:val="List"/>
            </w:pPr>
            <w:r w:rsidRPr="00A368D9">
              <w:t>1.2.</w:t>
            </w:r>
            <w:r w:rsidRPr="00A368D9">
              <w:t>Evaluate areas of business operation and determine scope of compliance requirements.</w:t>
            </w:r>
          </w:p>
          <w:p w:rsidR="00000000" w:rsidRPr="00A368D9" w:rsidP="00A368D9">
            <w:pPr>
              <w:pStyle w:val="List"/>
            </w:pPr>
            <w:r w:rsidRPr="00A368D9">
              <w:t>1.3.Access regulatory information relevant to specific business operation.</w:t>
            </w:r>
          </w:p>
          <w:p w:rsidR="00000000" w:rsidRPr="00A368D9" w:rsidP="00A368D9">
            <w:pPr>
              <w:pStyle w:val="List"/>
            </w:pPr>
            <w:r w:rsidRPr="00A368D9">
              <w:t>1.4.Identify risks, penalties and consequences of non-compliance.</w:t>
            </w:r>
          </w:p>
          <w:p w:rsidR="00000000" w:rsidP="00A368D9">
            <w:pPr>
              <w:pStyle w:val="List"/>
              <w:rPr>
                <w:lang w:val="en-NZ"/>
              </w:rPr>
            </w:pPr>
            <w:r w:rsidRPr="00A368D9">
              <w:t>1.5.Assess and act on need for</w:t>
            </w:r>
            <w:r w:rsidRPr="00A368D9">
              <w:t xml:space="preserve"> specialist legal advice.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List"/>
              <w:rPr>
                <w:lang w:val="en-NZ"/>
              </w:rPr>
            </w:pPr>
            <w:r w:rsidRPr="00A368D9">
              <w:t>2.</w:t>
            </w:r>
            <w:r w:rsidRPr="00A368D9">
              <w:tab/>
              <w:t>Develop and communicate policies and procedures for legal compliance.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"/>
            </w:pPr>
            <w:r w:rsidRPr="00A368D9">
              <w:t>2.1.Develop and clearly articulate regulatory policies and procedures in a format readily accessible to all personnel.</w:t>
            </w:r>
          </w:p>
          <w:p w:rsidR="00000000" w:rsidRPr="00A368D9" w:rsidP="00A368D9">
            <w:pPr>
              <w:pStyle w:val="List"/>
            </w:pPr>
            <w:r w:rsidRPr="00A368D9">
              <w:t>2.2.Nominate the roles and responsibi</w:t>
            </w:r>
            <w:r w:rsidRPr="00A368D9">
              <w:t>lities of personnel for regulatory compliance in policies and procedures.</w:t>
            </w:r>
          </w:p>
          <w:p w:rsidR="00000000" w:rsidRPr="00A368D9" w:rsidP="00A368D9">
            <w:pPr>
              <w:pStyle w:val="List"/>
            </w:pPr>
            <w:r w:rsidRPr="00A368D9">
              <w:t>2.3.Distribute policies, procedures and legal information to personnel at appropriate times.</w:t>
            </w:r>
          </w:p>
          <w:p w:rsidR="00000000" w:rsidP="00A368D9">
            <w:pPr>
              <w:pStyle w:val="List"/>
              <w:rPr>
                <w:lang w:val="en-NZ"/>
              </w:rPr>
            </w:pPr>
            <w:r w:rsidRPr="00A368D9">
              <w:t>2.4.Organise information updates for personnel to ensure their knowledge of roles and res</w:t>
            </w:r>
            <w:r w:rsidRPr="00A368D9">
              <w:t>ponsibilities for legal compliance.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List"/>
              <w:rPr>
                <w:lang w:val="en-NZ"/>
              </w:rPr>
            </w:pPr>
            <w:r w:rsidRPr="00A368D9">
              <w:t>3.</w:t>
            </w:r>
            <w:r w:rsidRPr="00A368D9">
              <w:tab/>
              <w:t>Ensure compliance with legal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"/>
            </w:pPr>
            <w:r w:rsidRPr="00A368D9">
              <w:t>3.1.Communicate with regulatory authorities when planning business operations and submit required documentation.</w:t>
            </w:r>
          </w:p>
          <w:p w:rsidR="00000000" w:rsidRPr="00A368D9" w:rsidP="00A368D9">
            <w:pPr>
              <w:pStyle w:val="List"/>
            </w:pPr>
            <w:r w:rsidRPr="00A368D9">
              <w:t>3.2.Maintain business and occupational licences and check co</w:t>
            </w:r>
            <w:r w:rsidRPr="00A368D9">
              <w:t>ntractor compliance to avoid risk to business.</w:t>
            </w:r>
          </w:p>
          <w:p w:rsidR="00000000" w:rsidP="00A368D9">
            <w:pPr>
              <w:pStyle w:val="List"/>
              <w:rPr>
                <w:lang w:val="en-NZ"/>
              </w:rPr>
            </w:pPr>
            <w:r w:rsidRPr="00A368D9">
              <w:t>3.3.Continuously evaluate business operations for non-compliance and implement modifications.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List"/>
              <w:rPr>
                <w:lang w:val="en-NZ"/>
              </w:rPr>
            </w:pPr>
            <w:r w:rsidRPr="00A368D9">
              <w:t>4.</w:t>
            </w:r>
            <w:r w:rsidRPr="00A368D9">
              <w:tab/>
              <w:t>Maintain personal and organisational knowledge of regulatory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"/>
            </w:pPr>
            <w:r w:rsidRPr="00A368D9">
              <w:t>4.1.Identify and use a range of opportunities to maintain knowledge of current regulatory requirements.</w:t>
            </w:r>
          </w:p>
          <w:p w:rsidR="00000000" w:rsidRPr="00A368D9" w:rsidP="00A368D9">
            <w:pPr>
              <w:pStyle w:val="List"/>
            </w:pPr>
            <w:r w:rsidRPr="00A368D9">
              <w:t>4.2.Use organisational communication methods to share updated regulatory knowledge.</w:t>
            </w:r>
          </w:p>
          <w:p w:rsidR="00000000" w:rsidRPr="00A368D9" w:rsidP="00A368D9">
            <w:pPr>
              <w:pStyle w:val="List"/>
            </w:pPr>
            <w:r w:rsidRPr="00A368D9">
              <w:t>4.3.Continuously review and distribute plans, policies and procedure</w:t>
            </w:r>
            <w:r w:rsidRPr="00A368D9">
              <w:t>s for compliance with current laws and licensing requirements.</w:t>
            </w:r>
          </w:p>
        </w:tc>
      </w:tr>
    </w:tbl>
    <w:p w:rsidR="00000000" w:rsidRPr="00A368D9" w:rsidP="00A368D9">
      <w:pPr>
        <w:pStyle w:val="BodyText"/>
      </w:pPr>
    </w:p>
    <w:p w:rsidR="00000000" w:rsidRPr="00A368D9" w:rsidP="00A368D9">
      <w:pPr>
        <w:pStyle w:val="AllowPageBreak"/>
      </w:pPr>
    </w:p>
    <w:p w:rsidR="00000000" w:rsidRPr="00A368D9" w:rsidP="00A368D9">
      <w:pPr>
        <w:pStyle w:val="Heading1"/>
      </w:pPr>
      <w:bookmarkStart w:id="7" w:name="O_767657"/>
      <w:bookmarkEnd w:id="7"/>
      <w:r w:rsidRPr="00A368D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>Foundation skills essential to performance in this unit, but not explicit in the performance criteria are listed here, along with a brief context statement.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BodyText"/>
            </w:pPr>
            <w:r w:rsidRPr="00A368D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rPr>
                <w:rStyle w:val="SpecialBold"/>
              </w:rPr>
              <w:t>DESCRIPTION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Bullet"/>
            </w:pPr>
            <w:r w:rsidRPr="00A368D9">
              <w:t>interpret unfamiliar and complex materials describing regulatory requirements</w:t>
            </w:r>
          </w:p>
          <w:p w:rsidR="00000000" w:rsidP="00A368D9">
            <w:pPr>
              <w:pStyle w:val="ListBullet"/>
              <w:rPr>
                <w:lang w:val="en-NZ"/>
              </w:rPr>
            </w:pPr>
            <w:r w:rsidRPr="00A368D9">
              <w:t xml:space="preserve">research regulatory requirements specifically applicable to </w:t>
            </w:r>
            <w:r w:rsidRPr="00A368D9">
              <w:t>the business operation.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Bullet"/>
            </w:pPr>
            <w:r w:rsidRPr="00A368D9">
              <w:t>write comprehensive yet easily accessible regulatory policies and procedures</w:t>
            </w:r>
          </w:p>
          <w:p w:rsidR="00000000" w:rsidP="00A368D9">
            <w:pPr>
              <w:pStyle w:val="ListBullet"/>
              <w:rPr>
                <w:lang w:val="en-NZ"/>
              </w:rPr>
            </w:pPr>
            <w:r w:rsidRPr="00A368D9">
              <w:t>complete complex documentation required by regulatory authorities.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ListBullet"/>
              <w:rPr>
                <w:lang w:val="en-NZ"/>
              </w:rPr>
            </w:pPr>
            <w:r w:rsidRPr="00A368D9">
              <w:t>consult with regulatory authorities to determine the scope of compliance require</w:t>
            </w:r>
            <w:r w:rsidRPr="00A368D9">
              <w:t>ments.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ListBullet"/>
              <w:rPr>
                <w:lang w:val="en-NZ"/>
              </w:rPr>
            </w:pPr>
            <w:r w:rsidRPr="00A368D9">
              <w:t>evaluate areas of business operation and determine scope of compliance.</w:t>
            </w:r>
          </w:p>
        </w:tc>
      </w:tr>
      <w:tr w:rsidTr="009B40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8D9">
            <w:pPr>
              <w:pStyle w:val="BodyText"/>
              <w:rPr>
                <w:lang w:val="en-NZ"/>
              </w:rPr>
            </w:pPr>
            <w:r w:rsidRPr="00A368D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8D9" w:rsidP="00A368D9">
            <w:pPr>
              <w:pStyle w:val="ListBullet"/>
            </w:pPr>
            <w:r w:rsidRPr="00A368D9">
              <w:t>research, establish and regularly monitor all components of a business compliance system.</w:t>
            </w:r>
          </w:p>
        </w:tc>
      </w:tr>
    </w:tbl>
    <w:p w:rsidR="00000000" w:rsidRPr="00A368D9" w:rsidP="00A368D9">
      <w:pPr>
        <w:pStyle w:val="BodyText"/>
      </w:pPr>
    </w:p>
    <w:p w:rsidR="00000000" w:rsidRPr="00A368D9" w:rsidP="00A368D9">
      <w:pPr>
        <w:pStyle w:val="AllowPageBreak"/>
      </w:pPr>
    </w:p>
    <w:p w:rsidR="00000000" w:rsidRPr="00A368D9" w:rsidP="00A368D9">
      <w:pPr>
        <w:pStyle w:val="Heading1"/>
      </w:pPr>
      <w:bookmarkStart w:id="8" w:name="O_767659"/>
      <w:bookmarkEnd w:id="8"/>
      <w:r w:rsidRPr="00A368D9">
        <w:t>Unit Mapping Information</w:t>
      </w:r>
    </w:p>
    <w:p w:rsidR="00000000" w:rsidRPr="00A368D9" w:rsidP="009B4098">
      <w:pPr>
        <w:pStyle w:val="BodyText"/>
      </w:pPr>
      <w:r w:rsidRPr="00A368D9">
        <w:t>SITXGLC501 Research and comply with regulatory requirements</w:t>
      </w:r>
    </w:p>
    <w:p w:rsidR="00000000" w:rsidRPr="00A368D9" w:rsidP="00A368D9">
      <w:pPr>
        <w:pStyle w:val="Heading1"/>
      </w:pPr>
      <w:bookmarkStart w:id="9" w:name="O_767666"/>
      <w:bookmarkEnd w:id="9"/>
      <w:r w:rsidRPr="00A368D9">
        <w:t>Links</w:t>
      </w:r>
    </w:p>
    <w:p w:rsidR="00000000" w:rsidRPr="00A368D9" w:rsidP="009B4098">
      <w:pPr>
        <w:pStyle w:val="BodyText"/>
      </w:pPr>
      <w:r w:rsidRPr="00A36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2F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68D9" w:rsidP="009B4098">
      <w:pPr>
        <w:pStyle w:val="BodyText"/>
        <w:sectPr w:rsidSect="00A368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68D9" w:rsidP="00A368D9">
      <w:pPr>
        <w:pStyle w:val="SuperHeading"/>
      </w:pPr>
      <w:r w:rsidRPr="00A368D9">
        <w:t>Assessment Requirements for SITXGLC001 Research and comply with regulatory requirements</w:t>
      </w:r>
    </w:p>
    <w:p w:rsidR="00000000" w:rsidRPr="00A368D9" w:rsidP="00A368D9">
      <w:pPr>
        <w:pStyle w:val="Heading1"/>
      </w:pPr>
      <w:bookmarkStart w:id="10" w:name="O_767661"/>
      <w:bookmarkEnd w:id="10"/>
      <w:r w:rsidRPr="00A368D9">
        <w:t>Modification History</w:t>
      </w:r>
    </w:p>
    <w:p w:rsidR="00000000" w:rsidRPr="00A368D9" w:rsidP="009B4098">
      <w:pPr>
        <w:pStyle w:val="BodyText"/>
      </w:pPr>
      <w:r w:rsidRPr="00A368D9">
        <w:t>Not applicable.</w:t>
      </w:r>
    </w:p>
    <w:p w:rsidR="00000000" w:rsidRPr="00A368D9" w:rsidP="00A368D9">
      <w:pPr>
        <w:pStyle w:val="Heading1"/>
      </w:pPr>
      <w:bookmarkStart w:id="11" w:name="O_767662"/>
      <w:bookmarkEnd w:id="11"/>
      <w:r w:rsidRPr="00A368D9">
        <w:t>Performance Evidence</w:t>
      </w:r>
    </w:p>
    <w:p w:rsidR="00000000" w:rsidRPr="00A368D9" w:rsidP="009B4098">
      <w:pPr>
        <w:pStyle w:val="BodyText"/>
      </w:pPr>
      <w:r w:rsidRPr="00A368D9">
        <w:t>Evidence of the ability to comp</w:t>
      </w:r>
      <w:r w:rsidRPr="00A368D9">
        <w:t>lete tasks outlined in elements and performance criteria of this unit in the context of the job role, and:</w:t>
      </w:r>
    </w:p>
    <w:p w:rsidR="00000000" w:rsidRPr="00A368D9" w:rsidP="00A368D9">
      <w:pPr>
        <w:pStyle w:val="ListBullet"/>
      </w:pPr>
      <w:r w:rsidRPr="00A368D9">
        <w:t>access and interpret regulatory information and determine the scope of compliance for the operations of a specific tourism, travel, hospitality or e</w:t>
      </w:r>
      <w:r w:rsidRPr="00A368D9">
        <w:t xml:space="preserve">vents business in relation to at least six different areas of compliance </w:t>
      </w:r>
    </w:p>
    <w:p w:rsidR="00000000" w:rsidRPr="00A368D9" w:rsidP="00A368D9">
      <w:pPr>
        <w:pStyle w:val="ListBullet"/>
      </w:pPr>
      <w:r w:rsidRPr="00A368D9">
        <w:t>develop policies and procedures for legal compliance with each of the above areas of compliance</w:t>
      </w:r>
    </w:p>
    <w:p w:rsidR="00000000" w:rsidRPr="00A368D9" w:rsidP="00A368D9">
      <w:pPr>
        <w:pStyle w:val="ListBullet"/>
      </w:pPr>
      <w:r w:rsidRPr="00A368D9">
        <w:t>integrate into compliance planning activities and documentation:</w:t>
      </w:r>
    </w:p>
    <w:p w:rsidR="00000000" w:rsidRPr="00A368D9" w:rsidP="00A368D9">
      <w:pPr>
        <w:pStyle w:val="ListBullet2"/>
      </w:pPr>
      <w:r w:rsidRPr="00A368D9">
        <w:t xml:space="preserve">sources of detailed </w:t>
      </w:r>
      <w:r w:rsidRPr="00A368D9">
        <w:t>information and advice on regulatory compliance</w:t>
      </w:r>
    </w:p>
    <w:p w:rsidR="00000000" w:rsidRPr="00A368D9" w:rsidP="00A368D9">
      <w:pPr>
        <w:pStyle w:val="ListBullet2"/>
      </w:pPr>
      <w:r w:rsidRPr="00A368D9">
        <w:t>objectives and primary components of a broad range of local, state, territory and commonwealth government laws relevant to the specific to the business operations</w:t>
      </w:r>
    </w:p>
    <w:p w:rsidR="00000000" w:rsidRPr="00A368D9" w:rsidP="00A368D9">
      <w:pPr>
        <w:pStyle w:val="ListBullet2"/>
      </w:pPr>
      <w:r w:rsidRPr="00A368D9">
        <w:t>use of policies and procedures in managing regulatory compliance.</w:t>
      </w:r>
    </w:p>
    <w:p w:rsidR="00000000" w:rsidRPr="00A368D9" w:rsidP="00A368D9">
      <w:pPr>
        <w:pStyle w:val="AllowPageBreak"/>
      </w:pPr>
    </w:p>
    <w:p w:rsidR="00000000" w:rsidRPr="00A368D9" w:rsidP="00A368D9">
      <w:pPr>
        <w:pStyle w:val="Heading1"/>
      </w:pPr>
      <w:bookmarkStart w:id="12" w:name="O_767663"/>
      <w:bookmarkEnd w:id="12"/>
      <w:r w:rsidRPr="00A368D9">
        <w:t>Knowledge Evidence</w:t>
      </w:r>
    </w:p>
    <w:p w:rsidR="00000000" w:rsidRPr="00A368D9" w:rsidP="009B4098">
      <w:pPr>
        <w:pStyle w:val="BodyText"/>
      </w:pPr>
      <w:r w:rsidRPr="00A368D9">
        <w:t>Demonstrated knowledge required to complete the tasks outlined in elements and performance criteria of this unit:</w:t>
      </w:r>
    </w:p>
    <w:p w:rsidR="00000000" w:rsidRPr="00A368D9" w:rsidP="00A368D9">
      <w:pPr>
        <w:pStyle w:val="ListBullet"/>
      </w:pPr>
      <w:r w:rsidRPr="00A368D9">
        <w:t xml:space="preserve">legal responsibilities and liabilities </w:t>
      </w:r>
      <w:r w:rsidRPr="00A368D9">
        <w:t>of managers and directors in varying business structures</w:t>
      </w:r>
    </w:p>
    <w:p w:rsidR="00000000" w:rsidRPr="00A368D9" w:rsidP="00A368D9">
      <w:pPr>
        <w:pStyle w:val="ListBullet"/>
      </w:pPr>
      <w:r w:rsidRPr="00A368D9">
        <w:t>sources of information and advice on regulatory compliance:</w:t>
      </w:r>
    </w:p>
    <w:p w:rsidR="00000000" w:rsidRPr="00A368D9" w:rsidP="00A368D9">
      <w:pPr>
        <w:pStyle w:val="ListBullet2"/>
      </w:pPr>
      <w:r w:rsidRPr="00A368D9">
        <w:t>local, state, territory or commonwealth government departments or regulatory agencies</w:t>
      </w:r>
    </w:p>
    <w:p w:rsidR="00000000" w:rsidRPr="00A368D9" w:rsidP="00A368D9">
      <w:pPr>
        <w:pStyle w:val="ListBullet2"/>
      </w:pPr>
      <w:r w:rsidRPr="00A368D9">
        <w:t>industry associations</w:t>
      </w:r>
    </w:p>
    <w:p w:rsidR="00000000" w:rsidRPr="00A368D9" w:rsidP="00A368D9">
      <w:pPr>
        <w:pStyle w:val="ListBullet2"/>
      </w:pPr>
      <w:r w:rsidRPr="00A368D9">
        <w:t>plain English documentation th</w:t>
      </w:r>
      <w:r w:rsidRPr="00A368D9">
        <w:t>at explains the operational requirements of legislation</w:t>
      </w:r>
    </w:p>
    <w:p w:rsidR="00000000" w:rsidRPr="00A368D9" w:rsidP="00A368D9">
      <w:pPr>
        <w:pStyle w:val="ListBullet2"/>
      </w:pPr>
      <w:r w:rsidRPr="00A368D9">
        <w:t>computer data</w:t>
      </w:r>
    </w:p>
    <w:p w:rsidR="00000000" w:rsidRPr="00A368D9" w:rsidP="00A368D9">
      <w:pPr>
        <w:pStyle w:val="ListBullet2"/>
      </w:pPr>
      <w:r w:rsidRPr="00A368D9">
        <w:t>the internet</w:t>
      </w:r>
    </w:p>
    <w:p w:rsidR="00000000" w:rsidRPr="00A368D9" w:rsidP="00A368D9">
      <w:pPr>
        <w:pStyle w:val="ListBullet2"/>
      </w:pPr>
      <w:r w:rsidRPr="00A368D9">
        <w:t>discussions with experienced industry personnel</w:t>
      </w:r>
    </w:p>
    <w:p w:rsidR="00000000" w:rsidRPr="00A368D9" w:rsidP="00A368D9">
      <w:pPr>
        <w:pStyle w:val="ListBullet2"/>
      </w:pPr>
      <w:r w:rsidRPr="00A368D9">
        <w:t>industry:</w:t>
      </w:r>
    </w:p>
    <w:p w:rsidR="00000000" w:rsidRPr="00A368D9" w:rsidP="00A368D9">
      <w:pPr>
        <w:pStyle w:val="ListBullet3"/>
      </w:pPr>
      <w:r w:rsidRPr="00A368D9">
        <w:t>accreditation operators</w:t>
      </w:r>
    </w:p>
    <w:p w:rsidR="00000000" w:rsidRPr="00A368D9" w:rsidP="00A368D9">
      <w:pPr>
        <w:pStyle w:val="ListBullet3"/>
      </w:pPr>
      <w:r w:rsidRPr="00A368D9">
        <w:t>associations and organisations</w:t>
      </w:r>
    </w:p>
    <w:p w:rsidR="00000000" w:rsidRPr="00A368D9" w:rsidP="00A368D9">
      <w:pPr>
        <w:pStyle w:val="ListBullet3"/>
      </w:pPr>
      <w:r w:rsidRPr="00A368D9">
        <w:t>developers of codes of conduct or ethics</w:t>
      </w:r>
    </w:p>
    <w:p w:rsidR="00000000" w:rsidRPr="00A368D9" w:rsidP="00A368D9">
      <w:pPr>
        <w:pStyle w:val="ListBullet3"/>
      </w:pPr>
      <w:r w:rsidRPr="00A368D9">
        <w:t>journals</w:t>
      </w:r>
    </w:p>
    <w:p w:rsidR="00000000" w:rsidRPr="00A368D9" w:rsidP="00A368D9">
      <w:pPr>
        <w:pStyle w:val="ListBullet3"/>
      </w:pPr>
      <w:r w:rsidRPr="00A368D9">
        <w:t>seminars</w:t>
      </w:r>
    </w:p>
    <w:p w:rsidR="00000000" w:rsidRPr="00A368D9" w:rsidP="00A368D9">
      <w:pPr>
        <w:pStyle w:val="ListBullet2"/>
      </w:pPr>
      <w:r w:rsidRPr="00A368D9">
        <w:t>lawyers</w:t>
      </w:r>
    </w:p>
    <w:p w:rsidR="00000000" w:rsidRPr="00A368D9" w:rsidP="00A368D9">
      <w:pPr>
        <w:pStyle w:val="ListBullet2"/>
      </w:pPr>
      <w:r w:rsidRPr="00A368D9">
        <w:t>networking with:</w:t>
      </w:r>
    </w:p>
    <w:p w:rsidR="00000000" w:rsidRPr="00A368D9" w:rsidP="00A368D9">
      <w:pPr>
        <w:pStyle w:val="ListBullet3"/>
      </w:pPr>
      <w:r w:rsidRPr="00A368D9">
        <w:t>colleagues</w:t>
      </w:r>
    </w:p>
    <w:p w:rsidR="00000000" w:rsidRPr="00A368D9" w:rsidP="00A368D9">
      <w:pPr>
        <w:pStyle w:val="ListBullet3"/>
      </w:pPr>
      <w:r w:rsidRPr="00A368D9">
        <w:t>suppliers</w:t>
      </w:r>
    </w:p>
    <w:p w:rsidR="00000000" w:rsidRPr="00A368D9" w:rsidP="00A368D9">
      <w:pPr>
        <w:pStyle w:val="ListBullet2"/>
      </w:pPr>
      <w:r w:rsidRPr="00A368D9">
        <w:t>libraries</w:t>
      </w:r>
    </w:p>
    <w:p w:rsidR="00000000" w:rsidRPr="00A368D9" w:rsidP="00A368D9">
      <w:pPr>
        <w:pStyle w:val="ListBullet2"/>
      </w:pPr>
      <w:r w:rsidRPr="00A368D9">
        <w:t>media</w:t>
      </w:r>
    </w:p>
    <w:p w:rsidR="00000000" w:rsidRPr="00A368D9" w:rsidP="00A368D9">
      <w:pPr>
        <w:pStyle w:val="ListBullet2"/>
      </w:pPr>
      <w:r w:rsidRPr="00A368D9">
        <w:t>personal observations and experience</w:t>
      </w:r>
    </w:p>
    <w:p w:rsidR="00000000" w:rsidRPr="00A368D9" w:rsidP="00A368D9">
      <w:pPr>
        <w:pStyle w:val="ListBullet2"/>
      </w:pPr>
      <w:r w:rsidRPr="00A368D9">
        <w:t>reference books</w:t>
      </w:r>
    </w:p>
    <w:p w:rsidR="00000000" w:rsidRPr="00A368D9" w:rsidP="00A368D9">
      <w:pPr>
        <w:pStyle w:val="ListBullet2"/>
      </w:pPr>
      <w:r w:rsidRPr="00A368D9">
        <w:t>training courses</w:t>
      </w:r>
    </w:p>
    <w:p w:rsidR="00000000" w:rsidRPr="00A368D9" w:rsidP="00A368D9">
      <w:pPr>
        <w:pStyle w:val="ListBullet2"/>
      </w:pPr>
      <w:r w:rsidRPr="00A368D9">
        <w:t>unions</w:t>
      </w:r>
    </w:p>
    <w:p w:rsidR="00000000" w:rsidRPr="00A368D9" w:rsidP="00A368D9">
      <w:pPr>
        <w:pStyle w:val="ListBullet"/>
      </w:pPr>
      <w:r w:rsidRPr="00A368D9">
        <w:t xml:space="preserve">functions and general operating procedures of regulatory authorities of particular relevance to the tourism, </w:t>
      </w:r>
      <w:r w:rsidRPr="00A368D9">
        <w:t>hospitality and events industries</w:t>
      </w:r>
    </w:p>
    <w:p w:rsidR="00000000" w:rsidRPr="00A368D9" w:rsidP="00A368D9">
      <w:pPr>
        <w:pStyle w:val="ListBullet"/>
      </w:pPr>
      <w:r w:rsidRPr="00A368D9">
        <w:t>methods of receiving updated information on laws and licensing requirements</w:t>
      </w:r>
    </w:p>
    <w:p w:rsidR="00000000" w:rsidRPr="00A368D9" w:rsidP="00A368D9">
      <w:pPr>
        <w:pStyle w:val="ListBullet"/>
      </w:pPr>
      <w:r w:rsidRPr="00A368D9">
        <w:t>use of policies and procedures in managing regulatory compliance</w:t>
      </w:r>
    </w:p>
    <w:p w:rsidR="00000000" w:rsidRPr="00A368D9" w:rsidP="00A368D9">
      <w:pPr>
        <w:pStyle w:val="ListBullet"/>
      </w:pPr>
      <w:r w:rsidRPr="00A368D9">
        <w:t>formats for and inclusions in policies and procedures</w:t>
      </w:r>
    </w:p>
    <w:p w:rsidR="00000000" w:rsidRPr="00A368D9" w:rsidP="00A368D9">
      <w:pPr>
        <w:pStyle w:val="ListBullet"/>
      </w:pPr>
      <w:r w:rsidRPr="00A368D9">
        <w:t>objectives and primary comp</w:t>
      </w:r>
      <w:r w:rsidRPr="00A368D9">
        <w:t>onents of local, state, territory and commonwealth government laws to which all types of businesses must comply and that cover:</w:t>
      </w:r>
    </w:p>
    <w:p w:rsidR="00000000" w:rsidRPr="00A368D9" w:rsidP="00A368D9">
      <w:pPr>
        <w:pStyle w:val="ListBullet2"/>
      </w:pPr>
      <w:r w:rsidRPr="00A368D9">
        <w:t>anti-discrimination, especially provisions for equal employment opportunity (EEO) and harassment</w:t>
      </w:r>
    </w:p>
    <w:p w:rsidR="00000000" w:rsidRPr="00A368D9" w:rsidP="00A368D9">
      <w:pPr>
        <w:pStyle w:val="ListBullet2"/>
      </w:pPr>
      <w:r w:rsidRPr="00A368D9">
        <w:t xml:space="preserve">Australian Consumer Law (ACL) </w:t>
      </w:r>
      <w:r w:rsidRPr="00A368D9">
        <w:t>especially provisions for refunds, exchanges and cancellations, terms and conditions of quotations and consumer contracts</w:t>
      </w:r>
    </w:p>
    <w:p w:rsidR="00000000" w:rsidRPr="00A368D9" w:rsidP="00A368D9">
      <w:pPr>
        <w:pStyle w:val="ListBullet2"/>
      </w:pPr>
      <w:r w:rsidRPr="00A368D9">
        <w:t>contracts</w:t>
      </w:r>
    </w:p>
    <w:p w:rsidR="00000000" w:rsidRPr="00A368D9" w:rsidP="00A368D9">
      <w:pPr>
        <w:pStyle w:val="ListBullet2"/>
      </w:pPr>
      <w:r w:rsidRPr="00A368D9">
        <w:t>employer superannuation contributions</w:t>
      </w:r>
    </w:p>
    <w:p w:rsidR="00000000" w:rsidRPr="00A368D9" w:rsidP="00A368D9">
      <w:pPr>
        <w:pStyle w:val="ListBullet2"/>
      </w:pPr>
      <w:r w:rsidRPr="00A368D9">
        <w:t>environmental protection especially provisions for environmental hazard identification</w:t>
      </w:r>
      <w:r w:rsidRPr="00A368D9">
        <w:t>, use of minimal impact practices and reporting of incidents</w:t>
      </w:r>
    </w:p>
    <w:p w:rsidR="00000000" w:rsidRPr="00A368D9" w:rsidP="00A368D9">
      <w:pPr>
        <w:pStyle w:val="ListBullet2"/>
      </w:pPr>
      <w:r w:rsidRPr="00A368D9">
        <w:t>Fair Work Act 2009, especially provisions for National Employment Standards (NES)</w:t>
      </w:r>
    </w:p>
    <w:p w:rsidR="00000000" w:rsidRPr="00A368D9" w:rsidP="00A368D9">
      <w:pPr>
        <w:pStyle w:val="ListBullet2"/>
      </w:pPr>
      <w:r w:rsidRPr="00A368D9">
        <w:t>local community protection, especially provisions for land management and access and protecting the lifestyle of neighbouring residents</w:t>
      </w:r>
    </w:p>
    <w:p w:rsidR="00000000" w:rsidRPr="00A368D9" w:rsidP="00A368D9">
      <w:pPr>
        <w:pStyle w:val="ListBullet2"/>
      </w:pPr>
      <w:r w:rsidRPr="00A368D9">
        <w:t>taxation</w:t>
      </w:r>
    </w:p>
    <w:p w:rsidR="00000000" w:rsidRPr="00A368D9" w:rsidP="00A368D9">
      <w:pPr>
        <w:pStyle w:val="ListBullet2"/>
      </w:pPr>
      <w:r w:rsidRPr="00A368D9">
        <w:t>workplace relations</w:t>
      </w:r>
    </w:p>
    <w:p w:rsidR="00000000" w:rsidRPr="00A368D9" w:rsidP="00A368D9">
      <w:pPr>
        <w:pStyle w:val="ListBullet2"/>
      </w:pPr>
      <w:r w:rsidRPr="00A368D9">
        <w:t>public liability and duty of care</w:t>
      </w:r>
    </w:p>
    <w:p w:rsidR="00000000" w:rsidRPr="00A368D9" w:rsidP="00A368D9">
      <w:pPr>
        <w:pStyle w:val="ListBullet2"/>
      </w:pPr>
      <w:r w:rsidRPr="00A368D9">
        <w:t xml:space="preserve">work health and safety </w:t>
      </w:r>
    </w:p>
    <w:p w:rsidR="00000000" w:rsidRPr="00A368D9" w:rsidP="00A368D9">
      <w:pPr>
        <w:pStyle w:val="ListBullet2"/>
      </w:pPr>
      <w:r w:rsidRPr="00A368D9">
        <w:t>workers’ compensation, especially</w:t>
      </w:r>
      <w:r w:rsidRPr="00A368D9">
        <w:t xml:space="preserve"> provisions for injury reporting and occupational rehabilitation</w:t>
      </w:r>
    </w:p>
    <w:p w:rsidR="00000000" w:rsidRPr="00A368D9" w:rsidP="00A368D9">
      <w:pPr>
        <w:pStyle w:val="ListBullet"/>
      </w:pPr>
      <w:r w:rsidRPr="00A368D9">
        <w:t>objectives and primary components of laws, codes, standards and licensing requirements that impact on specific operators in the tourism, hospitality and event industries; chosen to be applic</w:t>
      </w:r>
      <w:r w:rsidRPr="00A368D9">
        <w:t>able to the individual’s context:</w:t>
      </w:r>
    </w:p>
    <w:p w:rsidR="00000000" w:rsidRPr="00A368D9" w:rsidP="00A368D9">
      <w:pPr>
        <w:pStyle w:val="ListBullet2"/>
      </w:pPr>
      <w:r w:rsidRPr="00A368D9">
        <w:t>Copyright Act 1968</w:t>
      </w:r>
    </w:p>
    <w:p w:rsidR="00000000" w:rsidRPr="00A368D9" w:rsidP="00A368D9">
      <w:pPr>
        <w:pStyle w:val="ListBullet2"/>
      </w:pPr>
      <w:r w:rsidRPr="00A368D9">
        <w:t>Criminal Code Act 1995 as it relates to child sex offences outside Australia</w:t>
      </w:r>
    </w:p>
    <w:p w:rsidR="00000000" w:rsidRPr="00A368D9" w:rsidP="00A368D9">
      <w:pPr>
        <w:pStyle w:val="ListBullet2"/>
      </w:pPr>
      <w:r w:rsidRPr="00A368D9">
        <w:t>European Economic Directive of Foreign Travel</w:t>
      </w:r>
    </w:p>
    <w:p w:rsidR="00000000" w:rsidRPr="00A368D9" w:rsidP="00A368D9">
      <w:pPr>
        <w:pStyle w:val="ListBullet2"/>
      </w:pPr>
      <w:r w:rsidRPr="00A368D9">
        <w:t>food safety</w:t>
      </w:r>
    </w:p>
    <w:p w:rsidR="00000000" w:rsidRPr="00A368D9" w:rsidP="00A368D9">
      <w:pPr>
        <w:pStyle w:val="ListBullet2"/>
      </w:pPr>
      <w:r w:rsidRPr="00A368D9">
        <w:t>Food Standards Australia New Zealand Act 1991</w:t>
      </w:r>
    </w:p>
    <w:p w:rsidR="00000000" w:rsidRPr="00A368D9" w:rsidP="00A368D9">
      <w:pPr>
        <w:pStyle w:val="ListBullet2"/>
      </w:pPr>
      <w:r w:rsidRPr="00A368D9">
        <w:t>liquor licensing, especially as it relates to the responsible service of alcohol</w:t>
      </w:r>
    </w:p>
    <w:p w:rsidR="00000000" w:rsidRPr="00A368D9" w:rsidP="00A368D9">
      <w:pPr>
        <w:pStyle w:val="ListBullet2"/>
      </w:pPr>
      <w:r w:rsidRPr="00A368D9">
        <w:t>Privacy Act 1988</w:t>
      </w:r>
    </w:p>
    <w:p w:rsidR="00000000" w:rsidRPr="00A368D9" w:rsidP="00A368D9">
      <w:pPr>
        <w:pStyle w:val="ListBullet2"/>
      </w:pPr>
      <w:r w:rsidRPr="00A368D9">
        <w:t>Queensland Tourism Services Act 2003</w:t>
      </w:r>
    </w:p>
    <w:p w:rsidR="00000000" w:rsidRPr="00A368D9" w:rsidP="00A368D9">
      <w:pPr>
        <w:pStyle w:val="ListBullet2"/>
      </w:pPr>
      <w:r w:rsidRPr="00A368D9">
        <w:t>Residential Tenancy Act</w:t>
      </w:r>
    </w:p>
    <w:p w:rsidR="00000000" w:rsidRPr="00A368D9" w:rsidP="00A368D9">
      <w:pPr>
        <w:pStyle w:val="ListBullet2"/>
      </w:pPr>
      <w:r w:rsidRPr="00A368D9">
        <w:t>responsible conduct of gaming regulation</w:t>
      </w:r>
    </w:p>
    <w:p w:rsidR="00000000" w:rsidRPr="00A368D9" w:rsidP="00A368D9">
      <w:pPr>
        <w:pStyle w:val="ListBullet"/>
      </w:pPr>
      <w:r w:rsidRPr="00A368D9">
        <w:t>for each relevant law, code, standard and licensing req</w:t>
      </w:r>
      <w:r w:rsidRPr="00A368D9">
        <w:t>uirement, the depth of knowledge must cover:</w:t>
      </w:r>
    </w:p>
    <w:p w:rsidR="00000000" w:rsidRPr="00A368D9" w:rsidP="00A368D9">
      <w:pPr>
        <w:pStyle w:val="ListBullet2"/>
      </w:pPr>
      <w:r w:rsidRPr="00A368D9">
        <w:t>key practices that are prohibited by the law</w:t>
      </w:r>
    </w:p>
    <w:p w:rsidR="00000000" w:rsidRPr="00A368D9" w:rsidP="00A368D9">
      <w:pPr>
        <w:pStyle w:val="ListBullet2"/>
      </w:pPr>
      <w:r w:rsidRPr="00A368D9">
        <w:t>auditing and inspection regimes</w:t>
      </w:r>
    </w:p>
    <w:p w:rsidR="00000000" w:rsidRPr="00A368D9" w:rsidP="00A368D9">
      <w:pPr>
        <w:pStyle w:val="ListBullet2"/>
      </w:pPr>
      <w:r w:rsidRPr="00A368D9">
        <w:t>main consequences of non-compliance</w:t>
      </w:r>
    </w:p>
    <w:p w:rsidR="00000000" w:rsidRPr="00A368D9" w:rsidP="00A368D9">
      <w:pPr>
        <w:pStyle w:val="ListBullet2"/>
      </w:pPr>
      <w:r w:rsidRPr="00A368D9">
        <w:t>need to apply for and maintain business or occupational licensing and associated mandatory traini</w:t>
      </w:r>
      <w:r w:rsidRPr="00A368D9">
        <w:t>ng and certification requirements</w:t>
      </w:r>
    </w:p>
    <w:p w:rsidR="00000000" w:rsidRPr="00A368D9" w:rsidP="00A368D9">
      <w:pPr>
        <w:pStyle w:val="ListBullet2"/>
      </w:pPr>
      <w:r w:rsidRPr="00A368D9">
        <w:t>requirements for record keeping and acceptable record keeping mechanisms</w:t>
      </w:r>
    </w:p>
    <w:p w:rsidR="00000000" w:rsidRPr="00A368D9" w:rsidP="00A368D9">
      <w:pPr>
        <w:pStyle w:val="ListBullet2"/>
      </w:pPr>
      <w:r w:rsidRPr="00A368D9">
        <w:t>statutory reporting requirements for businesses</w:t>
      </w:r>
    </w:p>
    <w:p w:rsidR="00000000" w:rsidRPr="00A368D9" w:rsidP="00A368D9">
      <w:pPr>
        <w:pStyle w:val="ListBullet2"/>
      </w:pPr>
      <w:r w:rsidRPr="00A368D9">
        <w:t xml:space="preserve">key business insurances required </w:t>
      </w:r>
    </w:p>
    <w:p w:rsidR="00000000" w:rsidRPr="00A368D9" w:rsidP="00A368D9">
      <w:pPr>
        <w:pStyle w:val="ListBullet2"/>
      </w:pPr>
      <w:r w:rsidRPr="00A368D9">
        <w:t>adherence to mandatory codes of conduct enshrined in legislation</w:t>
      </w:r>
    </w:p>
    <w:p w:rsidR="00000000" w:rsidRPr="00A368D9" w:rsidP="00A368D9">
      <w:pPr>
        <w:pStyle w:val="ListBullet2"/>
      </w:pPr>
      <w:r w:rsidRPr="00A368D9">
        <w:t xml:space="preserve">requirements to develop and implement plans, policies, codes of conduct or incorporate certain business practices </w:t>
      </w:r>
    </w:p>
    <w:p w:rsidR="00000000" w:rsidRPr="00A368D9" w:rsidP="00A368D9">
      <w:pPr>
        <w:pStyle w:val="ListBullet2"/>
      </w:pPr>
      <w:r w:rsidRPr="00A368D9">
        <w:t>rights and responsibilities of employees and employers</w:t>
      </w:r>
    </w:p>
    <w:p w:rsidR="00000000" w:rsidRPr="00A368D9" w:rsidP="00A368D9">
      <w:pPr>
        <w:pStyle w:val="ListBullet2"/>
      </w:pPr>
      <w:r w:rsidRPr="00A368D9">
        <w:t>other specific action that must be taken for legal compliance</w:t>
      </w:r>
    </w:p>
    <w:p w:rsidR="00000000" w:rsidRPr="00A368D9" w:rsidP="00A368D9">
      <w:pPr>
        <w:pStyle w:val="ListBullet"/>
      </w:pPr>
      <w:r w:rsidRPr="00A368D9">
        <w:t>opportunities to mainta</w:t>
      </w:r>
      <w:r w:rsidRPr="00A368D9">
        <w:t>in knowledge of regulatory requirements:</w:t>
      </w:r>
    </w:p>
    <w:p w:rsidR="00000000" w:rsidRPr="00A368D9" w:rsidP="00A368D9">
      <w:pPr>
        <w:pStyle w:val="ListBullet2"/>
      </w:pPr>
      <w:r w:rsidRPr="00A368D9">
        <w:t>discussions with experienced industry personnel</w:t>
      </w:r>
    </w:p>
    <w:p w:rsidR="00000000" w:rsidRPr="00A368D9" w:rsidP="00A368D9">
      <w:pPr>
        <w:pStyle w:val="ListBullet2"/>
      </w:pPr>
      <w:r w:rsidRPr="00A368D9">
        <w:t>networking with colleagues and/or suppliers</w:t>
      </w:r>
    </w:p>
    <w:p w:rsidR="00000000" w:rsidRPr="00A368D9" w:rsidP="00A368D9">
      <w:pPr>
        <w:pStyle w:val="ListBullet2"/>
      </w:pPr>
      <w:r w:rsidRPr="00A368D9">
        <w:t>participating in industry accreditation schemes</w:t>
      </w:r>
    </w:p>
    <w:p w:rsidR="00000000" w:rsidRPr="00A368D9" w:rsidP="00A368D9">
      <w:pPr>
        <w:pStyle w:val="ListBullet2"/>
      </w:pPr>
      <w:r w:rsidRPr="00A368D9">
        <w:t>participating in industry seminars</w:t>
      </w:r>
    </w:p>
    <w:p w:rsidR="00000000" w:rsidRPr="00A368D9" w:rsidP="00A368D9">
      <w:pPr>
        <w:pStyle w:val="ListBullet2"/>
      </w:pPr>
      <w:r w:rsidRPr="00A368D9">
        <w:t>membership of professional industry ass</w:t>
      </w:r>
      <w:r w:rsidRPr="00A368D9">
        <w:t>ociations</w:t>
      </w:r>
    </w:p>
    <w:p w:rsidR="00000000" w:rsidRPr="00A368D9" w:rsidP="00A368D9">
      <w:pPr>
        <w:pStyle w:val="ListBullet2"/>
      </w:pPr>
      <w:r w:rsidRPr="00A368D9">
        <w:t>participating in training courses</w:t>
      </w:r>
    </w:p>
    <w:p w:rsidR="00000000" w:rsidRPr="00A368D9" w:rsidP="00A368D9">
      <w:pPr>
        <w:pStyle w:val="ListBullet2"/>
      </w:pPr>
      <w:r w:rsidRPr="00A368D9">
        <w:t>subscribing to regulatory newsletters.</w:t>
      </w:r>
    </w:p>
    <w:p w:rsidR="00000000" w:rsidRPr="00A368D9" w:rsidP="00A368D9">
      <w:pPr>
        <w:pStyle w:val="AllowPageBreak"/>
      </w:pPr>
    </w:p>
    <w:p w:rsidR="00000000" w:rsidRPr="00A368D9" w:rsidP="00A368D9">
      <w:pPr>
        <w:pStyle w:val="Heading1"/>
      </w:pPr>
      <w:bookmarkStart w:id="13" w:name="O_767664"/>
      <w:bookmarkEnd w:id="13"/>
      <w:r w:rsidRPr="00A368D9">
        <w:t>Assessment Conditions</w:t>
      </w:r>
    </w:p>
    <w:p w:rsidR="00000000" w:rsidRPr="00A368D9" w:rsidP="009B4098">
      <w:pPr>
        <w:pStyle w:val="BodyText"/>
      </w:pPr>
      <w:r w:rsidRPr="00A368D9">
        <w:t>Skills must be demonstrated in an operational tourism, travel, hospitality or events business operation for which a tailored set of regulatory requirements can be researched and compliance management implemented. This can be:</w:t>
      </w:r>
    </w:p>
    <w:p w:rsidR="00000000" w:rsidRPr="00A368D9" w:rsidP="00A368D9">
      <w:pPr>
        <w:pStyle w:val="ListBullet"/>
      </w:pPr>
      <w:r w:rsidRPr="00A368D9">
        <w:t>an industry workplace</w:t>
      </w:r>
    </w:p>
    <w:p w:rsidR="00000000" w:rsidRPr="00A368D9" w:rsidP="00A368D9">
      <w:pPr>
        <w:pStyle w:val="ListBullet"/>
      </w:pPr>
      <w:r w:rsidRPr="00A368D9">
        <w:t>a simul</w:t>
      </w:r>
      <w:r w:rsidRPr="00A368D9">
        <w:t>ated industry environment.</w:t>
      </w:r>
    </w:p>
    <w:p w:rsidR="00000000" w:rsidRPr="00A368D9" w:rsidP="00A368D9">
      <w:pPr>
        <w:pStyle w:val="BodyText"/>
      </w:pPr>
    </w:p>
    <w:p w:rsidR="00000000" w:rsidRPr="00A368D9" w:rsidP="009B4098">
      <w:pPr>
        <w:pStyle w:val="BodyText"/>
      </w:pPr>
      <w:r w:rsidRPr="00A368D9">
        <w:t>Assessment must ensure access to:</w:t>
      </w:r>
    </w:p>
    <w:p w:rsidR="00000000" w:rsidRPr="00A368D9" w:rsidP="00A368D9">
      <w:pPr>
        <w:pStyle w:val="ListBullet"/>
      </w:pPr>
      <w:r w:rsidRPr="00A368D9">
        <w:t>computers, software programs, printers and communication technology used to administer regulatory requirements</w:t>
      </w:r>
    </w:p>
    <w:p w:rsidR="00000000" w:rsidRPr="00A368D9" w:rsidP="00A368D9">
      <w:pPr>
        <w:pStyle w:val="ListBullet"/>
      </w:pPr>
      <w:r w:rsidRPr="00A368D9">
        <w:t>current legislation</w:t>
      </w:r>
    </w:p>
    <w:p w:rsidR="00000000" w:rsidRPr="00A368D9" w:rsidP="00A368D9">
      <w:pPr>
        <w:pStyle w:val="ListBullet"/>
      </w:pPr>
      <w:r w:rsidRPr="00A368D9">
        <w:t>current plain English regulatory documents distributed by gove</w:t>
      </w:r>
      <w:r w:rsidRPr="00A368D9">
        <w:t>rnment regulators</w:t>
      </w:r>
    </w:p>
    <w:p w:rsidR="00000000" w:rsidRPr="00A368D9" w:rsidP="00A368D9">
      <w:pPr>
        <w:pStyle w:val="ListBullet"/>
      </w:pPr>
      <w:r w:rsidRPr="00A368D9">
        <w:t>codes of practice and standards issued by regulatory authorities</w:t>
      </w:r>
    </w:p>
    <w:p w:rsidR="00000000" w:rsidRPr="00A368D9" w:rsidP="00A368D9">
      <w:pPr>
        <w:pStyle w:val="ListBullet"/>
      </w:pPr>
      <w:r w:rsidRPr="00A368D9">
        <w:t>regulatory information and business management manuals issued by industry associations or commercial publishers</w:t>
      </w:r>
    </w:p>
    <w:p w:rsidR="00000000" w:rsidRPr="00A368D9" w:rsidP="00A368D9">
      <w:pPr>
        <w:pStyle w:val="ListBullet"/>
      </w:pPr>
      <w:r w:rsidRPr="00A368D9">
        <w:t>current commercial policies and procedures used to manage reg</w:t>
      </w:r>
      <w:r w:rsidRPr="00A368D9">
        <w:t>ulatory issues</w:t>
      </w:r>
    </w:p>
    <w:p w:rsidR="00000000" w:rsidRPr="00A368D9" w:rsidP="00A368D9">
      <w:pPr>
        <w:pStyle w:val="ListBullet"/>
      </w:pPr>
      <w:r w:rsidRPr="00A368D9">
        <w:t>sources of specialist legal advice:</w:t>
      </w:r>
    </w:p>
    <w:p w:rsidR="00000000" w:rsidRPr="00A368D9" w:rsidP="00A368D9">
      <w:pPr>
        <w:pStyle w:val="ListBullet2"/>
      </w:pPr>
      <w:r w:rsidRPr="00A368D9">
        <w:t>compliance consultants</w:t>
      </w:r>
    </w:p>
    <w:p w:rsidR="00000000" w:rsidRPr="00A368D9" w:rsidP="00A368D9">
      <w:pPr>
        <w:pStyle w:val="ListBullet2"/>
      </w:pPr>
      <w:r w:rsidRPr="00A368D9">
        <w:t>industry associations</w:t>
      </w:r>
    </w:p>
    <w:p w:rsidR="00000000" w:rsidRPr="00A368D9" w:rsidP="00A368D9">
      <w:pPr>
        <w:pStyle w:val="ListBullet2"/>
      </w:pPr>
      <w:r w:rsidRPr="00A368D9">
        <w:t>lawyers</w:t>
      </w:r>
    </w:p>
    <w:p w:rsidR="00000000" w:rsidRPr="00A368D9" w:rsidP="00A368D9">
      <w:pPr>
        <w:pStyle w:val="ListBullet2"/>
      </w:pPr>
      <w:r w:rsidRPr="00A368D9">
        <w:t>local, state, territory or commonwealth government departments or regulatory agencies.</w:t>
      </w:r>
    </w:p>
    <w:p w:rsidR="00000000" w:rsidRPr="00A368D9" w:rsidP="00A368D9">
      <w:pPr>
        <w:pStyle w:val="BodyText"/>
      </w:pPr>
    </w:p>
    <w:p w:rsidR="00000000" w:rsidRPr="00A368D9" w:rsidP="009B4098">
      <w:pPr>
        <w:pStyle w:val="BodyText"/>
      </w:pPr>
      <w:r w:rsidRPr="00A368D9">
        <w:t>Assessors must satisfy the Standards for Registered Training O</w:t>
      </w:r>
      <w:r w:rsidRPr="00A368D9">
        <w:t>rganisations’ requirements for assessors.</w:t>
      </w:r>
    </w:p>
    <w:p w:rsidR="00000000" w:rsidRPr="00A368D9" w:rsidP="00A368D9">
      <w:pPr>
        <w:pStyle w:val="Heading1"/>
      </w:pPr>
      <w:bookmarkStart w:id="14" w:name="O_767667"/>
      <w:bookmarkEnd w:id="14"/>
      <w:r w:rsidRPr="00A368D9">
        <w:t>Links</w:t>
      </w:r>
    </w:p>
    <w:p w:rsidR="00000000" w:rsidRPr="00A368D9" w:rsidP="009B4098">
      <w:pPr>
        <w:pStyle w:val="BodyText"/>
      </w:pPr>
      <w:r w:rsidRPr="00A36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2F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68D9" w:rsidP="00A368D9"/>
    <w:sectPr w:rsidSect="00A368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 w:rsidRPr="009B4098" w:rsidP="009B4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098" w:rsidP="00A36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4098" w:rsidP="00A36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4098" w:rsidP="00A368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 w:rsidP="00A36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4098">
      <w:t>Approved</w:t>
    </w:r>
    <w:r w:rsidR="009B40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409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4098">
      <w:rPr>
        <w:noProof/>
      </w:rPr>
      <w:t>6</w:t>
    </w:r>
    <w:r>
      <w:rPr>
        <w:noProof/>
      </w:rPr>
      <w:fldChar w:fldCharType="end"/>
    </w:r>
  </w:p>
  <w:p w:rsidR="00A368D9" w:rsidP="00A36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40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4098">
      <w:t>Service and Creative Skills Australia</w:t>
    </w:r>
    <w:r w:rsidR="009B4098">
      <w:fldChar w:fldCharType="end"/>
    </w:r>
  </w:p>
  <w:p w:rsidR="00A368D9" w:rsidP="00A36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8D9" w:rsidRPr="009B4098" w:rsidP="009B4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098" w:rsidRPr="002D2AF8" w:rsidP="00A36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SITXGLC001 Research and comply with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4098" w:rsidP="00A368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8D9" w:rsidRPr="002D2AF8" w:rsidP="00A36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4098">
      <w:t>SITXGLC001 Research and comply with regulatory requirements</w:t>
    </w:r>
    <w:r w:rsidR="009B40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4098">
      <w:rPr>
        <w:noProof/>
      </w:rPr>
      <w:t>2 March 2025</w:t>
    </w:r>
    <w:r>
      <w:fldChar w:fldCharType="end"/>
    </w:r>
  </w:p>
  <w:p w:rsidR="00A368D9" w:rsidP="00A36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C27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BAF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C9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8D9"/>
  </w:style>
  <w:style w:type="character" w:customStyle="1" w:styleId="Heading1Char">
    <w:name w:val="Heading 1 Char"/>
    <w:basedOn w:val="DefaultParagraphFont"/>
    <w:link w:val="Heading1"/>
    <w:rsid w:val="00A36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8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8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8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8D9"/>
    <w:rPr>
      <w:b/>
      <w:spacing w:val="0"/>
    </w:rPr>
  </w:style>
  <w:style w:type="paragraph" w:styleId="ListBullet2">
    <w:name w:val="List Bullet 2"/>
    <w:basedOn w:val="List2"/>
    <w:rsid w:val="00A368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68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6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8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6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8D9"/>
    <w:rPr>
      <w:i/>
    </w:rPr>
  </w:style>
  <w:style w:type="paragraph" w:styleId="Caption">
    <w:name w:val="caption"/>
    <w:basedOn w:val="BodyText"/>
    <w:next w:val="Normal"/>
    <w:qFormat/>
    <w:rsid w:val="00A36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8D9"/>
  </w:style>
  <w:style w:type="paragraph" w:styleId="TableofFigures">
    <w:name w:val="table of figures"/>
    <w:basedOn w:val="Normal"/>
    <w:next w:val="Normal"/>
    <w:semiHidden/>
    <w:rsid w:val="00A36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8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68D9"/>
    <w:rPr>
      <w:rFonts w:ascii="Wingdings" w:hAnsi="Wingdings"/>
    </w:rPr>
  </w:style>
  <w:style w:type="paragraph" w:customStyle="1" w:styleId="TableHeading">
    <w:name w:val="Table Heading"/>
    <w:basedOn w:val="HeadingBase"/>
    <w:rsid w:val="00A36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8D9"/>
    <w:rPr>
      <w:color w:val="0033CC"/>
      <w:u w:val="none"/>
    </w:rPr>
  </w:style>
  <w:style w:type="paragraph" w:customStyle="1" w:styleId="BodyTextRight">
    <w:name w:val="Body Text Right"/>
    <w:basedOn w:val="BodyText"/>
    <w:rsid w:val="00A36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8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8D9"/>
    <w:rPr>
      <w:sz w:val="32"/>
    </w:rPr>
  </w:style>
  <w:style w:type="paragraph" w:customStyle="1" w:styleId="HeadingProcedure">
    <w:name w:val="Heading Procedure"/>
    <w:basedOn w:val="HeadingBase"/>
    <w:next w:val="Normal"/>
    <w:rsid w:val="00A36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8D9"/>
    <w:pPr>
      <w:spacing w:before="60" w:after="60"/>
    </w:pPr>
  </w:style>
  <w:style w:type="paragraph" w:styleId="ListContinue">
    <w:name w:val="List Continue"/>
    <w:basedOn w:val="List"/>
    <w:rsid w:val="00A368D9"/>
    <w:pPr>
      <w:ind w:firstLine="0"/>
    </w:pPr>
  </w:style>
  <w:style w:type="paragraph" w:customStyle="1" w:styleId="ListNote">
    <w:name w:val="List Note"/>
    <w:basedOn w:val="List"/>
    <w:rsid w:val="00A36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8D9"/>
    <w:rPr>
      <w:rFonts w:ascii="Courier New" w:hAnsi="Courier New"/>
    </w:rPr>
  </w:style>
  <w:style w:type="paragraph" w:customStyle="1" w:styleId="NoteBullet">
    <w:name w:val="Note Bullet"/>
    <w:basedOn w:val="Note"/>
    <w:rsid w:val="00A36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8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6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8D9"/>
    <w:rPr>
      <w:b/>
      <w:smallCaps/>
    </w:rPr>
  </w:style>
  <w:style w:type="paragraph" w:customStyle="1" w:styleId="TableListNumber">
    <w:name w:val="Table List Number"/>
    <w:basedOn w:val="ListNumber"/>
    <w:rsid w:val="00A36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8D9"/>
    <w:pPr>
      <w:numPr>
        <w:numId w:val="10"/>
      </w:numPr>
    </w:pPr>
  </w:style>
  <w:style w:type="paragraph" w:customStyle="1" w:styleId="ListAlpha2">
    <w:name w:val="List Alpha 2"/>
    <w:basedOn w:val="List2"/>
    <w:rsid w:val="00A368D9"/>
    <w:pPr>
      <w:numPr>
        <w:numId w:val="9"/>
      </w:numPr>
    </w:pPr>
  </w:style>
  <w:style w:type="paragraph" w:styleId="List2">
    <w:name w:val="List 2"/>
    <w:basedOn w:val="BodyText"/>
    <w:rsid w:val="00A36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8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68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68D9"/>
    <w:pPr>
      <w:numPr>
        <w:numId w:val="5"/>
      </w:numPr>
    </w:pPr>
  </w:style>
  <w:style w:type="paragraph" w:styleId="ListContinue2">
    <w:name w:val="List Continue 2"/>
    <w:basedOn w:val="List2"/>
    <w:rsid w:val="00A368D9"/>
    <w:pPr>
      <w:ind w:firstLine="0"/>
    </w:pPr>
  </w:style>
  <w:style w:type="paragraph" w:styleId="ListContinue3">
    <w:name w:val="List Continue 3"/>
    <w:basedOn w:val="List3"/>
    <w:rsid w:val="00A368D9"/>
    <w:pPr>
      <w:ind w:left="1021" w:firstLine="0"/>
    </w:pPr>
  </w:style>
  <w:style w:type="paragraph" w:styleId="ListContinue4">
    <w:name w:val="List Continue 4"/>
    <w:basedOn w:val="List4"/>
    <w:rsid w:val="00A368D9"/>
    <w:pPr>
      <w:ind w:firstLine="0"/>
    </w:pPr>
  </w:style>
  <w:style w:type="paragraph" w:styleId="ListContinue5">
    <w:name w:val="List Continue 5"/>
    <w:basedOn w:val="List5"/>
    <w:rsid w:val="00A368D9"/>
    <w:pPr>
      <w:ind w:firstLine="0"/>
    </w:pPr>
  </w:style>
  <w:style w:type="paragraph" w:styleId="ListNumber3">
    <w:name w:val="List Number 3"/>
    <w:basedOn w:val="List3"/>
    <w:rsid w:val="00A368D9"/>
    <w:pPr>
      <w:numPr>
        <w:numId w:val="6"/>
      </w:numPr>
    </w:pPr>
  </w:style>
  <w:style w:type="paragraph" w:styleId="ListNumber4">
    <w:name w:val="List Number 4"/>
    <w:basedOn w:val="List4"/>
    <w:rsid w:val="00A368D9"/>
    <w:pPr>
      <w:numPr>
        <w:numId w:val="7"/>
      </w:numPr>
    </w:pPr>
  </w:style>
  <w:style w:type="paragraph" w:styleId="ListNumber5">
    <w:name w:val="List Number 5"/>
    <w:basedOn w:val="List5"/>
    <w:rsid w:val="00A368D9"/>
    <w:pPr>
      <w:numPr>
        <w:numId w:val="8"/>
      </w:numPr>
    </w:pPr>
  </w:style>
  <w:style w:type="paragraph" w:styleId="BlockText">
    <w:name w:val="Block Text"/>
    <w:basedOn w:val="Normal"/>
    <w:rsid w:val="00A36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8D9"/>
    <w:rPr>
      <w:sz w:val="16"/>
      <w:vertAlign w:val="superscript"/>
    </w:rPr>
  </w:style>
  <w:style w:type="character" w:customStyle="1" w:styleId="Symbols">
    <w:name w:val="Symbols"/>
    <w:basedOn w:val="DefaultParagraphFont"/>
    <w:rsid w:val="00A368D9"/>
    <w:rPr>
      <w:rFonts w:ascii="Symbol" w:hAnsi="Symbol"/>
    </w:rPr>
  </w:style>
  <w:style w:type="character" w:customStyle="1" w:styleId="MenuOptions">
    <w:name w:val="Menu Options"/>
    <w:basedOn w:val="DefaultParagraphFont"/>
    <w:rsid w:val="00A36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8D9"/>
    <w:rPr>
      <w:b/>
    </w:rPr>
  </w:style>
  <w:style w:type="character" w:customStyle="1" w:styleId="Underlined">
    <w:name w:val="Underlined"/>
    <w:basedOn w:val="DefaultParagraphFont"/>
    <w:rsid w:val="00A368D9"/>
    <w:rPr>
      <w:u w:val="single"/>
    </w:rPr>
  </w:style>
  <w:style w:type="paragraph" w:customStyle="1" w:styleId="TableBodyTextRight">
    <w:name w:val="Table Body Text Right"/>
    <w:basedOn w:val="TableBodyText"/>
    <w:rsid w:val="00A36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8D9"/>
    <w:rPr>
      <w:sz w:val="18"/>
    </w:rPr>
  </w:style>
  <w:style w:type="paragraph" w:customStyle="1" w:styleId="BodySmallRight">
    <w:name w:val="Body Small Right"/>
    <w:basedOn w:val="BodyTextRight"/>
    <w:rsid w:val="00A368D9"/>
    <w:rPr>
      <w:sz w:val="18"/>
      <w:szCs w:val="18"/>
    </w:rPr>
  </w:style>
  <w:style w:type="paragraph" w:customStyle="1" w:styleId="MarginEdition">
    <w:name w:val="Margin Edition"/>
    <w:basedOn w:val="MarginNote"/>
    <w:rsid w:val="00A36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8D9"/>
    <w:rPr>
      <w:sz w:val="2"/>
      <w:szCs w:val="2"/>
    </w:rPr>
  </w:style>
  <w:style w:type="character" w:customStyle="1" w:styleId="Small">
    <w:name w:val="Small"/>
    <w:basedOn w:val="DefaultParagraphFont"/>
    <w:rsid w:val="00A368D9"/>
    <w:rPr>
      <w:sz w:val="16"/>
    </w:rPr>
  </w:style>
  <w:style w:type="paragraph" w:customStyle="1" w:styleId="WideTable">
    <w:name w:val="Wide Table"/>
    <w:basedOn w:val="Normal"/>
    <w:rsid w:val="00A36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8D9"/>
  </w:style>
  <w:style w:type="paragraph" w:styleId="Quote">
    <w:name w:val="Quote"/>
    <w:basedOn w:val="Heading1"/>
    <w:link w:val="QuoteChar"/>
    <w:qFormat/>
    <w:rsid w:val="00A36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8D9"/>
    <w:pPr>
      <w:pageBreakBefore/>
    </w:pPr>
  </w:style>
  <w:style w:type="paragraph" w:customStyle="1" w:styleId="Border">
    <w:name w:val="Border"/>
    <w:basedOn w:val="Normal"/>
    <w:qFormat/>
    <w:rsid w:val="00A36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8D9"/>
    <w:rPr>
      <w:u w:val="single"/>
    </w:rPr>
  </w:style>
  <w:style w:type="character" w:customStyle="1" w:styleId="BoldandItalics">
    <w:name w:val="Bold and Italics"/>
    <w:qFormat/>
    <w:rsid w:val="00A368D9"/>
    <w:rPr>
      <w:b/>
      <w:i/>
      <w:u w:val="none"/>
    </w:rPr>
  </w:style>
  <w:style w:type="paragraph" w:styleId="BalloonText">
    <w:name w:val="Balloon Text"/>
    <w:basedOn w:val="Normal"/>
    <w:link w:val="BalloonTextChar"/>
    <w:rsid w:val="00A36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8D9"/>
    <w:pPr>
      <w:spacing w:before="0" w:after="0"/>
    </w:pPr>
  </w:style>
  <w:style w:type="paragraph" w:customStyle="1" w:styleId="BodyTextBold">
    <w:name w:val="Body Text Bold"/>
    <w:basedOn w:val="BodyText"/>
    <w:qFormat/>
    <w:rsid w:val="00A368D9"/>
    <w:rPr>
      <w:b/>
    </w:rPr>
  </w:style>
  <w:style w:type="character" w:styleId="Hyperlink">
    <w:name w:val="Hyperlink"/>
    <w:basedOn w:val="DefaultParagraphFont"/>
    <w:uiPriority w:val="99"/>
    <w:unhideWhenUsed/>
    <w:rsid w:val="009B4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9288</Characters>
  <Application>Microsoft Office Word</Application>
  <DocSecurity>0</DocSecurity>
  <Lines>258</Lines>
  <Paragraphs>189</Paragraphs>
  <ScaleCrop>false</ScaleCrop>
  <Company>Author-it Software Corporation Ltd.</Company>
  <LinksUpToDate>false</LinksUpToDate>
  <CharactersWithSpaces>10431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SITXGLC001 Research and comply with regulatory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