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248" w:rsidP="002A32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SITXGLC001 Research and comply with regulatory requirements</w:t>
      </w:r>
      <w:r>
        <w:fldChar w:fldCharType="end"/>
      </w:r>
    </w:p>
    <w:p w:rsidR="002A3248" w:rsidP="002A3248">
      <w:pPr>
        <w:pStyle w:val="Version"/>
        <w:sectPr w:rsidSect="009B76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655" w:rsidP="009B7655">
      <w:pPr>
        <w:pStyle w:val="SuperHeading"/>
      </w:pPr>
      <w:r w:rsidRPr="009B7655">
        <w:t>Assessment Requirements for SITXGLC001 Research and comply with regulatory requirements</w:t>
      </w:r>
    </w:p>
    <w:p w:rsidR="00000000" w:rsidRPr="009B7655" w:rsidP="009B7655">
      <w:pPr>
        <w:pStyle w:val="Heading1"/>
      </w:pPr>
      <w:bookmarkStart w:id="1" w:name="O_767661"/>
      <w:bookmarkEnd w:id="1"/>
      <w:r w:rsidRPr="009B7655">
        <w:t>Modification History</w:t>
      </w:r>
    </w:p>
    <w:p w:rsidR="00000000" w:rsidRPr="009B7655" w:rsidP="002A3248">
      <w:pPr>
        <w:pStyle w:val="BodyText"/>
      </w:pPr>
      <w:r w:rsidRPr="009B7655">
        <w:t>Not applicable.</w:t>
      </w:r>
    </w:p>
    <w:p w:rsidR="00000000" w:rsidRPr="009B7655" w:rsidP="009B7655">
      <w:pPr>
        <w:pStyle w:val="Heading1"/>
      </w:pPr>
      <w:bookmarkStart w:id="2" w:name="O_767662"/>
      <w:bookmarkEnd w:id="2"/>
      <w:r w:rsidRPr="009B7655">
        <w:t>Performance Evidence</w:t>
      </w:r>
    </w:p>
    <w:p w:rsidR="00000000" w:rsidRPr="009B7655" w:rsidP="002A3248">
      <w:pPr>
        <w:pStyle w:val="BodyText"/>
      </w:pPr>
      <w:r w:rsidRPr="009B7655">
        <w:t>Evidence of the ability to</w:t>
      </w:r>
      <w:r w:rsidRPr="009B7655">
        <w:t xml:space="preserve"> complete tasks outlined in elements and performance criteria of this unit in the context of the job role, and:</w:t>
      </w:r>
    </w:p>
    <w:p w:rsidR="00000000" w:rsidRPr="009B7655" w:rsidP="009B7655">
      <w:pPr>
        <w:pStyle w:val="ListBullet"/>
      </w:pPr>
      <w:r w:rsidRPr="009B7655">
        <w:t>access and interpret regulatory information and determine the scope of compliance for the operations of a specific tourism, travel, hospitality</w:t>
      </w:r>
      <w:r w:rsidRPr="009B7655">
        <w:t xml:space="preserve"> or events business in relation to at least six different areas of compliance </w:t>
      </w:r>
    </w:p>
    <w:p w:rsidR="00000000" w:rsidRPr="009B7655" w:rsidP="009B7655">
      <w:pPr>
        <w:pStyle w:val="ListBullet"/>
      </w:pPr>
      <w:r w:rsidRPr="009B7655">
        <w:t>develop policies and procedures for legal compliance with each of the above areas of compliance</w:t>
      </w:r>
    </w:p>
    <w:p w:rsidR="00000000" w:rsidRPr="009B7655" w:rsidP="009B7655">
      <w:pPr>
        <w:pStyle w:val="ListBullet"/>
      </w:pPr>
      <w:r w:rsidRPr="009B7655">
        <w:t>integrate into compliance planning activities and documentation:</w:t>
      </w:r>
    </w:p>
    <w:p w:rsidR="00000000" w:rsidRPr="009B7655" w:rsidP="009B7655">
      <w:pPr>
        <w:pStyle w:val="ListBullet2"/>
      </w:pPr>
      <w:r w:rsidRPr="009B7655">
        <w:t>sources of deta</w:t>
      </w:r>
      <w:r w:rsidRPr="009B7655">
        <w:t>iled information and advice on regulatory compliance</w:t>
      </w:r>
    </w:p>
    <w:p w:rsidR="00000000" w:rsidRPr="009B7655" w:rsidP="009B7655">
      <w:pPr>
        <w:pStyle w:val="ListBullet2"/>
      </w:pPr>
      <w:r w:rsidRPr="009B7655">
        <w:t>objectives and primary components of a broad range of local, state, territory and commonwealth government laws relevant to the specific to the business operations</w:t>
      </w:r>
    </w:p>
    <w:p w:rsidR="00000000" w:rsidRPr="009B7655" w:rsidP="009B7655">
      <w:pPr>
        <w:pStyle w:val="ListBullet2"/>
      </w:pPr>
      <w:r w:rsidRPr="009B7655">
        <w:t>use of policies and procedures in managi</w:t>
      </w:r>
      <w:r w:rsidRPr="009B7655">
        <w:t>ng regulatory compliance.</w:t>
      </w:r>
    </w:p>
    <w:p w:rsidR="00000000" w:rsidRPr="009B7655" w:rsidP="009B7655">
      <w:pPr>
        <w:pStyle w:val="AllowPageBreak"/>
      </w:pPr>
    </w:p>
    <w:p w:rsidR="00000000" w:rsidRPr="009B7655" w:rsidP="009B7655">
      <w:pPr>
        <w:pStyle w:val="Heading1"/>
      </w:pPr>
      <w:bookmarkStart w:id="3" w:name="O_767663"/>
      <w:bookmarkEnd w:id="3"/>
      <w:r w:rsidRPr="009B7655">
        <w:t>Knowledge Evidence</w:t>
      </w:r>
    </w:p>
    <w:p w:rsidR="00000000" w:rsidRPr="009B7655" w:rsidP="002A3248">
      <w:pPr>
        <w:pStyle w:val="BodyText"/>
      </w:pPr>
      <w:r w:rsidRPr="009B7655">
        <w:t>Demonstrated knowledge required to complete the tasks outlined in elements and performance criteria of this unit:</w:t>
      </w:r>
    </w:p>
    <w:p w:rsidR="00000000" w:rsidRPr="009B7655" w:rsidP="009B7655">
      <w:pPr>
        <w:pStyle w:val="ListBullet"/>
      </w:pPr>
      <w:r w:rsidRPr="009B7655">
        <w:t>legal responsibilities and liabilities of managers and directors in varying business structures</w:t>
      </w:r>
    </w:p>
    <w:p w:rsidR="00000000" w:rsidRPr="009B7655" w:rsidP="009B7655">
      <w:pPr>
        <w:pStyle w:val="ListBullet"/>
      </w:pPr>
      <w:r w:rsidRPr="009B7655">
        <w:t>sources of information and advice on regulatory compliance:</w:t>
      </w:r>
    </w:p>
    <w:p w:rsidR="00000000" w:rsidRPr="009B7655" w:rsidP="009B7655">
      <w:pPr>
        <w:pStyle w:val="ListBullet2"/>
      </w:pPr>
      <w:r w:rsidRPr="009B7655">
        <w:t>local, state, territory or commonwealth government departments or regulatory agencies</w:t>
      </w:r>
    </w:p>
    <w:p w:rsidR="00000000" w:rsidRPr="009B7655" w:rsidP="009B7655">
      <w:pPr>
        <w:pStyle w:val="ListBullet2"/>
      </w:pPr>
      <w:r w:rsidRPr="009B7655">
        <w:t>industry asso</w:t>
      </w:r>
      <w:r w:rsidRPr="009B7655">
        <w:t>ciations</w:t>
      </w:r>
    </w:p>
    <w:p w:rsidR="00000000" w:rsidRPr="009B7655" w:rsidP="009B7655">
      <w:pPr>
        <w:pStyle w:val="ListBullet2"/>
      </w:pPr>
      <w:r w:rsidRPr="009B7655">
        <w:t>plain English documentation that explains the operational requirements of legislation</w:t>
      </w:r>
    </w:p>
    <w:p w:rsidR="00000000" w:rsidRPr="009B7655" w:rsidP="009B7655">
      <w:pPr>
        <w:pStyle w:val="ListBullet2"/>
      </w:pPr>
      <w:r w:rsidRPr="009B7655">
        <w:t>computer data</w:t>
      </w:r>
    </w:p>
    <w:p w:rsidR="00000000" w:rsidRPr="009B7655" w:rsidP="009B7655">
      <w:pPr>
        <w:pStyle w:val="ListBullet2"/>
      </w:pPr>
      <w:r w:rsidRPr="009B7655">
        <w:t>the internet</w:t>
      </w:r>
    </w:p>
    <w:p w:rsidR="00000000" w:rsidRPr="009B7655" w:rsidP="009B7655">
      <w:pPr>
        <w:pStyle w:val="ListBullet2"/>
      </w:pPr>
      <w:r w:rsidRPr="009B7655">
        <w:t>discussions with experienced industry personnel</w:t>
      </w:r>
    </w:p>
    <w:p w:rsidR="00000000" w:rsidRPr="009B7655" w:rsidP="009B7655">
      <w:pPr>
        <w:pStyle w:val="ListBullet2"/>
      </w:pPr>
      <w:r w:rsidRPr="009B7655">
        <w:t>industry:</w:t>
      </w:r>
    </w:p>
    <w:p w:rsidR="00000000" w:rsidRPr="009B7655" w:rsidP="009B7655">
      <w:pPr>
        <w:pStyle w:val="ListBullet3"/>
      </w:pPr>
      <w:r w:rsidRPr="009B7655">
        <w:t>accreditation operators</w:t>
      </w:r>
    </w:p>
    <w:p w:rsidR="00000000" w:rsidRPr="009B7655" w:rsidP="009B7655">
      <w:pPr>
        <w:pStyle w:val="ListBullet3"/>
      </w:pPr>
      <w:r w:rsidRPr="009B7655">
        <w:t>associations and organisations</w:t>
      </w:r>
    </w:p>
    <w:p w:rsidR="00000000" w:rsidRPr="009B7655" w:rsidP="009B7655">
      <w:pPr>
        <w:pStyle w:val="ListBullet3"/>
      </w:pPr>
      <w:r w:rsidRPr="009B7655">
        <w:t>developers of codes of conduct or ethics</w:t>
      </w:r>
    </w:p>
    <w:p w:rsidR="00000000" w:rsidRPr="009B7655" w:rsidP="009B7655">
      <w:pPr>
        <w:pStyle w:val="ListBullet3"/>
      </w:pPr>
      <w:r w:rsidRPr="009B7655">
        <w:t>journals</w:t>
      </w:r>
    </w:p>
    <w:p w:rsidR="00000000" w:rsidRPr="009B7655" w:rsidP="009B7655">
      <w:pPr>
        <w:pStyle w:val="ListBullet3"/>
      </w:pPr>
      <w:r w:rsidRPr="009B7655">
        <w:t>seminars</w:t>
      </w:r>
    </w:p>
    <w:p w:rsidR="00000000" w:rsidRPr="009B7655" w:rsidP="009B7655">
      <w:pPr>
        <w:pStyle w:val="ListBullet2"/>
      </w:pPr>
      <w:r w:rsidRPr="009B7655">
        <w:t>lawyers</w:t>
      </w:r>
    </w:p>
    <w:p w:rsidR="00000000" w:rsidRPr="009B7655" w:rsidP="009B7655">
      <w:pPr>
        <w:pStyle w:val="ListBullet2"/>
      </w:pPr>
      <w:r w:rsidRPr="009B7655">
        <w:t>networking with:</w:t>
      </w:r>
    </w:p>
    <w:p w:rsidR="00000000" w:rsidRPr="009B7655" w:rsidP="009B7655">
      <w:pPr>
        <w:pStyle w:val="ListBullet3"/>
      </w:pPr>
      <w:r w:rsidRPr="009B7655">
        <w:t>colleagues</w:t>
      </w:r>
    </w:p>
    <w:p w:rsidR="00000000" w:rsidRPr="009B7655" w:rsidP="009B7655">
      <w:pPr>
        <w:pStyle w:val="ListBullet3"/>
      </w:pPr>
      <w:r w:rsidRPr="009B7655">
        <w:t>suppliers</w:t>
      </w:r>
    </w:p>
    <w:p w:rsidR="00000000" w:rsidRPr="009B7655" w:rsidP="009B7655">
      <w:pPr>
        <w:pStyle w:val="ListBullet2"/>
      </w:pPr>
      <w:r w:rsidRPr="009B7655">
        <w:t>libraries</w:t>
      </w:r>
    </w:p>
    <w:p w:rsidR="00000000" w:rsidRPr="009B7655" w:rsidP="009B7655">
      <w:pPr>
        <w:pStyle w:val="ListBullet2"/>
      </w:pPr>
      <w:r w:rsidRPr="009B7655">
        <w:t>media</w:t>
      </w:r>
    </w:p>
    <w:p w:rsidR="00000000" w:rsidRPr="009B7655" w:rsidP="009B7655">
      <w:pPr>
        <w:pStyle w:val="ListBullet2"/>
      </w:pPr>
      <w:r w:rsidRPr="009B7655">
        <w:t>personal observations and experience</w:t>
      </w:r>
    </w:p>
    <w:p w:rsidR="00000000" w:rsidRPr="009B7655" w:rsidP="009B7655">
      <w:pPr>
        <w:pStyle w:val="ListBullet2"/>
      </w:pPr>
      <w:r w:rsidRPr="009B7655">
        <w:t>reference books</w:t>
      </w:r>
    </w:p>
    <w:p w:rsidR="00000000" w:rsidRPr="009B7655" w:rsidP="009B7655">
      <w:pPr>
        <w:pStyle w:val="ListBullet2"/>
      </w:pPr>
      <w:r w:rsidRPr="009B7655">
        <w:t>training courses</w:t>
      </w:r>
    </w:p>
    <w:p w:rsidR="00000000" w:rsidRPr="009B7655" w:rsidP="009B7655">
      <w:pPr>
        <w:pStyle w:val="ListBullet2"/>
      </w:pPr>
      <w:r w:rsidRPr="009B7655">
        <w:t>unions</w:t>
      </w:r>
    </w:p>
    <w:p w:rsidR="00000000" w:rsidRPr="009B7655" w:rsidP="009B7655">
      <w:pPr>
        <w:pStyle w:val="ListBullet"/>
      </w:pPr>
      <w:r w:rsidRPr="009B7655">
        <w:t>functions and general operating procedures of regulatory authorities of particular relevance to the tourism, hospitality and events industries</w:t>
      </w:r>
    </w:p>
    <w:p w:rsidR="00000000" w:rsidRPr="009B7655" w:rsidP="009B7655">
      <w:pPr>
        <w:pStyle w:val="ListBullet"/>
      </w:pPr>
      <w:r w:rsidRPr="009B7655">
        <w:t>methods of receiving updated information on laws and licensing requirements</w:t>
      </w:r>
    </w:p>
    <w:p w:rsidR="00000000" w:rsidRPr="009B7655" w:rsidP="009B7655">
      <w:pPr>
        <w:pStyle w:val="ListBullet"/>
      </w:pPr>
      <w:r w:rsidRPr="009B7655">
        <w:t>use of policies and procedures in man</w:t>
      </w:r>
      <w:r w:rsidRPr="009B7655">
        <w:t>aging regulatory compliance</w:t>
      </w:r>
    </w:p>
    <w:p w:rsidR="00000000" w:rsidRPr="009B7655" w:rsidP="009B7655">
      <w:pPr>
        <w:pStyle w:val="ListBullet"/>
      </w:pPr>
      <w:r w:rsidRPr="009B7655">
        <w:t>formats for and inclusions in policies and procedures</w:t>
      </w:r>
    </w:p>
    <w:p w:rsidR="00000000" w:rsidRPr="009B7655" w:rsidP="009B7655">
      <w:pPr>
        <w:pStyle w:val="ListBullet"/>
      </w:pPr>
      <w:r w:rsidRPr="009B7655">
        <w:t>objectives and primary components of local, state, territory and commonwealth government laws to which all types of businesses must comply and that cover:</w:t>
      </w:r>
    </w:p>
    <w:p w:rsidR="00000000" w:rsidRPr="009B7655" w:rsidP="009B7655">
      <w:pPr>
        <w:pStyle w:val="ListBullet2"/>
      </w:pPr>
      <w:r w:rsidRPr="009B7655">
        <w:t>anti-discriminatio</w:t>
      </w:r>
      <w:r w:rsidRPr="009B7655">
        <w:t>n, especially provisions for equal employment opportunity (EEO) and harassment</w:t>
      </w:r>
    </w:p>
    <w:p w:rsidR="00000000" w:rsidRPr="009B7655" w:rsidP="009B7655">
      <w:pPr>
        <w:pStyle w:val="ListBullet2"/>
      </w:pPr>
      <w:r w:rsidRPr="009B7655">
        <w:t>Australian Consumer Law (ACL) especially provisions for refunds, exchanges and cancellations, terms and conditions of quotations and consumer contracts</w:t>
      </w:r>
    </w:p>
    <w:p w:rsidR="00000000" w:rsidRPr="009B7655" w:rsidP="009B7655">
      <w:pPr>
        <w:pStyle w:val="ListBullet2"/>
      </w:pPr>
      <w:r w:rsidRPr="009B7655">
        <w:t>contracts</w:t>
      </w:r>
    </w:p>
    <w:p w:rsidR="00000000" w:rsidRPr="009B7655" w:rsidP="009B7655">
      <w:pPr>
        <w:pStyle w:val="ListBullet2"/>
      </w:pPr>
      <w:r w:rsidRPr="009B7655">
        <w:t>employer supera</w:t>
      </w:r>
      <w:r w:rsidRPr="009B7655">
        <w:t>nnuation contributions</w:t>
      </w:r>
    </w:p>
    <w:p w:rsidR="00000000" w:rsidRPr="009B7655" w:rsidP="009B7655">
      <w:pPr>
        <w:pStyle w:val="ListBullet2"/>
      </w:pPr>
      <w:r w:rsidRPr="009B7655">
        <w:t>environmental protection especially provisions for environmental hazard identification, use of minimal impact practices and reporting of incidents</w:t>
      </w:r>
    </w:p>
    <w:p w:rsidR="00000000" w:rsidRPr="009B7655" w:rsidP="009B7655">
      <w:pPr>
        <w:pStyle w:val="ListBullet2"/>
      </w:pPr>
      <w:r w:rsidRPr="009B7655">
        <w:t>Fair Work Act 2009, especially provisions for National Employment Standards (NES)</w:t>
      </w:r>
    </w:p>
    <w:p w:rsidR="00000000" w:rsidRPr="009B7655" w:rsidP="009B7655">
      <w:pPr>
        <w:pStyle w:val="ListBullet2"/>
      </w:pPr>
      <w:r w:rsidRPr="009B7655">
        <w:t>loca</w:t>
      </w:r>
      <w:r w:rsidRPr="009B7655">
        <w:t>l community protection, especially provisions for land management and access and protecting the lifestyle of neighbouring residents</w:t>
      </w:r>
    </w:p>
    <w:p w:rsidR="00000000" w:rsidRPr="009B7655" w:rsidP="009B7655">
      <w:pPr>
        <w:pStyle w:val="ListBullet2"/>
      </w:pPr>
      <w:r w:rsidRPr="009B7655">
        <w:t>taxation</w:t>
      </w:r>
    </w:p>
    <w:p w:rsidR="00000000" w:rsidRPr="009B7655" w:rsidP="009B7655">
      <w:pPr>
        <w:pStyle w:val="ListBullet2"/>
      </w:pPr>
      <w:r w:rsidRPr="009B7655">
        <w:t>workplace relations</w:t>
      </w:r>
    </w:p>
    <w:p w:rsidR="00000000" w:rsidRPr="009B7655" w:rsidP="009B7655">
      <w:pPr>
        <w:pStyle w:val="ListBullet2"/>
      </w:pPr>
      <w:r w:rsidRPr="009B7655">
        <w:t>public liability and duty of care</w:t>
      </w:r>
    </w:p>
    <w:p w:rsidR="00000000" w:rsidRPr="009B7655" w:rsidP="009B7655">
      <w:pPr>
        <w:pStyle w:val="ListBullet2"/>
      </w:pPr>
      <w:r w:rsidRPr="009B7655">
        <w:t xml:space="preserve">work health and safety </w:t>
      </w:r>
    </w:p>
    <w:p w:rsidR="00000000" w:rsidRPr="009B7655" w:rsidP="009B7655">
      <w:pPr>
        <w:pStyle w:val="ListBullet2"/>
      </w:pPr>
      <w:r w:rsidRPr="009B7655">
        <w:t>workers’ compensation, espec</w:t>
      </w:r>
      <w:r w:rsidRPr="009B7655">
        <w:t>ially provisions for injury reporting and occupational rehabilitation</w:t>
      </w:r>
    </w:p>
    <w:p w:rsidR="00000000" w:rsidRPr="009B7655" w:rsidP="009B7655">
      <w:pPr>
        <w:pStyle w:val="ListBullet"/>
      </w:pPr>
      <w:r w:rsidRPr="009B7655">
        <w:t>objectives and primary components of laws, codes, standards and licensing requirements that impact on specific operators in the tourism, hospitality and event industries; chosen to be a</w:t>
      </w:r>
      <w:r w:rsidRPr="009B7655">
        <w:t>pplicable to the individual’s context:</w:t>
      </w:r>
    </w:p>
    <w:p w:rsidR="00000000" w:rsidRPr="009B7655" w:rsidP="009B7655">
      <w:pPr>
        <w:pStyle w:val="ListBullet2"/>
      </w:pPr>
      <w:r w:rsidRPr="009B7655">
        <w:t>Copyright Act 1968</w:t>
      </w:r>
    </w:p>
    <w:p w:rsidR="00000000" w:rsidRPr="009B7655" w:rsidP="009B7655">
      <w:pPr>
        <w:pStyle w:val="ListBullet2"/>
      </w:pPr>
      <w:r w:rsidRPr="009B7655">
        <w:t>Criminal Code Act 1995 as it relates to child sex offences outside Australia</w:t>
      </w:r>
    </w:p>
    <w:p w:rsidR="00000000" w:rsidRPr="009B7655" w:rsidP="009B7655">
      <w:pPr>
        <w:pStyle w:val="ListBullet2"/>
      </w:pPr>
      <w:r w:rsidRPr="009B7655">
        <w:t>European Economic Directive of Foreign Travel</w:t>
      </w:r>
    </w:p>
    <w:p w:rsidR="00000000" w:rsidRPr="009B7655" w:rsidP="009B7655">
      <w:pPr>
        <w:pStyle w:val="ListBullet2"/>
      </w:pPr>
      <w:r w:rsidRPr="009B7655">
        <w:t>food safety</w:t>
      </w:r>
    </w:p>
    <w:p w:rsidR="00000000" w:rsidRPr="009B7655" w:rsidP="009B7655">
      <w:pPr>
        <w:pStyle w:val="ListBullet2"/>
      </w:pPr>
      <w:r w:rsidRPr="009B7655">
        <w:t>Food Standards Australia New Zealand Act 1991</w:t>
      </w:r>
    </w:p>
    <w:p w:rsidR="00000000" w:rsidRPr="009B7655" w:rsidP="009B7655">
      <w:pPr>
        <w:pStyle w:val="ListBullet2"/>
      </w:pPr>
      <w:r w:rsidRPr="009B7655">
        <w:t>liquor licensing</w:t>
      </w:r>
      <w:r w:rsidRPr="009B7655">
        <w:t>, especially as it relates to the responsible service of alcohol</w:t>
      </w:r>
    </w:p>
    <w:p w:rsidR="00000000" w:rsidRPr="009B7655" w:rsidP="009B7655">
      <w:pPr>
        <w:pStyle w:val="ListBullet2"/>
      </w:pPr>
      <w:r w:rsidRPr="009B7655">
        <w:t>Privacy Act 1988</w:t>
      </w:r>
    </w:p>
    <w:p w:rsidR="00000000" w:rsidRPr="009B7655" w:rsidP="009B7655">
      <w:pPr>
        <w:pStyle w:val="ListBullet2"/>
      </w:pPr>
      <w:r w:rsidRPr="009B7655">
        <w:t>Queensland Tourism Services Act 2003</w:t>
      </w:r>
    </w:p>
    <w:p w:rsidR="00000000" w:rsidRPr="009B7655" w:rsidP="009B7655">
      <w:pPr>
        <w:pStyle w:val="ListBullet2"/>
      </w:pPr>
      <w:r w:rsidRPr="009B7655">
        <w:t>Residential Tenancy Act</w:t>
      </w:r>
    </w:p>
    <w:p w:rsidR="00000000" w:rsidRPr="009B7655" w:rsidP="009B7655">
      <w:pPr>
        <w:pStyle w:val="ListBullet2"/>
      </w:pPr>
      <w:r w:rsidRPr="009B7655">
        <w:t>responsible conduct of gaming regulation</w:t>
      </w:r>
    </w:p>
    <w:p w:rsidR="00000000" w:rsidRPr="009B7655" w:rsidP="009B7655">
      <w:pPr>
        <w:pStyle w:val="ListBullet"/>
      </w:pPr>
      <w:r w:rsidRPr="009B7655">
        <w:t>for each relevant law, code, standard and licensing requirement, the de</w:t>
      </w:r>
      <w:r w:rsidRPr="009B7655">
        <w:t>pth of knowledge must cover:</w:t>
      </w:r>
    </w:p>
    <w:p w:rsidR="00000000" w:rsidRPr="009B7655" w:rsidP="009B7655">
      <w:pPr>
        <w:pStyle w:val="ListBullet2"/>
      </w:pPr>
      <w:r w:rsidRPr="009B7655">
        <w:t>key practices that are prohibited by the law</w:t>
      </w:r>
    </w:p>
    <w:p w:rsidR="00000000" w:rsidRPr="009B7655" w:rsidP="009B7655">
      <w:pPr>
        <w:pStyle w:val="ListBullet2"/>
      </w:pPr>
      <w:r w:rsidRPr="009B7655">
        <w:t>auditing and inspection regimes</w:t>
      </w:r>
    </w:p>
    <w:p w:rsidR="00000000" w:rsidRPr="009B7655" w:rsidP="009B7655">
      <w:pPr>
        <w:pStyle w:val="ListBullet2"/>
      </w:pPr>
      <w:r w:rsidRPr="009B7655">
        <w:t>main consequences of non-compliance</w:t>
      </w:r>
    </w:p>
    <w:p w:rsidR="00000000" w:rsidRPr="009B7655" w:rsidP="009B7655">
      <w:pPr>
        <w:pStyle w:val="ListBullet2"/>
      </w:pPr>
      <w:r w:rsidRPr="009B7655">
        <w:t>need to apply for and maintain business or occupational licensing and associated mandatory training and certification requirements</w:t>
      </w:r>
    </w:p>
    <w:p w:rsidR="00000000" w:rsidRPr="009B7655" w:rsidP="009B7655">
      <w:pPr>
        <w:pStyle w:val="ListBullet2"/>
      </w:pPr>
      <w:r w:rsidRPr="009B7655">
        <w:t>requirements for record keeping and acceptable record keeping mechanisms</w:t>
      </w:r>
    </w:p>
    <w:p w:rsidR="00000000" w:rsidRPr="009B7655" w:rsidP="009B7655">
      <w:pPr>
        <w:pStyle w:val="ListBullet2"/>
      </w:pPr>
      <w:r w:rsidRPr="009B7655">
        <w:t>statutory reporting requirements for businesses</w:t>
      </w:r>
    </w:p>
    <w:p w:rsidR="00000000" w:rsidRPr="009B7655" w:rsidP="009B7655">
      <w:pPr>
        <w:pStyle w:val="ListBullet2"/>
      </w:pPr>
      <w:r w:rsidRPr="009B7655">
        <w:t xml:space="preserve">key </w:t>
      </w:r>
      <w:r w:rsidRPr="009B7655">
        <w:t xml:space="preserve">business insurances required </w:t>
      </w:r>
    </w:p>
    <w:p w:rsidR="00000000" w:rsidRPr="009B7655" w:rsidP="009B7655">
      <w:pPr>
        <w:pStyle w:val="ListBullet2"/>
      </w:pPr>
      <w:r w:rsidRPr="009B7655">
        <w:t>adherence to mandatory codes of conduct enshrined in legislation</w:t>
      </w:r>
    </w:p>
    <w:p w:rsidR="00000000" w:rsidRPr="009B7655" w:rsidP="009B7655">
      <w:pPr>
        <w:pStyle w:val="ListBullet2"/>
      </w:pPr>
      <w:r w:rsidRPr="009B7655">
        <w:t xml:space="preserve">requirements to develop and implement plans, policies, codes of conduct or incorporate certain business practices </w:t>
      </w:r>
    </w:p>
    <w:p w:rsidR="00000000" w:rsidRPr="009B7655" w:rsidP="009B7655">
      <w:pPr>
        <w:pStyle w:val="ListBullet2"/>
      </w:pPr>
      <w:r w:rsidRPr="009B7655">
        <w:t>rights and responsibilities of employees and e</w:t>
      </w:r>
      <w:r w:rsidRPr="009B7655">
        <w:t>mployers</w:t>
      </w:r>
    </w:p>
    <w:p w:rsidR="00000000" w:rsidRPr="009B7655" w:rsidP="009B7655">
      <w:pPr>
        <w:pStyle w:val="ListBullet2"/>
      </w:pPr>
      <w:r w:rsidRPr="009B7655">
        <w:t>other specific action that must be taken for legal compliance</w:t>
      </w:r>
    </w:p>
    <w:p w:rsidR="00000000" w:rsidRPr="009B7655" w:rsidP="009B7655">
      <w:pPr>
        <w:pStyle w:val="ListBullet"/>
      </w:pPr>
      <w:r w:rsidRPr="009B7655">
        <w:t>opportunities to maintain knowledge of regulatory requirements:</w:t>
      </w:r>
    </w:p>
    <w:p w:rsidR="00000000" w:rsidRPr="009B7655" w:rsidP="009B7655">
      <w:pPr>
        <w:pStyle w:val="ListBullet2"/>
      </w:pPr>
      <w:r w:rsidRPr="009B7655">
        <w:t>discussions with experienced industry personnel</w:t>
      </w:r>
    </w:p>
    <w:p w:rsidR="00000000" w:rsidRPr="009B7655" w:rsidP="009B7655">
      <w:pPr>
        <w:pStyle w:val="ListBullet2"/>
      </w:pPr>
      <w:r w:rsidRPr="009B7655">
        <w:t>networking with colleagues and/or suppliers</w:t>
      </w:r>
    </w:p>
    <w:p w:rsidR="00000000" w:rsidRPr="009B7655" w:rsidP="009B7655">
      <w:pPr>
        <w:pStyle w:val="ListBullet2"/>
      </w:pPr>
      <w:r w:rsidRPr="009B7655">
        <w:t>participating in industry a</w:t>
      </w:r>
      <w:r w:rsidRPr="009B7655">
        <w:t>ccreditation schemes</w:t>
      </w:r>
    </w:p>
    <w:p w:rsidR="00000000" w:rsidRPr="009B7655" w:rsidP="009B7655">
      <w:pPr>
        <w:pStyle w:val="ListBullet2"/>
      </w:pPr>
      <w:r w:rsidRPr="009B7655">
        <w:t>participating in industry seminars</w:t>
      </w:r>
    </w:p>
    <w:p w:rsidR="00000000" w:rsidRPr="009B7655" w:rsidP="009B7655">
      <w:pPr>
        <w:pStyle w:val="ListBullet2"/>
      </w:pPr>
      <w:r w:rsidRPr="009B7655">
        <w:t>membership of professional industry associations</w:t>
      </w:r>
    </w:p>
    <w:p w:rsidR="00000000" w:rsidRPr="009B7655" w:rsidP="009B7655">
      <w:pPr>
        <w:pStyle w:val="ListBullet2"/>
      </w:pPr>
      <w:r w:rsidRPr="009B7655">
        <w:t>participating in training courses</w:t>
      </w:r>
    </w:p>
    <w:p w:rsidR="00000000" w:rsidRPr="009B7655" w:rsidP="009B7655">
      <w:pPr>
        <w:pStyle w:val="ListBullet2"/>
      </w:pPr>
      <w:r w:rsidRPr="009B7655">
        <w:t>subscribing to regulatory newsletters.</w:t>
      </w:r>
    </w:p>
    <w:p w:rsidR="00000000" w:rsidRPr="009B7655" w:rsidP="009B7655">
      <w:pPr>
        <w:pStyle w:val="AllowPageBreak"/>
      </w:pPr>
    </w:p>
    <w:p w:rsidR="00000000" w:rsidRPr="009B7655" w:rsidP="009B7655">
      <w:pPr>
        <w:pStyle w:val="Heading1"/>
      </w:pPr>
      <w:bookmarkStart w:id="4" w:name="O_767664"/>
      <w:bookmarkEnd w:id="4"/>
      <w:r w:rsidRPr="009B7655">
        <w:t>Assessment Conditions</w:t>
      </w:r>
    </w:p>
    <w:p w:rsidR="00000000" w:rsidRPr="009B7655" w:rsidP="002A3248">
      <w:pPr>
        <w:pStyle w:val="BodyText"/>
      </w:pPr>
      <w:r w:rsidRPr="009B7655">
        <w:t>Skills must be demonstrated in an operational tourism, travel, hospitality or events business operation for which a tailored set of regulatory requirements can be researched and compliance management implemented. This can be:</w:t>
      </w:r>
    </w:p>
    <w:p w:rsidR="00000000" w:rsidRPr="009B7655" w:rsidP="009B7655">
      <w:pPr>
        <w:pStyle w:val="ListBullet"/>
      </w:pPr>
      <w:r w:rsidRPr="009B7655">
        <w:t>an industry workplace</w:t>
      </w:r>
    </w:p>
    <w:p w:rsidR="00000000" w:rsidRPr="009B7655" w:rsidP="009B7655">
      <w:pPr>
        <w:pStyle w:val="ListBullet"/>
      </w:pPr>
      <w:r w:rsidRPr="009B7655">
        <w:t>a simul</w:t>
      </w:r>
      <w:r w:rsidRPr="009B7655">
        <w:t>ated industry environment.</w:t>
      </w:r>
    </w:p>
    <w:p w:rsidR="00000000" w:rsidRPr="009B7655" w:rsidP="009B7655">
      <w:pPr>
        <w:pStyle w:val="BodyText"/>
      </w:pPr>
    </w:p>
    <w:p w:rsidR="00000000" w:rsidRPr="009B7655" w:rsidP="002A3248">
      <w:pPr>
        <w:pStyle w:val="BodyText"/>
      </w:pPr>
      <w:r w:rsidRPr="009B7655">
        <w:t>Assessment must ensure access to:</w:t>
      </w:r>
    </w:p>
    <w:p w:rsidR="00000000" w:rsidRPr="009B7655" w:rsidP="009B7655">
      <w:pPr>
        <w:pStyle w:val="ListBullet"/>
      </w:pPr>
      <w:r w:rsidRPr="009B7655">
        <w:t>computers, software programs, printers and communication technology used to administer regulatory requirements</w:t>
      </w:r>
    </w:p>
    <w:p w:rsidR="00000000" w:rsidRPr="009B7655" w:rsidP="009B7655">
      <w:pPr>
        <w:pStyle w:val="ListBullet"/>
      </w:pPr>
      <w:r w:rsidRPr="009B7655">
        <w:t>current legislation</w:t>
      </w:r>
    </w:p>
    <w:p w:rsidR="00000000" w:rsidRPr="009B7655" w:rsidP="009B7655">
      <w:pPr>
        <w:pStyle w:val="ListBullet"/>
      </w:pPr>
      <w:r w:rsidRPr="009B7655">
        <w:t>current plain English regulatory documents distributed by gove</w:t>
      </w:r>
      <w:r w:rsidRPr="009B7655">
        <w:t>rnment regulators</w:t>
      </w:r>
    </w:p>
    <w:p w:rsidR="00000000" w:rsidRPr="009B7655" w:rsidP="009B7655">
      <w:pPr>
        <w:pStyle w:val="ListBullet"/>
      </w:pPr>
      <w:r w:rsidRPr="009B7655">
        <w:t>codes of practice and standards issued by regulatory authorities</w:t>
      </w:r>
    </w:p>
    <w:p w:rsidR="00000000" w:rsidRPr="009B7655" w:rsidP="009B7655">
      <w:pPr>
        <w:pStyle w:val="ListBullet"/>
      </w:pPr>
      <w:r w:rsidRPr="009B7655">
        <w:t>regulatory information and business management manuals issued by industry associations or commercial publishers</w:t>
      </w:r>
    </w:p>
    <w:p w:rsidR="00000000" w:rsidRPr="009B7655" w:rsidP="009B7655">
      <w:pPr>
        <w:pStyle w:val="ListBullet"/>
      </w:pPr>
      <w:r w:rsidRPr="009B7655">
        <w:t>current commercial</w:t>
      </w:r>
      <w:r w:rsidRPr="009B7655">
        <w:t xml:space="preserve"> policies and procedures used to manage regulatory issues</w:t>
      </w:r>
    </w:p>
    <w:p w:rsidR="00000000" w:rsidRPr="009B7655" w:rsidP="009B7655">
      <w:pPr>
        <w:pStyle w:val="ListBullet"/>
      </w:pPr>
      <w:r w:rsidRPr="009B7655">
        <w:t>sources of specialist legal advice:</w:t>
      </w:r>
    </w:p>
    <w:p w:rsidR="00000000" w:rsidRPr="009B7655" w:rsidP="009B7655">
      <w:pPr>
        <w:pStyle w:val="ListBullet2"/>
      </w:pPr>
      <w:r w:rsidRPr="009B7655">
        <w:t>compliance consultants</w:t>
      </w:r>
    </w:p>
    <w:p w:rsidR="00000000" w:rsidRPr="009B7655" w:rsidP="009B7655">
      <w:pPr>
        <w:pStyle w:val="ListBullet2"/>
      </w:pPr>
      <w:r w:rsidRPr="009B7655">
        <w:t>industry associations</w:t>
      </w:r>
    </w:p>
    <w:p w:rsidR="00000000" w:rsidRPr="009B7655" w:rsidP="009B7655">
      <w:pPr>
        <w:pStyle w:val="ListBullet2"/>
      </w:pPr>
      <w:r w:rsidRPr="009B7655">
        <w:t>lawyers</w:t>
      </w:r>
    </w:p>
    <w:p w:rsidR="00000000" w:rsidRPr="009B7655" w:rsidP="009B7655">
      <w:pPr>
        <w:pStyle w:val="ListBullet2"/>
      </w:pPr>
      <w:r w:rsidRPr="009B7655">
        <w:t>local, state, territory or commonwealth government departments or regulatory agencies.</w:t>
      </w:r>
    </w:p>
    <w:p w:rsidR="00000000" w:rsidRPr="009B7655" w:rsidP="009B7655">
      <w:pPr>
        <w:pStyle w:val="BodyText"/>
      </w:pPr>
    </w:p>
    <w:p w:rsidR="00000000" w:rsidRPr="009B7655" w:rsidP="002A3248">
      <w:pPr>
        <w:pStyle w:val="BodyText"/>
      </w:pPr>
      <w:r w:rsidRPr="009B7655">
        <w:t>Assessors must satis</w:t>
      </w:r>
      <w:r w:rsidRPr="009B7655">
        <w:t>fy the Standards for Registered Training Organisations’ requirements for assessors.</w:t>
      </w:r>
    </w:p>
    <w:p w:rsidR="00000000" w:rsidRPr="009B7655" w:rsidP="009B7655">
      <w:pPr>
        <w:pStyle w:val="Heading1"/>
      </w:pPr>
      <w:bookmarkStart w:id="5" w:name="O_767667"/>
      <w:bookmarkEnd w:id="5"/>
      <w:r w:rsidRPr="009B7655">
        <w:t>Links</w:t>
      </w:r>
    </w:p>
    <w:p w:rsidR="00000000" w:rsidRPr="009B7655" w:rsidP="002A3248">
      <w:pPr>
        <w:pStyle w:val="BodyText"/>
      </w:pPr>
      <w:r w:rsidRPr="009B76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06D8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B7655" w:rsidP="009B7655"/>
    <w:sectPr w:rsidSect="009B76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55" w:rsidRPr="002A3248" w:rsidP="002A32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48" w:rsidP="009B7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248" w:rsidP="009B7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3248" w:rsidP="009B76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655" w:rsidRPr="002A3248" w:rsidP="002A32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48" w:rsidRPr="002D2AF8" w:rsidP="009B7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SITXGLC001 Research and comply with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A3248" w:rsidP="009B76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52E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5C6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06C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6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6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6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6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6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6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6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6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6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6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6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655"/>
  </w:style>
  <w:style w:type="character" w:customStyle="1" w:styleId="Heading1Char">
    <w:name w:val="Heading 1 Char"/>
    <w:basedOn w:val="DefaultParagraphFont"/>
    <w:link w:val="Heading1"/>
    <w:rsid w:val="009B76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6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6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65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76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6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6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76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76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6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6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6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6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6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6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6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6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6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6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6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6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6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6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6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655"/>
    <w:rPr>
      <w:b/>
      <w:spacing w:val="0"/>
    </w:rPr>
  </w:style>
  <w:style w:type="paragraph" w:customStyle="1" w:styleId="SuperTitle">
    <w:name w:val="SuperTitle"/>
    <w:basedOn w:val="Title"/>
    <w:rsid w:val="009B76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6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6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6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6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6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6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6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6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6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6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6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655"/>
    <w:rPr>
      <w:i/>
    </w:rPr>
  </w:style>
  <w:style w:type="paragraph" w:styleId="Caption">
    <w:name w:val="caption"/>
    <w:basedOn w:val="BodyText"/>
    <w:next w:val="Normal"/>
    <w:qFormat/>
    <w:rsid w:val="009B76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6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6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655"/>
  </w:style>
  <w:style w:type="paragraph" w:styleId="TableofFigures">
    <w:name w:val="table of figures"/>
    <w:basedOn w:val="Normal"/>
    <w:next w:val="Normal"/>
    <w:semiHidden/>
    <w:rsid w:val="009B76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6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7655"/>
    <w:rPr>
      <w:rFonts w:ascii="Wingdings" w:hAnsi="Wingdings"/>
    </w:rPr>
  </w:style>
  <w:style w:type="paragraph" w:customStyle="1" w:styleId="TableHeading">
    <w:name w:val="Table Heading"/>
    <w:basedOn w:val="HeadingBase"/>
    <w:rsid w:val="009B76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655"/>
    <w:rPr>
      <w:color w:val="0033CC"/>
      <w:u w:val="none"/>
    </w:rPr>
  </w:style>
  <w:style w:type="paragraph" w:customStyle="1" w:styleId="BodyTextRight">
    <w:name w:val="Body Text Right"/>
    <w:basedOn w:val="BodyText"/>
    <w:rsid w:val="009B76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6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6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6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6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6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655"/>
    <w:rPr>
      <w:sz w:val="32"/>
    </w:rPr>
  </w:style>
  <w:style w:type="paragraph" w:customStyle="1" w:styleId="HeadingProcedure">
    <w:name w:val="Heading Procedure"/>
    <w:basedOn w:val="HeadingBase"/>
    <w:next w:val="Normal"/>
    <w:rsid w:val="009B76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655"/>
    <w:pPr>
      <w:spacing w:before="60" w:after="60"/>
    </w:pPr>
  </w:style>
  <w:style w:type="paragraph" w:styleId="ListContinue">
    <w:name w:val="List Continue"/>
    <w:basedOn w:val="List"/>
    <w:rsid w:val="009B7655"/>
    <w:pPr>
      <w:ind w:firstLine="0"/>
    </w:pPr>
  </w:style>
  <w:style w:type="paragraph" w:customStyle="1" w:styleId="ListNote">
    <w:name w:val="List Note"/>
    <w:basedOn w:val="List"/>
    <w:rsid w:val="009B76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6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6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655"/>
    <w:rPr>
      <w:rFonts w:ascii="Courier New" w:hAnsi="Courier New"/>
    </w:rPr>
  </w:style>
  <w:style w:type="paragraph" w:customStyle="1" w:styleId="NoteBullet">
    <w:name w:val="Note Bullet"/>
    <w:basedOn w:val="Note"/>
    <w:rsid w:val="009B76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6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6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6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6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76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6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655"/>
    <w:rPr>
      <w:b/>
      <w:smallCaps/>
    </w:rPr>
  </w:style>
  <w:style w:type="paragraph" w:customStyle="1" w:styleId="TableListNumber">
    <w:name w:val="Table List Number"/>
    <w:basedOn w:val="ListNumber"/>
    <w:rsid w:val="009B76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6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655"/>
    <w:pPr>
      <w:numPr>
        <w:numId w:val="10"/>
      </w:numPr>
    </w:pPr>
  </w:style>
  <w:style w:type="paragraph" w:customStyle="1" w:styleId="ListAlpha2">
    <w:name w:val="List Alpha 2"/>
    <w:basedOn w:val="List2"/>
    <w:rsid w:val="009B7655"/>
    <w:pPr>
      <w:numPr>
        <w:numId w:val="9"/>
      </w:numPr>
    </w:pPr>
  </w:style>
  <w:style w:type="paragraph" w:styleId="List2">
    <w:name w:val="List 2"/>
    <w:basedOn w:val="BodyText"/>
    <w:rsid w:val="009B76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6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6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6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76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7655"/>
    <w:pPr>
      <w:numPr>
        <w:numId w:val="5"/>
      </w:numPr>
    </w:pPr>
  </w:style>
  <w:style w:type="paragraph" w:styleId="ListContinue2">
    <w:name w:val="List Continue 2"/>
    <w:basedOn w:val="List2"/>
    <w:rsid w:val="009B7655"/>
    <w:pPr>
      <w:ind w:firstLine="0"/>
    </w:pPr>
  </w:style>
  <w:style w:type="paragraph" w:styleId="ListContinue3">
    <w:name w:val="List Continue 3"/>
    <w:basedOn w:val="List3"/>
    <w:rsid w:val="009B7655"/>
    <w:pPr>
      <w:ind w:left="1021" w:firstLine="0"/>
    </w:pPr>
  </w:style>
  <w:style w:type="paragraph" w:styleId="ListContinue4">
    <w:name w:val="List Continue 4"/>
    <w:basedOn w:val="List4"/>
    <w:rsid w:val="009B7655"/>
    <w:pPr>
      <w:ind w:firstLine="0"/>
    </w:pPr>
  </w:style>
  <w:style w:type="paragraph" w:styleId="ListContinue5">
    <w:name w:val="List Continue 5"/>
    <w:basedOn w:val="List5"/>
    <w:rsid w:val="009B7655"/>
    <w:pPr>
      <w:ind w:firstLine="0"/>
    </w:pPr>
  </w:style>
  <w:style w:type="paragraph" w:styleId="ListNumber3">
    <w:name w:val="List Number 3"/>
    <w:basedOn w:val="List3"/>
    <w:rsid w:val="009B7655"/>
    <w:pPr>
      <w:numPr>
        <w:numId w:val="6"/>
      </w:numPr>
    </w:pPr>
  </w:style>
  <w:style w:type="paragraph" w:styleId="ListNumber4">
    <w:name w:val="List Number 4"/>
    <w:basedOn w:val="List4"/>
    <w:rsid w:val="009B7655"/>
    <w:pPr>
      <w:numPr>
        <w:numId w:val="7"/>
      </w:numPr>
    </w:pPr>
  </w:style>
  <w:style w:type="paragraph" w:styleId="ListNumber5">
    <w:name w:val="List Number 5"/>
    <w:basedOn w:val="List5"/>
    <w:rsid w:val="009B7655"/>
    <w:pPr>
      <w:numPr>
        <w:numId w:val="8"/>
      </w:numPr>
    </w:pPr>
  </w:style>
  <w:style w:type="paragraph" w:styleId="BlockText">
    <w:name w:val="Block Text"/>
    <w:basedOn w:val="Normal"/>
    <w:rsid w:val="009B76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6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655"/>
    <w:rPr>
      <w:sz w:val="16"/>
      <w:vertAlign w:val="superscript"/>
    </w:rPr>
  </w:style>
  <w:style w:type="character" w:customStyle="1" w:styleId="Symbols">
    <w:name w:val="Symbols"/>
    <w:basedOn w:val="DefaultParagraphFont"/>
    <w:rsid w:val="009B7655"/>
    <w:rPr>
      <w:rFonts w:ascii="Symbol" w:hAnsi="Symbol"/>
    </w:rPr>
  </w:style>
  <w:style w:type="character" w:customStyle="1" w:styleId="MenuOptions">
    <w:name w:val="Menu Options"/>
    <w:basedOn w:val="DefaultParagraphFont"/>
    <w:rsid w:val="009B76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655"/>
    <w:rPr>
      <w:b/>
    </w:rPr>
  </w:style>
  <w:style w:type="character" w:customStyle="1" w:styleId="Underlined">
    <w:name w:val="Underlined"/>
    <w:basedOn w:val="DefaultParagraphFont"/>
    <w:rsid w:val="009B7655"/>
    <w:rPr>
      <w:u w:val="single"/>
    </w:rPr>
  </w:style>
  <w:style w:type="paragraph" w:customStyle="1" w:styleId="TableBodyTextRight">
    <w:name w:val="Table Body Text Right"/>
    <w:basedOn w:val="TableBodyText"/>
    <w:rsid w:val="009B76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655"/>
    <w:rPr>
      <w:sz w:val="18"/>
    </w:rPr>
  </w:style>
  <w:style w:type="paragraph" w:customStyle="1" w:styleId="BodySmallRight">
    <w:name w:val="Body Small Right"/>
    <w:basedOn w:val="BodyTextRight"/>
    <w:rsid w:val="009B7655"/>
    <w:rPr>
      <w:sz w:val="18"/>
      <w:szCs w:val="18"/>
    </w:rPr>
  </w:style>
  <w:style w:type="paragraph" w:customStyle="1" w:styleId="MarginEdition">
    <w:name w:val="Margin Edition"/>
    <w:basedOn w:val="MarginNote"/>
    <w:rsid w:val="009B76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655"/>
    <w:rPr>
      <w:sz w:val="2"/>
      <w:szCs w:val="2"/>
    </w:rPr>
  </w:style>
  <w:style w:type="character" w:customStyle="1" w:styleId="Small">
    <w:name w:val="Small"/>
    <w:basedOn w:val="DefaultParagraphFont"/>
    <w:rsid w:val="009B7655"/>
    <w:rPr>
      <w:sz w:val="16"/>
    </w:rPr>
  </w:style>
  <w:style w:type="paragraph" w:customStyle="1" w:styleId="WideTable">
    <w:name w:val="Wide Table"/>
    <w:basedOn w:val="Normal"/>
    <w:rsid w:val="009B76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655"/>
  </w:style>
  <w:style w:type="paragraph" w:styleId="Quote">
    <w:name w:val="Quote"/>
    <w:basedOn w:val="Heading1"/>
    <w:link w:val="QuoteChar"/>
    <w:qFormat/>
    <w:rsid w:val="009B76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6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655"/>
    <w:pPr>
      <w:pageBreakBefore/>
    </w:pPr>
  </w:style>
  <w:style w:type="paragraph" w:customStyle="1" w:styleId="Border">
    <w:name w:val="Border"/>
    <w:basedOn w:val="Normal"/>
    <w:qFormat/>
    <w:rsid w:val="009B76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6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6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6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6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6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6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6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655"/>
    <w:rPr>
      <w:u w:val="single"/>
    </w:rPr>
  </w:style>
  <w:style w:type="character" w:customStyle="1" w:styleId="BoldandItalics">
    <w:name w:val="Bold and Italics"/>
    <w:qFormat/>
    <w:rsid w:val="009B7655"/>
    <w:rPr>
      <w:b/>
      <w:i/>
      <w:u w:val="none"/>
    </w:rPr>
  </w:style>
  <w:style w:type="paragraph" w:styleId="BalloonText">
    <w:name w:val="Balloon Text"/>
    <w:basedOn w:val="Normal"/>
    <w:link w:val="BalloonTextChar"/>
    <w:rsid w:val="009B7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6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6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6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6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6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655"/>
    <w:pPr>
      <w:spacing w:before="0" w:after="0"/>
    </w:pPr>
  </w:style>
  <w:style w:type="paragraph" w:customStyle="1" w:styleId="BodyTextBold">
    <w:name w:val="Body Text Bold"/>
    <w:basedOn w:val="BodyText"/>
    <w:qFormat/>
    <w:rsid w:val="009B7655"/>
    <w:rPr>
      <w:b/>
    </w:rPr>
  </w:style>
  <w:style w:type="character" w:styleId="Hyperlink">
    <w:name w:val="Hyperlink"/>
    <w:basedOn w:val="DefaultParagraphFont"/>
    <w:uiPriority w:val="99"/>
    <w:unhideWhenUsed/>
    <w:rsid w:val="002A32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5605</Characters>
  <Application>Microsoft Office Word</Application>
  <DocSecurity>0</DocSecurity>
  <Lines>147</Lines>
  <Paragraphs>121</Paragraphs>
  <ScaleCrop>false</ScaleCrop>
  <Company>Author-it Software Corporation Ltd.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SITXGLC001 Research and comply with regulatory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