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91F" w:rsidP="00B50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SITXFSA001 Use hygienic practices for food safety</w:t>
      </w:r>
      <w:r>
        <w:fldChar w:fldCharType="end"/>
      </w:r>
    </w:p>
    <w:p w:rsidR="00B5091F" w:rsidP="00B5091F">
      <w:pPr>
        <w:pStyle w:val="Version"/>
        <w:sectPr w:rsidSect="001F2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11F" w:rsidP="001F211F">
      <w:pPr>
        <w:pStyle w:val="SuperHeading"/>
      </w:pPr>
      <w:r w:rsidRPr="001F211F">
        <w:t>Assessment Requirements for SITXFSA001 Use hygienic practices for food safety</w:t>
      </w:r>
    </w:p>
    <w:p w:rsidR="00000000" w:rsidRPr="001F211F" w:rsidP="001F211F">
      <w:pPr>
        <w:pStyle w:val="Heading1"/>
      </w:pPr>
      <w:bookmarkStart w:id="1" w:name="O_767547"/>
      <w:bookmarkEnd w:id="1"/>
      <w:r w:rsidRPr="001F211F">
        <w:t>Modification History</w:t>
      </w:r>
    </w:p>
    <w:p w:rsidR="00000000" w:rsidRPr="001F211F" w:rsidP="00B5091F">
      <w:pPr>
        <w:pStyle w:val="BodyText"/>
      </w:pPr>
      <w:r w:rsidRPr="001F211F">
        <w:t>Not applicable.</w:t>
      </w:r>
    </w:p>
    <w:p w:rsidR="00000000" w:rsidRPr="001F211F" w:rsidP="001F211F">
      <w:pPr>
        <w:pStyle w:val="Heading1"/>
      </w:pPr>
      <w:bookmarkStart w:id="2" w:name="O_767548"/>
      <w:bookmarkEnd w:id="2"/>
      <w:r w:rsidRPr="001F211F">
        <w:t>Performance Evidence</w:t>
      </w:r>
    </w:p>
    <w:p w:rsidR="00000000" w:rsidRPr="001F211F" w:rsidP="00B5091F">
      <w:pPr>
        <w:pStyle w:val="BodyText"/>
      </w:pPr>
      <w:r w:rsidRPr="001F211F">
        <w:t xml:space="preserve">Evidence of the ability to complete </w:t>
      </w:r>
      <w:r w:rsidRPr="001F211F">
        <w:t>tasks outlined in elements and performance criteria of this unit in the context of the job role, and:</w:t>
      </w:r>
    </w:p>
    <w:p w:rsidR="00000000" w:rsidRPr="001F211F" w:rsidP="001F211F">
      <w:pPr>
        <w:pStyle w:val="ListBullet"/>
      </w:pPr>
      <w:r w:rsidRPr="001F211F">
        <w:t>demonstrate use of safe food handling practices in food handling work functions in line with organisational hygiene procedures on at least three occasion</w:t>
      </w:r>
      <w:r w:rsidRPr="001F211F">
        <w:t>s</w:t>
      </w:r>
    </w:p>
    <w:p w:rsidR="00000000" w:rsidRPr="001F211F" w:rsidP="001F211F">
      <w:pPr>
        <w:pStyle w:val="ListBullet"/>
      </w:pPr>
      <w:r w:rsidRPr="001F211F">
        <w:t>demonstrate procedures to:</w:t>
      </w:r>
    </w:p>
    <w:p w:rsidR="00000000" w:rsidRPr="001F211F" w:rsidP="001F211F">
      <w:pPr>
        <w:pStyle w:val="ListBullet2"/>
      </w:pPr>
      <w:r w:rsidRPr="001F211F">
        <w:t>identify food hazards</w:t>
      </w:r>
    </w:p>
    <w:p w:rsidR="00000000" w:rsidRPr="001F211F" w:rsidP="001F211F">
      <w:pPr>
        <w:pStyle w:val="ListBullet2"/>
      </w:pPr>
      <w:r w:rsidRPr="001F211F">
        <w:t>report unsafe practices</w:t>
      </w:r>
    </w:p>
    <w:p w:rsidR="00000000" w:rsidRPr="001F211F" w:rsidP="001F211F">
      <w:pPr>
        <w:pStyle w:val="ListBullet2"/>
      </w:pPr>
      <w:r w:rsidRPr="001F211F">
        <w:t>report incidents of food contamination.</w:t>
      </w:r>
    </w:p>
    <w:p w:rsidR="00000000" w:rsidRPr="001F211F" w:rsidP="001F211F">
      <w:pPr>
        <w:pStyle w:val="AllowPageBreak"/>
      </w:pPr>
    </w:p>
    <w:p w:rsidR="00000000" w:rsidRPr="001F211F" w:rsidP="001F211F">
      <w:pPr>
        <w:pStyle w:val="Heading1"/>
      </w:pPr>
      <w:bookmarkStart w:id="3" w:name="O_767549"/>
      <w:bookmarkEnd w:id="3"/>
      <w:r w:rsidRPr="001F211F">
        <w:t>Knowledge Evidence</w:t>
      </w:r>
    </w:p>
    <w:p w:rsidR="00000000" w:rsidRPr="001F211F" w:rsidP="00B5091F">
      <w:pPr>
        <w:pStyle w:val="BodyText"/>
      </w:pPr>
      <w:r w:rsidRPr="001F211F">
        <w:t>Demonstrated knowledge required to complete the tasks outlined in elements and performance criteria of t</w:t>
      </w:r>
      <w:r w:rsidRPr="001F211F">
        <w:t>his unit:</w:t>
      </w:r>
    </w:p>
    <w:p w:rsidR="00000000" w:rsidRPr="001F211F" w:rsidP="001F211F">
      <w:pPr>
        <w:pStyle w:val="ListBullet"/>
      </w:pPr>
      <w:r w:rsidRPr="001F211F">
        <w:t>basic aspects of commonwealth, state or territory food safety laws, standards and codes as follows:</w:t>
      </w:r>
    </w:p>
    <w:p w:rsidR="00000000" w:rsidRPr="001F211F" w:rsidP="001F211F">
      <w:pPr>
        <w:pStyle w:val="ListBullet2"/>
      </w:pPr>
      <w:r w:rsidRPr="001F211F">
        <w:t>meaning of contaminant, contamination and potentially hazardous foods as defined by the Australia New Zealand Food Standards Code</w:t>
      </w:r>
    </w:p>
    <w:p w:rsidR="00000000" w:rsidRPr="001F211F" w:rsidP="001F211F">
      <w:pPr>
        <w:pStyle w:val="ListBullet2"/>
      </w:pPr>
      <w:r w:rsidRPr="001F211F">
        <w:t xml:space="preserve">employee and employer responsibility to participate in hygienic practices </w:t>
      </w:r>
    </w:p>
    <w:p w:rsidR="00000000" w:rsidRPr="001F211F" w:rsidP="001F211F">
      <w:pPr>
        <w:pStyle w:val="ListBullet2"/>
      </w:pPr>
      <w:r w:rsidRPr="001F211F">
        <w:t>reasons for food safety programs and what they must contain</w:t>
      </w:r>
    </w:p>
    <w:p w:rsidR="00000000" w:rsidRPr="001F211F" w:rsidP="001F211F">
      <w:pPr>
        <w:pStyle w:val="ListBullet2"/>
      </w:pPr>
      <w:r w:rsidRPr="001F211F">
        <w:t>role of local government regulators</w:t>
      </w:r>
    </w:p>
    <w:p w:rsidR="00000000" w:rsidRPr="001F211F" w:rsidP="001F211F">
      <w:pPr>
        <w:pStyle w:val="ListBullet2"/>
      </w:pPr>
      <w:r w:rsidRPr="001F211F">
        <w:t>ramifications of failure to observe food safety law and organisational policies and p</w:t>
      </w:r>
      <w:r w:rsidRPr="001F211F">
        <w:t>rocedures</w:t>
      </w:r>
    </w:p>
    <w:p w:rsidR="00000000" w:rsidRPr="001F211F" w:rsidP="001F211F">
      <w:pPr>
        <w:pStyle w:val="ListBullet"/>
      </w:pPr>
      <w:r w:rsidRPr="001F211F">
        <w:t>health issues likely to cause a hygiene risk relevant to food safety:</w:t>
      </w:r>
    </w:p>
    <w:p w:rsidR="00000000" w:rsidRPr="001F211F" w:rsidP="001F211F">
      <w:pPr>
        <w:pStyle w:val="ListBullet2"/>
      </w:pPr>
      <w:r w:rsidRPr="001F211F">
        <w:t>airborne diseases</w:t>
      </w:r>
    </w:p>
    <w:p w:rsidR="00000000" w:rsidRPr="001F211F" w:rsidP="001F211F">
      <w:pPr>
        <w:pStyle w:val="ListBullet2"/>
      </w:pPr>
      <w:r w:rsidRPr="001F211F">
        <w:t>food-borne diseases</w:t>
      </w:r>
    </w:p>
    <w:p w:rsidR="00000000" w:rsidRPr="001F211F" w:rsidP="001F211F">
      <w:pPr>
        <w:pStyle w:val="ListBullet2"/>
      </w:pPr>
      <w:r w:rsidRPr="001F211F">
        <w:t>infectious diseases</w:t>
      </w:r>
    </w:p>
    <w:p w:rsidR="00000000" w:rsidRPr="001F211F" w:rsidP="001F211F">
      <w:pPr>
        <w:pStyle w:val="ListBullet"/>
      </w:pPr>
      <w:r w:rsidRPr="001F211F">
        <w:t>hygiene actions that must be adhered to in order to avoid food-borne illnesses</w:t>
      </w:r>
    </w:p>
    <w:p w:rsidR="00000000" w:rsidRPr="001F211F" w:rsidP="001F211F">
      <w:pPr>
        <w:pStyle w:val="ListBullet"/>
      </w:pPr>
      <w:r w:rsidRPr="001F211F">
        <w:t>hand washing practices:</w:t>
      </w:r>
    </w:p>
    <w:p w:rsidR="00000000" w:rsidRPr="001F211F" w:rsidP="001F211F">
      <w:pPr>
        <w:pStyle w:val="ListBullet2"/>
      </w:pPr>
      <w:r w:rsidRPr="001F211F">
        <w:t>before comm</w:t>
      </w:r>
      <w:r w:rsidRPr="001F211F">
        <w:t>encing or recommencing work with food</w:t>
      </w:r>
    </w:p>
    <w:p w:rsidR="00000000" w:rsidRPr="001F211F" w:rsidP="001F211F">
      <w:pPr>
        <w:pStyle w:val="ListBullet2"/>
      </w:pPr>
      <w:r w:rsidRPr="001F211F">
        <w:t>immediately after:</w:t>
      </w:r>
    </w:p>
    <w:p w:rsidR="00000000" w:rsidRPr="001F211F" w:rsidP="001F211F">
      <w:pPr>
        <w:pStyle w:val="ListBullet3"/>
      </w:pPr>
      <w:r w:rsidRPr="001F211F">
        <w:t>handling raw food</w:t>
      </w:r>
    </w:p>
    <w:p w:rsidR="00000000" w:rsidRPr="001F211F" w:rsidP="001F211F">
      <w:pPr>
        <w:pStyle w:val="ListBullet3"/>
      </w:pPr>
      <w:r w:rsidRPr="001F211F">
        <w:t>smoking, coughing, sneezing or blowing the nose</w:t>
      </w:r>
    </w:p>
    <w:p w:rsidR="00000000" w:rsidRPr="001F211F" w:rsidP="001F211F">
      <w:pPr>
        <w:pStyle w:val="ListBullet3"/>
      </w:pPr>
      <w:r w:rsidRPr="001F211F">
        <w:t>eating or drinking</w:t>
      </w:r>
    </w:p>
    <w:p w:rsidR="00000000" w:rsidRPr="001F211F" w:rsidP="001F211F">
      <w:pPr>
        <w:pStyle w:val="ListBullet3"/>
      </w:pPr>
      <w:r w:rsidRPr="001F211F">
        <w:t>touching the hair, scalp or any wound</w:t>
      </w:r>
    </w:p>
    <w:p w:rsidR="00000000" w:rsidRPr="001F211F" w:rsidP="001F211F">
      <w:pPr>
        <w:pStyle w:val="ListBullet3"/>
      </w:pPr>
      <w:r w:rsidRPr="001F211F">
        <w:t>using the toilet</w:t>
      </w:r>
    </w:p>
    <w:p w:rsidR="00000000" w:rsidRPr="001F211F" w:rsidP="001F211F">
      <w:pPr>
        <w:pStyle w:val="ListBullet"/>
      </w:pPr>
      <w:r w:rsidRPr="001F211F">
        <w:t>basic aspects</w:t>
      </w:r>
      <w:r w:rsidRPr="001F211F">
        <w:t xml:space="preserve"> of hazard analysis and critical control points (HACCP) method of controlling food safety</w:t>
      </w:r>
    </w:p>
    <w:p w:rsidR="00000000" w:rsidRPr="001F211F" w:rsidP="001F211F">
      <w:pPr>
        <w:pStyle w:val="ListBullet"/>
      </w:pPr>
      <w:r w:rsidRPr="001F211F">
        <w:t>specific industry sector and organisation:</w:t>
      </w:r>
    </w:p>
    <w:p w:rsidR="00000000" w:rsidRPr="001F211F" w:rsidP="001F211F">
      <w:pPr>
        <w:pStyle w:val="ListBullet2"/>
      </w:pPr>
      <w:r w:rsidRPr="001F211F">
        <w:t>major causes of food contamination and food-borne illnesses</w:t>
      </w:r>
    </w:p>
    <w:p w:rsidR="00000000" w:rsidRPr="001F211F" w:rsidP="001F211F">
      <w:pPr>
        <w:pStyle w:val="ListBullet2"/>
      </w:pPr>
      <w:r w:rsidRPr="001F211F">
        <w:t>sources and effects of microbiological contamination of food</w:t>
      </w:r>
    </w:p>
    <w:p w:rsidR="00000000" w:rsidRPr="001F211F" w:rsidP="001F211F">
      <w:pPr>
        <w:pStyle w:val="ListBullet2"/>
      </w:pPr>
      <w:r w:rsidRPr="001F211F">
        <w:t>workplace hygiene hazards when handling food and food contact surfaces</w:t>
      </w:r>
    </w:p>
    <w:p w:rsidR="00000000" w:rsidRPr="001F211F" w:rsidP="001F211F">
      <w:pPr>
        <w:pStyle w:val="ListBullet2"/>
      </w:pPr>
      <w:r w:rsidRPr="001F211F">
        <w:t>basic content of organisational food safety programs</w:t>
      </w:r>
    </w:p>
    <w:p w:rsidR="00000000" w:rsidRPr="001F211F" w:rsidP="001F211F">
      <w:pPr>
        <w:pStyle w:val="ListBullet2"/>
      </w:pPr>
      <w:r w:rsidRPr="001F211F">
        <w:t>contents of organisational hygiene and food safety procedures</w:t>
      </w:r>
    </w:p>
    <w:p w:rsidR="00000000" w:rsidRPr="001F211F" w:rsidP="001F211F">
      <w:pPr>
        <w:pStyle w:val="ListBullet2"/>
      </w:pPr>
      <w:r w:rsidRPr="001F211F">
        <w:t>hygienic work practices for individual job roles and responsibilities.</w:t>
      </w:r>
    </w:p>
    <w:p w:rsidR="00000000" w:rsidRPr="001F211F" w:rsidP="001F211F">
      <w:pPr>
        <w:pStyle w:val="AllowPageBreak"/>
      </w:pPr>
    </w:p>
    <w:p w:rsidR="00000000" w:rsidRPr="001F211F" w:rsidP="001F211F">
      <w:pPr>
        <w:pStyle w:val="Heading1"/>
      </w:pPr>
      <w:bookmarkStart w:id="4" w:name="O_767550"/>
      <w:bookmarkEnd w:id="4"/>
      <w:r w:rsidRPr="001F211F">
        <w:t>Assessment Conditions</w:t>
      </w:r>
    </w:p>
    <w:p w:rsidR="00000000" w:rsidRPr="001F211F" w:rsidP="00B5091F">
      <w:pPr>
        <w:pStyle w:val="BodyText"/>
      </w:pPr>
      <w:r w:rsidRPr="001F211F">
        <w:t>Skills must be demonstrated in an operational food preparation area. This can be:</w:t>
      </w:r>
    </w:p>
    <w:p w:rsidR="00000000" w:rsidRPr="001F211F" w:rsidP="001F211F">
      <w:pPr>
        <w:pStyle w:val="ListBullet"/>
      </w:pPr>
      <w:r w:rsidRPr="001F211F">
        <w:t>an industry workplace</w:t>
      </w:r>
    </w:p>
    <w:p w:rsidR="00000000" w:rsidRPr="001F211F" w:rsidP="001F211F">
      <w:pPr>
        <w:pStyle w:val="ListBullet"/>
      </w:pPr>
      <w:r w:rsidRPr="001F211F">
        <w:t>a simulated industry environment.</w:t>
      </w:r>
    </w:p>
    <w:p w:rsidR="00000000" w:rsidRPr="001F211F" w:rsidP="001F211F">
      <w:pPr>
        <w:pStyle w:val="BodyText"/>
      </w:pPr>
    </w:p>
    <w:p w:rsidR="00000000" w:rsidRPr="001F211F" w:rsidP="00B5091F">
      <w:pPr>
        <w:pStyle w:val="BodyText"/>
      </w:pPr>
      <w:r w:rsidRPr="001F211F">
        <w:t>Assessment must ensure access to:</w:t>
      </w:r>
    </w:p>
    <w:p w:rsidR="00000000" w:rsidRPr="001F211F" w:rsidP="001F211F">
      <w:pPr>
        <w:pStyle w:val="ListBullet"/>
      </w:pPr>
      <w:r w:rsidRPr="001F211F">
        <w:t xml:space="preserve">fixtures: </w:t>
      </w:r>
    </w:p>
    <w:p w:rsidR="00000000" w:rsidRPr="001F211F" w:rsidP="001F211F">
      <w:pPr>
        <w:pStyle w:val="ListBullet2"/>
      </w:pPr>
      <w:r w:rsidRPr="001F211F">
        <w:t>work benches</w:t>
      </w:r>
    </w:p>
    <w:p w:rsidR="00000000" w:rsidRPr="001F211F" w:rsidP="001F211F">
      <w:pPr>
        <w:pStyle w:val="ListBullet2"/>
      </w:pPr>
      <w:r w:rsidRPr="001F211F">
        <w:t>refrigeration unit</w:t>
      </w:r>
    </w:p>
    <w:p w:rsidR="00000000" w:rsidRPr="001F211F" w:rsidP="001F211F">
      <w:pPr>
        <w:pStyle w:val="ListBullet2"/>
      </w:pPr>
      <w:r w:rsidRPr="001F211F">
        <w:t>sink</w:t>
      </w:r>
    </w:p>
    <w:p w:rsidR="00000000" w:rsidRPr="001F211F" w:rsidP="001F211F">
      <w:pPr>
        <w:pStyle w:val="ListBullet2"/>
      </w:pPr>
      <w:r w:rsidRPr="001F211F">
        <w:t>storage facilities</w:t>
      </w:r>
    </w:p>
    <w:p w:rsidR="00000000" w:rsidRPr="001F211F" w:rsidP="001F211F">
      <w:pPr>
        <w:pStyle w:val="ListBullet"/>
      </w:pPr>
      <w:r w:rsidRPr="001F211F">
        <w:t>small equipment:</w:t>
      </w:r>
    </w:p>
    <w:p w:rsidR="00000000" w:rsidRPr="001F211F" w:rsidP="001F211F">
      <w:pPr>
        <w:pStyle w:val="ListBullet2"/>
      </w:pPr>
      <w:r w:rsidRPr="001F211F">
        <w:t>assorted pots and pans</w:t>
      </w:r>
    </w:p>
    <w:p w:rsidR="00000000" w:rsidRPr="001F211F" w:rsidP="001F211F">
      <w:pPr>
        <w:pStyle w:val="ListBullet2"/>
      </w:pPr>
      <w:r w:rsidRPr="001F211F">
        <w:t>containers for hot and cold storage</w:t>
      </w:r>
    </w:p>
    <w:p w:rsidR="00000000" w:rsidRPr="001F211F" w:rsidP="001F211F">
      <w:pPr>
        <w:pStyle w:val="ListBullet2"/>
      </w:pPr>
      <w:r w:rsidRPr="001F211F">
        <w:t>crockery</w:t>
      </w:r>
    </w:p>
    <w:p w:rsidR="00000000" w:rsidRPr="001F211F" w:rsidP="001F211F">
      <w:pPr>
        <w:pStyle w:val="ListBullet2"/>
      </w:pPr>
      <w:r w:rsidRPr="001F211F">
        <w:t>cutlery</w:t>
      </w:r>
    </w:p>
    <w:p w:rsidR="00000000" w:rsidRPr="001F211F" w:rsidP="001F211F">
      <w:pPr>
        <w:pStyle w:val="ListBullet2"/>
      </w:pPr>
      <w:r w:rsidRPr="001F211F">
        <w:t>cutting boards</w:t>
      </w:r>
    </w:p>
    <w:p w:rsidR="00000000" w:rsidRPr="001F211F" w:rsidP="001F211F">
      <w:pPr>
        <w:pStyle w:val="ListBullet2"/>
      </w:pPr>
      <w:r w:rsidRPr="001F211F">
        <w:t>food handler gloves</w:t>
      </w:r>
    </w:p>
    <w:p w:rsidR="00000000" w:rsidRPr="001F211F" w:rsidP="001F211F">
      <w:pPr>
        <w:pStyle w:val="ListBullet2"/>
      </w:pPr>
      <w:r w:rsidRPr="001F211F">
        <w:t>glassware</w:t>
      </w:r>
    </w:p>
    <w:p w:rsidR="00000000" w:rsidRPr="001F211F" w:rsidP="001F211F">
      <w:pPr>
        <w:pStyle w:val="ListBullet2"/>
      </w:pPr>
      <w:r w:rsidRPr="001F211F">
        <w:t>knives</w:t>
      </w:r>
    </w:p>
    <w:p w:rsidR="00000000" w:rsidRPr="001F211F" w:rsidP="001F211F">
      <w:pPr>
        <w:pStyle w:val="ListBullet2"/>
      </w:pPr>
      <w:r w:rsidRPr="001F211F">
        <w:t>packaging materials</w:t>
      </w:r>
    </w:p>
    <w:p w:rsidR="00000000" w:rsidRPr="001F211F" w:rsidP="001F211F">
      <w:pPr>
        <w:pStyle w:val="ListBullet2"/>
      </w:pPr>
      <w:r w:rsidRPr="001F211F">
        <w:t>receptacles for presentation and display purpo</w:t>
      </w:r>
      <w:r w:rsidRPr="001F211F">
        <w:t>ses</w:t>
      </w:r>
    </w:p>
    <w:p w:rsidR="00000000" w:rsidRPr="001F211F" w:rsidP="001F211F">
      <w:pPr>
        <w:pStyle w:val="ListBullet2"/>
      </w:pPr>
      <w:r w:rsidRPr="001F211F">
        <w:t xml:space="preserve">small utensils: </w:t>
      </w:r>
    </w:p>
    <w:p w:rsidR="00000000" w:rsidRPr="001F211F" w:rsidP="001F211F">
      <w:pPr>
        <w:pStyle w:val="ListBullet3"/>
      </w:pPr>
      <w:r w:rsidRPr="001F211F">
        <w:t xml:space="preserve">tongs </w:t>
      </w:r>
    </w:p>
    <w:p w:rsidR="00000000" w:rsidRPr="001F211F" w:rsidP="001F211F">
      <w:pPr>
        <w:pStyle w:val="ListBullet3"/>
      </w:pPr>
      <w:r w:rsidRPr="001F211F">
        <w:t>serving utensils</w:t>
      </w:r>
    </w:p>
    <w:p w:rsidR="00000000" w:rsidRPr="001F211F" w:rsidP="001F211F">
      <w:pPr>
        <w:pStyle w:val="ListBullet"/>
      </w:pPr>
      <w:r w:rsidRPr="001F211F">
        <w:t>appropriate facilities for handwashing:</w:t>
      </w:r>
    </w:p>
    <w:p w:rsidR="00000000" w:rsidRPr="001F211F" w:rsidP="001F211F">
      <w:pPr>
        <w:pStyle w:val="ListBullet2"/>
      </w:pPr>
      <w:r w:rsidRPr="001F211F">
        <w:t>designated hand washing sink</w:t>
      </w:r>
    </w:p>
    <w:p w:rsidR="00000000" w:rsidRPr="001F211F" w:rsidP="001F211F">
      <w:pPr>
        <w:pStyle w:val="ListBullet2"/>
      </w:pPr>
      <w:r w:rsidRPr="001F211F">
        <w:t>antiseptic liquid soap</w:t>
      </w:r>
    </w:p>
    <w:p w:rsidR="00000000" w:rsidRPr="001F211F" w:rsidP="001F211F">
      <w:pPr>
        <w:pStyle w:val="ListBullet2"/>
      </w:pPr>
      <w:r w:rsidRPr="001F211F">
        <w:t>single use towels</w:t>
      </w:r>
    </w:p>
    <w:p w:rsidR="00000000" w:rsidRPr="001F211F" w:rsidP="001F211F">
      <w:pPr>
        <w:pStyle w:val="ListBullet2"/>
      </w:pPr>
      <w:r w:rsidRPr="001F211F">
        <w:t>warm running water</w:t>
      </w:r>
    </w:p>
    <w:p w:rsidR="00000000" w:rsidRPr="001F211F" w:rsidP="001F211F">
      <w:pPr>
        <w:pStyle w:val="ListBullet"/>
      </w:pPr>
      <w:r w:rsidRPr="001F211F">
        <w:t>food ingredients and ready to eat food items</w:t>
      </w:r>
    </w:p>
    <w:p w:rsidR="00000000" w:rsidRPr="001F211F" w:rsidP="001F211F">
      <w:pPr>
        <w:pStyle w:val="ListBullet"/>
      </w:pPr>
      <w:r w:rsidRPr="001F211F">
        <w:t>current plain English regulatory documents distributed by the commonwealth, state, territory or local government food safety authority</w:t>
      </w:r>
    </w:p>
    <w:p w:rsidR="00000000" w:rsidRPr="001F211F" w:rsidP="001F211F">
      <w:pPr>
        <w:pStyle w:val="ListBullet"/>
      </w:pPr>
      <w:r w:rsidRPr="001F211F">
        <w:t>Australia New Zealand Food Standards Code</w:t>
      </w:r>
    </w:p>
    <w:p w:rsidR="00000000" w:rsidRPr="001F211F" w:rsidP="001F211F">
      <w:pPr>
        <w:pStyle w:val="ListBullet"/>
      </w:pPr>
      <w:r w:rsidRPr="001F211F">
        <w:t>current commercial food safety programs, policies and procedures used for manag</w:t>
      </w:r>
      <w:r w:rsidRPr="001F211F">
        <w:t>ing food safety.</w:t>
      </w:r>
    </w:p>
    <w:p w:rsidR="00000000" w:rsidRPr="001F211F" w:rsidP="001F211F">
      <w:pPr>
        <w:pStyle w:val="BodyText"/>
      </w:pPr>
    </w:p>
    <w:p w:rsidR="00000000" w:rsidRPr="001F211F" w:rsidP="00B5091F">
      <w:pPr>
        <w:pStyle w:val="BodyText"/>
      </w:pPr>
      <w:r w:rsidRPr="001F211F">
        <w:t xml:space="preserve">Assessors must satisfy the Standards for Registered Training Organisations’ requirements for assessors. </w:t>
      </w:r>
    </w:p>
    <w:p w:rsidR="00000000" w:rsidRPr="001F211F" w:rsidP="001F211F">
      <w:pPr>
        <w:pStyle w:val="Heading1"/>
      </w:pPr>
      <w:bookmarkStart w:id="5" w:name="O_767553"/>
      <w:bookmarkEnd w:id="5"/>
      <w:r w:rsidRPr="001F211F">
        <w:t>Links</w:t>
      </w:r>
    </w:p>
    <w:p w:rsidR="00000000" w:rsidRPr="001F211F" w:rsidP="00B5091F">
      <w:pPr>
        <w:pStyle w:val="BodyText"/>
      </w:pPr>
      <w:r w:rsidRPr="001F21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30CC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F211F" w:rsidP="001F211F"/>
    <w:sectPr w:rsidSect="001F21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1F" w:rsidRPr="00B5091F" w:rsidP="00B50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1F" w:rsidP="001F2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91F" w:rsidP="001F2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091F" w:rsidP="001F2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11F" w:rsidRPr="00B5091F" w:rsidP="00B50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1F" w:rsidRPr="002D2AF8" w:rsidP="001F2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SITXFSA001 Use hygienic practices for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5091F" w:rsidP="001F2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42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C1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A49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11F"/>
  </w:style>
  <w:style w:type="character" w:customStyle="1" w:styleId="Heading1Char">
    <w:name w:val="Heading 1 Char"/>
    <w:basedOn w:val="DefaultParagraphFont"/>
    <w:link w:val="Heading1"/>
    <w:rsid w:val="001F2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1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1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21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2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11F"/>
    <w:rPr>
      <w:b/>
      <w:spacing w:val="0"/>
    </w:rPr>
  </w:style>
  <w:style w:type="paragraph" w:customStyle="1" w:styleId="SuperTitle">
    <w:name w:val="SuperTitle"/>
    <w:basedOn w:val="Title"/>
    <w:rsid w:val="001F2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11F"/>
    <w:rPr>
      <w:i/>
    </w:rPr>
  </w:style>
  <w:style w:type="paragraph" w:styleId="Caption">
    <w:name w:val="caption"/>
    <w:basedOn w:val="BodyText"/>
    <w:next w:val="Normal"/>
    <w:qFormat/>
    <w:rsid w:val="001F2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11F"/>
  </w:style>
  <w:style w:type="paragraph" w:styleId="TableofFigures">
    <w:name w:val="table of figures"/>
    <w:basedOn w:val="Normal"/>
    <w:next w:val="Normal"/>
    <w:semiHidden/>
    <w:rsid w:val="001F2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1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211F"/>
    <w:rPr>
      <w:rFonts w:ascii="Wingdings" w:hAnsi="Wingdings"/>
    </w:rPr>
  </w:style>
  <w:style w:type="paragraph" w:customStyle="1" w:styleId="TableHeading">
    <w:name w:val="Table Heading"/>
    <w:basedOn w:val="HeadingBase"/>
    <w:rsid w:val="001F2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11F"/>
    <w:rPr>
      <w:color w:val="0033CC"/>
      <w:u w:val="none"/>
    </w:rPr>
  </w:style>
  <w:style w:type="paragraph" w:customStyle="1" w:styleId="BodyTextRight">
    <w:name w:val="Body Text Right"/>
    <w:basedOn w:val="BodyText"/>
    <w:rsid w:val="001F2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1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11F"/>
    <w:rPr>
      <w:sz w:val="32"/>
    </w:rPr>
  </w:style>
  <w:style w:type="paragraph" w:customStyle="1" w:styleId="HeadingProcedure">
    <w:name w:val="Heading Procedure"/>
    <w:basedOn w:val="HeadingBase"/>
    <w:next w:val="Normal"/>
    <w:rsid w:val="001F2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11F"/>
    <w:pPr>
      <w:spacing w:before="60" w:after="60"/>
    </w:pPr>
  </w:style>
  <w:style w:type="paragraph" w:styleId="ListContinue">
    <w:name w:val="List Continue"/>
    <w:basedOn w:val="List"/>
    <w:rsid w:val="001F211F"/>
    <w:pPr>
      <w:ind w:firstLine="0"/>
    </w:pPr>
  </w:style>
  <w:style w:type="paragraph" w:customStyle="1" w:styleId="ListNote">
    <w:name w:val="List Note"/>
    <w:basedOn w:val="List"/>
    <w:rsid w:val="001F2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11F"/>
    <w:rPr>
      <w:rFonts w:ascii="Courier New" w:hAnsi="Courier New"/>
    </w:rPr>
  </w:style>
  <w:style w:type="paragraph" w:customStyle="1" w:styleId="NoteBullet">
    <w:name w:val="Note Bullet"/>
    <w:basedOn w:val="Note"/>
    <w:rsid w:val="001F2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1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2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11F"/>
    <w:rPr>
      <w:b/>
      <w:smallCaps/>
    </w:rPr>
  </w:style>
  <w:style w:type="paragraph" w:customStyle="1" w:styleId="TableListNumber">
    <w:name w:val="Table List Number"/>
    <w:basedOn w:val="ListNumber"/>
    <w:rsid w:val="001F2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11F"/>
    <w:pPr>
      <w:numPr>
        <w:numId w:val="10"/>
      </w:numPr>
    </w:pPr>
  </w:style>
  <w:style w:type="paragraph" w:customStyle="1" w:styleId="ListAlpha2">
    <w:name w:val="List Alpha 2"/>
    <w:basedOn w:val="List2"/>
    <w:rsid w:val="001F211F"/>
    <w:pPr>
      <w:numPr>
        <w:numId w:val="9"/>
      </w:numPr>
    </w:pPr>
  </w:style>
  <w:style w:type="paragraph" w:styleId="List2">
    <w:name w:val="List 2"/>
    <w:basedOn w:val="BodyText"/>
    <w:rsid w:val="001F2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1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21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211F"/>
    <w:pPr>
      <w:numPr>
        <w:numId w:val="5"/>
      </w:numPr>
    </w:pPr>
  </w:style>
  <w:style w:type="paragraph" w:styleId="ListContinue2">
    <w:name w:val="List Continue 2"/>
    <w:basedOn w:val="List2"/>
    <w:rsid w:val="001F211F"/>
    <w:pPr>
      <w:ind w:firstLine="0"/>
    </w:pPr>
  </w:style>
  <w:style w:type="paragraph" w:styleId="ListContinue3">
    <w:name w:val="List Continue 3"/>
    <w:basedOn w:val="List3"/>
    <w:rsid w:val="001F211F"/>
    <w:pPr>
      <w:ind w:left="1021" w:firstLine="0"/>
    </w:pPr>
  </w:style>
  <w:style w:type="paragraph" w:styleId="ListContinue4">
    <w:name w:val="List Continue 4"/>
    <w:basedOn w:val="List4"/>
    <w:rsid w:val="001F211F"/>
    <w:pPr>
      <w:ind w:firstLine="0"/>
    </w:pPr>
  </w:style>
  <w:style w:type="paragraph" w:styleId="ListContinue5">
    <w:name w:val="List Continue 5"/>
    <w:basedOn w:val="List5"/>
    <w:rsid w:val="001F211F"/>
    <w:pPr>
      <w:ind w:firstLine="0"/>
    </w:pPr>
  </w:style>
  <w:style w:type="paragraph" w:styleId="ListNumber3">
    <w:name w:val="List Number 3"/>
    <w:basedOn w:val="List3"/>
    <w:rsid w:val="001F211F"/>
    <w:pPr>
      <w:numPr>
        <w:numId w:val="6"/>
      </w:numPr>
    </w:pPr>
  </w:style>
  <w:style w:type="paragraph" w:styleId="ListNumber4">
    <w:name w:val="List Number 4"/>
    <w:basedOn w:val="List4"/>
    <w:rsid w:val="001F211F"/>
    <w:pPr>
      <w:numPr>
        <w:numId w:val="7"/>
      </w:numPr>
    </w:pPr>
  </w:style>
  <w:style w:type="paragraph" w:styleId="ListNumber5">
    <w:name w:val="List Number 5"/>
    <w:basedOn w:val="List5"/>
    <w:rsid w:val="001F211F"/>
    <w:pPr>
      <w:numPr>
        <w:numId w:val="8"/>
      </w:numPr>
    </w:pPr>
  </w:style>
  <w:style w:type="paragraph" w:styleId="BlockText">
    <w:name w:val="Block Text"/>
    <w:basedOn w:val="Normal"/>
    <w:rsid w:val="001F2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11F"/>
    <w:rPr>
      <w:sz w:val="16"/>
      <w:vertAlign w:val="superscript"/>
    </w:rPr>
  </w:style>
  <w:style w:type="character" w:customStyle="1" w:styleId="Symbols">
    <w:name w:val="Symbols"/>
    <w:basedOn w:val="DefaultParagraphFont"/>
    <w:rsid w:val="001F211F"/>
    <w:rPr>
      <w:rFonts w:ascii="Symbol" w:hAnsi="Symbol"/>
    </w:rPr>
  </w:style>
  <w:style w:type="character" w:customStyle="1" w:styleId="MenuOptions">
    <w:name w:val="Menu Options"/>
    <w:basedOn w:val="DefaultParagraphFont"/>
    <w:rsid w:val="001F2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11F"/>
    <w:rPr>
      <w:b/>
    </w:rPr>
  </w:style>
  <w:style w:type="character" w:customStyle="1" w:styleId="Underlined">
    <w:name w:val="Underlined"/>
    <w:basedOn w:val="DefaultParagraphFont"/>
    <w:rsid w:val="001F211F"/>
    <w:rPr>
      <w:u w:val="single"/>
    </w:rPr>
  </w:style>
  <w:style w:type="paragraph" w:customStyle="1" w:styleId="TableBodyTextRight">
    <w:name w:val="Table Body Text Right"/>
    <w:basedOn w:val="TableBodyText"/>
    <w:rsid w:val="001F2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11F"/>
    <w:rPr>
      <w:sz w:val="18"/>
    </w:rPr>
  </w:style>
  <w:style w:type="paragraph" w:customStyle="1" w:styleId="BodySmallRight">
    <w:name w:val="Body Small Right"/>
    <w:basedOn w:val="BodyTextRight"/>
    <w:rsid w:val="001F211F"/>
    <w:rPr>
      <w:sz w:val="18"/>
      <w:szCs w:val="18"/>
    </w:rPr>
  </w:style>
  <w:style w:type="paragraph" w:customStyle="1" w:styleId="MarginEdition">
    <w:name w:val="Margin Edition"/>
    <w:basedOn w:val="MarginNote"/>
    <w:rsid w:val="001F2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11F"/>
    <w:rPr>
      <w:sz w:val="2"/>
      <w:szCs w:val="2"/>
    </w:rPr>
  </w:style>
  <w:style w:type="character" w:customStyle="1" w:styleId="Small">
    <w:name w:val="Small"/>
    <w:basedOn w:val="DefaultParagraphFont"/>
    <w:rsid w:val="001F211F"/>
    <w:rPr>
      <w:sz w:val="16"/>
    </w:rPr>
  </w:style>
  <w:style w:type="paragraph" w:customStyle="1" w:styleId="WideTable">
    <w:name w:val="Wide Table"/>
    <w:basedOn w:val="Normal"/>
    <w:rsid w:val="001F2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11F"/>
  </w:style>
  <w:style w:type="paragraph" w:styleId="Quote">
    <w:name w:val="Quote"/>
    <w:basedOn w:val="Heading1"/>
    <w:link w:val="QuoteChar"/>
    <w:qFormat/>
    <w:rsid w:val="001F2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11F"/>
    <w:pPr>
      <w:pageBreakBefore/>
    </w:pPr>
  </w:style>
  <w:style w:type="paragraph" w:customStyle="1" w:styleId="Border">
    <w:name w:val="Border"/>
    <w:basedOn w:val="Normal"/>
    <w:qFormat/>
    <w:rsid w:val="001F2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11F"/>
    <w:rPr>
      <w:u w:val="single"/>
    </w:rPr>
  </w:style>
  <w:style w:type="character" w:customStyle="1" w:styleId="BoldandItalics">
    <w:name w:val="Bold and Italics"/>
    <w:qFormat/>
    <w:rsid w:val="001F211F"/>
    <w:rPr>
      <w:b/>
      <w:i/>
      <w:u w:val="none"/>
    </w:rPr>
  </w:style>
  <w:style w:type="paragraph" w:styleId="BalloonText">
    <w:name w:val="Balloon Text"/>
    <w:basedOn w:val="Normal"/>
    <w:link w:val="BalloonTextChar"/>
    <w:rsid w:val="001F2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11F"/>
    <w:pPr>
      <w:spacing w:before="0" w:after="0"/>
    </w:pPr>
  </w:style>
  <w:style w:type="paragraph" w:customStyle="1" w:styleId="BodyTextBold">
    <w:name w:val="Body Text Bold"/>
    <w:basedOn w:val="BodyText"/>
    <w:qFormat/>
    <w:rsid w:val="001F211F"/>
    <w:rPr>
      <w:b/>
    </w:rPr>
  </w:style>
  <w:style w:type="character" w:styleId="Hyperlink">
    <w:name w:val="Hyperlink"/>
    <w:basedOn w:val="DefaultParagraphFont"/>
    <w:uiPriority w:val="99"/>
    <w:unhideWhenUsed/>
    <w:rsid w:val="00B50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3138</Characters>
  <Application>Microsoft Office Word</Application>
  <DocSecurity>0</DocSecurity>
  <Lines>101</Lines>
  <Paragraphs>90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SITXFSA001 Use hygienic practices for food safety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2022-12-20T02:31:00Z</dcterms:created>
  <dcterms:modified xsi:type="dcterms:W3CDTF">2022-12-20T02:31:00Z</dcterms:modified>
</cp:coreProperties>
</file>