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0EB" w:rsidP="00500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SITXFIN006 Manage revenue</w:t>
      </w:r>
      <w:r>
        <w:fldChar w:fldCharType="end"/>
      </w:r>
    </w:p>
    <w:p w:rsidR="005000EB" w:rsidP="005000EB">
      <w:pPr>
        <w:pStyle w:val="Version"/>
        <w:sectPr w:rsidSect="00130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B25" w:rsidP="00130B25">
      <w:pPr>
        <w:pStyle w:val="SuperHeading"/>
      </w:pPr>
      <w:r w:rsidRPr="00130B25">
        <w:t>Assessment Requirements for SITXFIN006 Manage revenue</w:t>
      </w:r>
    </w:p>
    <w:p w:rsidR="00000000" w:rsidRPr="00130B25" w:rsidP="00130B25">
      <w:pPr>
        <w:pStyle w:val="Heading1"/>
      </w:pPr>
      <w:bookmarkStart w:id="1" w:name="O_767490"/>
      <w:bookmarkEnd w:id="1"/>
      <w:r w:rsidRPr="00130B25">
        <w:t>Modification History</w:t>
      </w:r>
    </w:p>
    <w:p w:rsidR="00000000" w:rsidRPr="00130B25" w:rsidP="005000EB">
      <w:pPr>
        <w:pStyle w:val="BodyText"/>
      </w:pPr>
      <w:r w:rsidRPr="00130B25">
        <w:t>Not applicable.</w:t>
      </w:r>
    </w:p>
    <w:p w:rsidR="00000000" w:rsidRPr="00130B25" w:rsidP="00130B25">
      <w:pPr>
        <w:pStyle w:val="Heading1"/>
      </w:pPr>
      <w:bookmarkStart w:id="2" w:name="O_767491"/>
      <w:bookmarkEnd w:id="2"/>
      <w:r w:rsidRPr="00130B25">
        <w:t>Performance Evidence</w:t>
      </w:r>
    </w:p>
    <w:p w:rsidR="00000000" w:rsidRPr="00130B25" w:rsidP="005000EB">
      <w:pPr>
        <w:pStyle w:val="BodyText"/>
      </w:pPr>
      <w:r w:rsidRPr="00130B25">
        <w:t>Evidence of the ability to complete tasks outlined in elements and performance criteria of this unit in the context of the job role, and:</w:t>
      </w:r>
    </w:p>
    <w:p w:rsidR="00000000" w:rsidRPr="00130B25" w:rsidP="00130B25">
      <w:pPr>
        <w:pStyle w:val="ListBullet"/>
      </w:pPr>
      <w:r w:rsidRPr="00130B25">
        <w:t>using each of the followin</w:t>
      </w:r>
      <w:r w:rsidRPr="00130B25">
        <w:t xml:space="preserve">g at least once, develop, implement and monitor a total of six different pricing initiatives for: </w:t>
      </w:r>
    </w:p>
    <w:p w:rsidR="00000000" w:rsidRPr="00130B25" w:rsidP="00130B25">
      <w:pPr>
        <w:pStyle w:val="ListBullet2"/>
      </w:pPr>
      <w:r w:rsidRPr="00130B25">
        <w:t>products</w:t>
      </w:r>
    </w:p>
    <w:p w:rsidR="00000000" w:rsidRPr="00130B25" w:rsidP="00130B25">
      <w:pPr>
        <w:pStyle w:val="ListBullet2"/>
      </w:pPr>
      <w:r w:rsidRPr="00130B25">
        <w:t>services</w:t>
      </w:r>
    </w:p>
    <w:p w:rsidR="00000000" w:rsidRPr="00130B25" w:rsidP="00130B25">
      <w:pPr>
        <w:pStyle w:val="ListBullet2"/>
      </w:pPr>
      <w:r w:rsidRPr="00130B25">
        <w:t>trading periods</w:t>
      </w:r>
    </w:p>
    <w:p w:rsidR="00000000" w:rsidRPr="00130B25" w:rsidP="00130B25">
      <w:pPr>
        <w:pStyle w:val="ListBullet2"/>
      </w:pPr>
      <w:r w:rsidRPr="00130B25">
        <w:t>market segments</w:t>
      </w:r>
    </w:p>
    <w:p w:rsidR="00000000" w:rsidRPr="00130B25" w:rsidP="00130B25">
      <w:pPr>
        <w:pStyle w:val="ListBullet"/>
      </w:pPr>
      <w:r w:rsidRPr="00130B25">
        <w:t>demonstrate consideration of the following factors when determining each of the above pricing initiatives</w:t>
      </w:r>
      <w:r w:rsidRPr="00130B25">
        <w:t>:</w:t>
      </w:r>
    </w:p>
    <w:p w:rsidR="00000000" w:rsidRPr="00130B25" w:rsidP="00130B25">
      <w:pPr>
        <w:pStyle w:val="ListBullet2"/>
      </w:pPr>
      <w:r w:rsidRPr="00130B25">
        <w:t>revenue management principles</w:t>
      </w:r>
    </w:p>
    <w:p w:rsidR="00000000" w:rsidRPr="00130B25" w:rsidP="00130B25">
      <w:pPr>
        <w:pStyle w:val="ListBullet2"/>
      </w:pPr>
      <w:r w:rsidRPr="00130B25">
        <w:t>industry distribution and marketing considerations.</w:t>
      </w:r>
    </w:p>
    <w:p w:rsidR="00000000" w:rsidRPr="00130B25" w:rsidP="00130B25">
      <w:pPr>
        <w:pStyle w:val="AllowPageBreak"/>
      </w:pPr>
    </w:p>
    <w:p w:rsidR="00000000" w:rsidRPr="00130B25" w:rsidP="00130B25">
      <w:pPr>
        <w:pStyle w:val="Heading1"/>
      </w:pPr>
      <w:bookmarkStart w:id="3" w:name="O_767492"/>
      <w:bookmarkEnd w:id="3"/>
      <w:r w:rsidRPr="00130B25">
        <w:t>Knowledge Evidence</w:t>
      </w:r>
    </w:p>
    <w:p w:rsidR="00000000" w:rsidRPr="00130B25" w:rsidP="005000EB">
      <w:pPr>
        <w:pStyle w:val="BodyText"/>
      </w:pPr>
      <w:r w:rsidRPr="00130B25">
        <w:t>Demonstrated knowledge required to complete the tasks outlined in elements and performance criteria of this unit:</w:t>
      </w:r>
    </w:p>
    <w:p w:rsidR="00000000" w:rsidRPr="00130B25" w:rsidP="00130B25">
      <w:pPr>
        <w:pStyle w:val="ListBullet"/>
      </w:pPr>
      <w:r w:rsidRPr="00130B25">
        <w:t>key principles and terminology of revenue management:</w:t>
      </w:r>
    </w:p>
    <w:p w:rsidR="00000000" w:rsidRPr="00130B25" w:rsidP="00130B25">
      <w:pPr>
        <w:pStyle w:val="ListBullet2"/>
      </w:pPr>
      <w:r w:rsidRPr="00130B25">
        <w:t>dynamic and static pricing</w:t>
      </w:r>
    </w:p>
    <w:p w:rsidR="00000000" w:rsidRPr="00130B25" w:rsidP="00130B25">
      <w:pPr>
        <w:pStyle w:val="ListBullet2"/>
      </w:pPr>
      <w:r w:rsidRPr="00130B25">
        <w:t>market penetration index</w:t>
      </w:r>
    </w:p>
    <w:p w:rsidR="00000000" w:rsidRPr="00130B25" w:rsidP="00130B25">
      <w:pPr>
        <w:pStyle w:val="ListBullet2"/>
      </w:pPr>
      <w:r w:rsidRPr="00130B25">
        <w:t>matching supply and demand</w:t>
      </w:r>
    </w:p>
    <w:p w:rsidR="00000000" w:rsidRPr="00130B25" w:rsidP="00130B25">
      <w:pPr>
        <w:pStyle w:val="ListBullet2"/>
      </w:pPr>
      <w:r w:rsidRPr="00130B25">
        <w:t>performance metrics</w:t>
      </w:r>
    </w:p>
    <w:p w:rsidR="00000000" w:rsidRPr="00130B25" w:rsidP="00130B25">
      <w:pPr>
        <w:pStyle w:val="ListBullet2"/>
      </w:pPr>
      <w:r w:rsidRPr="00130B25">
        <w:t xml:space="preserve">perishability </w:t>
      </w:r>
    </w:p>
    <w:p w:rsidR="00000000" w:rsidRPr="00130B25" w:rsidP="00130B25">
      <w:pPr>
        <w:pStyle w:val="ListBullet2"/>
      </w:pPr>
      <w:r w:rsidRPr="00130B25">
        <w:t>responsiveness and timing</w:t>
      </w:r>
    </w:p>
    <w:p w:rsidR="00000000" w:rsidRPr="00130B25" w:rsidP="00130B25">
      <w:pPr>
        <w:pStyle w:val="ListBullet2"/>
      </w:pPr>
      <w:r w:rsidRPr="00130B25">
        <w:t>revenue generation index</w:t>
      </w:r>
    </w:p>
    <w:p w:rsidR="00000000" w:rsidRPr="00130B25" w:rsidP="00130B25">
      <w:pPr>
        <w:pStyle w:val="ListBullet2"/>
      </w:pPr>
      <w:r w:rsidRPr="00130B25">
        <w:t>shaping demand through price</w:t>
      </w:r>
    </w:p>
    <w:p w:rsidR="00000000" w:rsidRPr="00130B25" w:rsidP="00130B25">
      <w:pPr>
        <w:pStyle w:val="ListBullet"/>
      </w:pPr>
      <w:r w:rsidRPr="00130B25">
        <w:t xml:space="preserve">types </w:t>
      </w:r>
      <w:r w:rsidRPr="00130B25">
        <w:t>of business performance data used in revenue management:</w:t>
      </w:r>
    </w:p>
    <w:p w:rsidR="00000000" w:rsidRPr="00130B25" w:rsidP="00130B25">
      <w:pPr>
        <w:pStyle w:val="ListBullet2"/>
      </w:pPr>
      <w:r w:rsidRPr="00130B25">
        <w:t>financial reports</w:t>
      </w:r>
    </w:p>
    <w:p w:rsidR="00000000" w:rsidRPr="00130B25" w:rsidP="00130B25">
      <w:pPr>
        <w:pStyle w:val="ListBullet2"/>
      </w:pPr>
      <w:r w:rsidRPr="00130B25">
        <w:t>historical trends</w:t>
      </w:r>
    </w:p>
    <w:p w:rsidR="00000000" w:rsidRPr="00130B25" w:rsidP="00130B25">
      <w:pPr>
        <w:pStyle w:val="ListBullet2"/>
      </w:pPr>
      <w:r w:rsidRPr="00130B25">
        <w:t>market analysis</w:t>
      </w:r>
    </w:p>
    <w:p w:rsidR="00000000" w:rsidRPr="00130B25" w:rsidP="00130B25">
      <w:pPr>
        <w:pStyle w:val="ListBullet2"/>
      </w:pPr>
      <w:r w:rsidRPr="00130B25">
        <w:t>no-show reports</w:t>
      </w:r>
    </w:p>
    <w:p w:rsidR="00000000" w:rsidRPr="00130B25" w:rsidP="00130B25">
      <w:pPr>
        <w:pStyle w:val="ListBullet2"/>
      </w:pPr>
      <w:r w:rsidRPr="00130B25">
        <w:t>occupancy and load reports</w:t>
      </w:r>
    </w:p>
    <w:p w:rsidR="00000000" w:rsidRPr="00130B25" w:rsidP="00130B25">
      <w:pPr>
        <w:pStyle w:val="ListBullet2"/>
      </w:pPr>
      <w:r w:rsidRPr="00130B25">
        <w:t>sources of business</w:t>
      </w:r>
    </w:p>
    <w:p w:rsidR="00000000" w:rsidRPr="00130B25" w:rsidP="00130B25">
      <w:pPr>
        <w:pStyle w:val="ListBullet2"/>
      </w:pPr>
      <w:r w:rsidRPr="00130B25">
        <w:t>supply and demand analysis</w:t>
      </w:r>
    </w:p>
    <w:p w:rsidR="00000000" w:rsidRPr="00130B25" w:rsidP="00130B25">
      <w:pPr>
        <w:pStyle w:val="ListBullet"/>
      </w:pPr>
      <w:r w:rsidRPr="00130B25">
        <w:t>mechanisms and collateral that support initiatives in different market segments:</w:t>
      </w:r>
    </w:p>
    <w:p w:rsidR="00000000" w:rsidRPr="00130B25" w:rsidP="00130B25">
      <w:pPr>
        <w:pStyle w:val="ListBullet2"/>
      </w:pPr>
      <w:r w:rsidRPr="00130B25">
        <w:t>channel management systems</w:t>
      </w:r>
    </w:p>
    <w:p w:rsidR="00000000" w:rsidRPr="00130B25" w:rsidP="00130B25">
      <w:pPr>
        <w:pStyle w:val="ListBullet2"/>
      </w:pPr>
      <w:r w:rsidRPr="00130B25">
        <w:t>global distribution systems</w:t>
      </w:r>
    </w:p>
    <w:p w:rsidR="00000000" w:rsidRPr="00130B25" w:rsidP="00130B25">
      <w:pPr>
        <w:pStyle w:val="ListBullet2"/>
      </w:pPr>
      <w:r w:rsidRPr="00130B25">
        <w:t xml:space="preserve">online requirements: </w:t>
      </w:r>
    </w:p>
    <w:p w:rsidR="00000000" w:rsidRPr="00130B25" w:rsidP="00130B25">
      <w:pPr>
        <w:pStyle w:val="ListBullet3"/>
      </w:pPr>
      <w:r w:rsidRPr="00130B25">
        <w:t xml:space="preserve">promotions </w:t>
      </w:r>
    </w:p>
    <w:p w:rsidR="00000000" w:rsidRPr="00130B25" w:rsidP="00130B25">
      <w:pPr>
        <w:pStyle w:val="ListBullet3"/>
      </w:pPr>
      <w:r w:rsidRPr="00130B25">
        <w:t xml:space="preserve">proprietary websites </w:t>
      </w:r>
    </w:p>
    <w:p w:rsidR="00000000" w:rsidRPr="00130B25" w:rsidP="00130B25">
      <w:pPr>
        <w:pStyle w:val="ListBullet3"/>
      </w:pPr>
      <w:r w:rsidRPr="00130B25">
        <w:t>third party websites</w:t>
      </w:r>
    </w:p>
    <w:p w:rsidR="00000000" w:rsidRPr="00130B25" w:rsidP="00130B25">
      <w:pPr>
        <w:pStyle w:val="ListBullet2"/>
      </w:pPr>
      <w:r w:rsidRPr="00130B25">
        <w:t>types of promotions</w:t>
      </w:r>
    </w:p>
    <w:p w:rsidR="00000000" w:rsidRPr="00130B25" w:rsidP="00130B25">
      <w:pPr>
        <w:pStyle w:val="ListBullet"/>
      </w:pPr>
      <w:r w:rsidRPr="00130B25">
        <w:t>sector-specific factors that impact revenue management initiatives:</w:t>
      </w:r>
    </w:p>
    <w:p w:rsidR="00000000" w:rsidRPr="00130B25" w:rsidP="00130B25">
      <w:pPr>
        <w:pStyle w:val="ListBullet2"/>
      </w:pPr>
      <w:r w:rsidRPr="00130B25">
        <w:t>financial:</w:t>
      </w:r>
    </w:p>
    <w:p w:rsidR="00000000" w:rsidRPr="00130B25" w:rsidP="00130B25">
      <w:pPr>
        <w:pStyle w:val="ListBullet3"/>
      </w:pPr>
      <w:r w:rsidRPr="00130B25">
        <w:t>fixed and variable operating costs</w:t>
      </w:r>
    </w:p>
    <w:p w:rsidR="00000000" w:rsidRPr="00130B25" w:rsidP="00130B25">
      <w:pPr>
        <w:pStyle w:val="ListBullet3"/>
      </w:pPr>
      <w:r w:rsidRPr="00130B25">
        <w:t>profit margin requirements</w:t>
      </w:r>
    </w:p>
    <w:p w:rsidR="00000000" w:rsidRPr="00130B25" w:rsidP="00130B25">
      <w:pPr>
        <w:pStyle w:val="ListBullet3"/>
      </w:pPr>
      <w:r w:rsidRPr="00130B25">
        <w:t>industry commission and mark-up procedures</w:t>
      </w:r>
    </w:p>
    <w:p w:rsidR="00000000" w:rsidRPr="00130B25" w:rsidP="00130B25">
      <w:pPr>
        <w:pStyle w:val="ListBullet3"/>
      </w:pPr>
      <w:r w:rsidRPr="00130B25">
        <w:t>cost of distribution networks</w:t>
      </w:r>
    </w:p>
    <w:p w:rsidR="00000000" w:rsidRPr="00130B25" w:rsidP="00130B25">
      <w:pPr>
        <w:pStyle w:val="ListBullet2"/>
      </w:pPr>
      <w:r w:rsidRPr="00130B25">
        <w:t>external market factors:</w:t>
      </w:r>
    </w:p>
    <w:p w:rsidR="00000000" w:rsidRPr="00130B25" w:rsidP="00130B25">
      <w:pPr>
        <w:pStyle w:val="ListBullet3"/>
      </w:pPr>
      <w:r w:rsidRPr="00130B25">
        <w:t>competitor activity</w:t>
      </w:r>
    </w:p>
    <w:p w:rsidR="00000000" w:rsidRPr="00130B25" w:rsidP="00130B25">
      <w:pPr>
        <w:pStyle w:val="ListBullet3"/>
      </w:pPr>
      <w:r w:rsidRPr="00130B25">
        <w:t>complementary activity</w:t>
      </w:r>
    </w:p>
    <w:p w:rsidR="00000000" w:rsidRPr="00130B25" w:rsidP="00130B25">
      <w:pPr>
        <w:pStyle w:val="ListBullet3"/>
      </w:pPr>
      <w:r w:rsidRPr="00130B25">
        <w:t>travel capacity</w:t>
      </w:r>
    </w:p>
    <w:p w:rsidR="00000000" w:rsidRPr="00130B25" w:rsidP="00130B25">
      <w:pPr>
        <w:pStyle w:val="ListBullet2"/>
      </w:pPr>
      <w:r w:rsidRPr="00130B25">
        <w:t>special conditions:</w:t>
      </w:r>
    </w:p>
    <w:p w:rsidR="00000000" w:rsidRPr="00130B25" w:rsidP="00130B25">
      <w:pPr>
        <w:pStyle w:val="ListBullet3"/>
      </w:pPr>
      <w:r w:rsidRPr="00130B25">
        <w:t>block out dates</w:t>
      </w:r>
    </w:p>
    <w:p w:rsidR="00000000" w:rsidRPr="00130B25" w:rsidP="00130B25">
      <w:pPr>
        <w:pStyle w:val="ListBullet3"/>
      </w:pPr>
      <w:r w:rsidRPr="00130B25">
        <w:t>inclusions</w:t>
      </w:r>
    </w:p>
    <w:p w:rsidR="00000000" w:rsidRPr="00130B25" w:rsidP="00130B25">
      <w:pPr>
        <w:pStyle w:val="ListBullet3"/>
      </w:pPr>
      <w:r w:rsidRPr="00130B25">
        <w:t>payment requirements</w:t>
      </w:r>
    </w:p>
    <w:p w:rsidR="00000000" w:rsidRPr="00130B25" w:rsidP="00130B25">
      <w:pPr>
        <w:pStyle w:val="ListBullet3"/>
      </w:pPr>
      <w:r w:rsidRPr="00130B25">
        <w:t>stay controls</w:t>
      </w:r>
    </w:p>
    <w:p w:rsidR="00000000" w:rsidRPr="00130B25" w:rsidP="00130B25">
      <w:pPr>
        <w:pStyle w:val="ListBullet"/>
      </w:pPr>
      <w:r w:rsidRPr="00130B25">
        <w:t>aspects of consumer protection law that impact on pricing and distribution.</w:t>
      </w:r>
    </w:p>
    <w:p w:rsidR="00000000" w:rsidRPr="00130B25" w:rsidP="00130B25">
      <w:pPr>
        <w:pStyle w:val="AllowPageBreak"/>
      </w:pPr>
    </w:p>
    <w:p w:rsidR="00000000" w:rsidRPr="00130B25" w:rsidP="00130B25">
      <w:pPr>
        <w:pStyle w:val="Heading1"/>
      </w:pPr>
      <w:bookmarkStart w:id="4" w:name="O_767493"/>
      <w:bookmarkEnd w:id="4"/>
      <w:r w:rsidRPr="00130B25">
        <w:t>Assessment Conditions</w:t>
      </w:r>
    </w:p>
    <w:p w:rsidR="00000000" w:rsidRPr="00130B25" w:rsidP="005000EB">
      <w:pPr>
        <w:pStyle w:val="BodyText"/>
      </w:pPr>
      <w:r w:rsidRPr="00130B25">
        <w:t>Skills must be demonstrated in an operational tourism, travel, hospitality or event business operation for which revenue management initiatives can be developed. This can be:</w:t>
      </w:r>
    </w:p>
    <w:p w:rsidR="00000000" w:rsidRPr="00130B25" w:rsidP="00130B25">
      <w:pPr>
        <w:pStyle w:val="ListBullet"/>
      </w:pPr>
      <w:r w:rsidRPr="00130B25">
        <w:t>an industry workplace</w:t>
      </w:r>
    </w:p>
    <w:p w:rsidR="00000000" w:rsidRPr="00130B25" w:rsidP="00130B25">
      <w:pPr>
        <w:pStyle w:val="ListBullet"/>
      </w:pPr>
      <w:r w:rsidRPr="00130B25">
        <w:t>a simulated industry environment.</w:t>
      </w:r>
    </w:p>
    <w:p w:rsidR="00000000" w:rsidRPr="00130B25" w:rsidP="00130B25">
      <w:pPr>
        <w:pStyle w:val="BodyText"/>
      </w:pPr>
    </w:p>
    <w:p w:rsidR="00000000" w:rsidRPr="00130B25" w:rsidP="005000EB">
      <w:pPr>
        <w:pStyle w:val="BodyText"/>
      </w:pPr>
      <w:r w:rsidRPr="00130B25">
        <w:t>A</w:t>
      </w:r>
      <w:r w:rsidRPr="00130B25">
        <w:t>ssessment must ensure access to:</w:t>
      </w:r>
    </w:p>
    <w:p w:rsidR="00000000" w:rsidRPr="00130B25" w:rsidP="00130B25">
      <w:pPr>
        <w:pStyle w:val="ListBullet"/>
      </w:pPr>
      <w:r w:rsidRPr="00130B25">
        <w:t>current information and communications technology</w:t>
      </w:r>
    </w:p>
    <w:p w:rsidR="00000000" w:rsidRPr="00130B25" w:rsidP="00130B25">
      <w:pPr>
        <w:pStyle w:val="ListBullet"/>
      </w:pPr>
      <w:r w:rsidRPr="00130B25">
        <w:t>current industry and business data.</w:t>
      </w:r>
    </w:p>
    <w:p w:rsidR="00000000" w:rsidRPr="00130B25" w:rsidP="00130B25">
      <w:pPr>
        <w:pStyle w:val="BodyText"/>
      </w:pPr>
    </w:p>
    <w:p w:rsidR="00000000" w:rsidRPr="00130B25" w:rsidP="005000EB">
      <w:pPr>
        <w:pStyle w:val="BodyText"/>
      </w:pPr>
      <w:r w:rsidRPr="00130B25">
        <w:t>Assessors must satisfy the Standards for Registered Training Organisations’ requirements for assessors.</w:t>
      </w:r>
    </w:p>
    <w:p w:rsidR="00000000" w:rsidRPr="00130B25" w:rsidP="00130B25">
      <w:pPr>
        <w:pStyle w:val="Heading1"/>
      </w:pPr>
      <w:bookmarkStart w:id="5" w:name="O_767496"/>
      <w:bookmarkEnd w:id="5"/>
      <w:r w:rsidRPr="00130B25">
        <w:t>Links</w:t>
      </w:r>
    </w:p>
    <w:p w:rsidR="00000000" w:rsidRPr="00130B25" w:rsidP="005000EB">
      <w:pPr>
        <w:pStyle w:val="BodyText"/>
      </w:pPr>
      <w:r w:rsidRPr="00130B25">
        <w:t>Companio</w:t>
      </w:r>
      <w:r w:rsidRPr="00130B25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4570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30B25" w:rsidP="00130B25"/>
    <w:sectPr w:rsidSect="00130B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25" w:rsidRPr="005000EB" w:rsidP="00500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EB" w:rsidP="00130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0EB" w:rsidP="00130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00EB" w:rsidP="00130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B25" w:rsidRPr="005000EB" w:rsidP="00500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EB" w:rsidRPr="002D2AF8" w:rsidP="00130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SITXFIN006 Manage revenue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000EB" w:rsidP="00130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0C1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F04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E231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B25"/>
  </w:style>
  <w:style w:type="character" w:customStyle="1" w:styleId="Heading1Char">
    <w:name w:val="Heading 1 Char"/>
    <w:basedOn w:val="DefaultParagraphFont"/>
    <w:link w:val="Heading1"/>
    <w:rsid w:val="00130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B2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0B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0B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0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B25"/>
    <w:rPr>
      <w:b/>
      <w:spacing w:val="0"/>
    </w:rPr>
  </w:style>
  <w:style w:type="paragraph" w:customStyle="1" w:styleId="SuperTitle">
    <w:name w:val="SuperTitle"/>
    <w:basedOn w:val="Title"/>
    <w:rsid w:val="00130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B25"/>
    <w:rPr>
      <w:i/>
    </w:rPr>
  </w:style>
  <w:style w:type="paragraph" w:styleId="Caption">
    <w:name w:val="caption"/>
    <w:basedOn w:val="BodyText"/>
    <w:next w:val="Normal"/>
    <w:qFormat/>
    <w:rsid w:val="00130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B25"/>
  </w:style>
  <w:style w:type="paragraph" w:styleId="TableofFigures">
    <w:name w:val="table of figures"/>
    <w:basedOn w:val="Normal"/>
    <w:next w:val="Normal"/>
    <w:semiHidden/>
    <w:rsid w:val="00130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B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0B25"/>
    <w:rPr>
      <w:rFonts w:ascii="Wingdings" w:hAnsi="Wingdings"/>
    </w:rPr>
  </w:style>
  <w:style w:type="paragraph" w:customStyle="1" w:styleId="TableHeading">
    <w:name w:val="Table Heading"/>
    <w:basedOn w:val="HeadingBase"/>
    <w:rsid w:val="00130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B25"/>
    <w:rPr>
      <w:color w:val="0033CC"/>
      <w:u w:val="none"/>
    </w:rPr>
  </w:style>
  <w:style w:type="paragraph" w:customStyle="1" w:styleId="BodyTextRight">
    <w:name w:val="Body Text Right"/>
    <w:basedOn w:val="BodyText"/>
    <w:rsid w:val="00130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B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B25"/>
    <w:rPr>
      <w:sz w:val="32"/>
    </w:rPr>
  </w:style>
  <w:style w:type="paragraph" w:customStyle="1" w:styleId="HeadingProcedure">
    <w:name w:val="Heading Procedure"/>
    <w:basedOn w:val="HeadingBase"/>
    <w:next w:val="Normal"/>
    <w:rsid w:val="00130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B25"/>
    <w:pPr>
      <w:spacing w:before="60" w:after="60"/>
    </w:pPr>
  </w:style>
  <w:style w:type="paragraph" w:styleId="ListContinue">
    <w:name w:val="List Continue"/>
    <w:basedOn w:val="List"/>
    <w:rsid w:val="00130B25"/>
    <w:pPr>
      <w:ind w:firstLine="0"/>
    </w:pPr>
  </w:style>
  <w:style w:type="paragraph" w:customStyle="1" w:styleId="ListNote">
    <w:name w:val="List Note"/>
    <w:basedOn w:val="List"/>
    <w:rsid w:val="00130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B25"/>
    <w:rPr>
      <w:rFonts w:ascii="Courier New" w:hAnsi="Courier New"/>
    </w:rPr>
  </w:style>
  <w:style w:type="paragraph" w:customStyle="1" w:styleId="NoteBullet">
    <w:name w:val="Note Bullet"/>
    <w:basedOn w:val="Note"/>
    <w:rsid w:val="00130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B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0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B25"/>
    <w:rPr>
      <w:b/>
      <w:smallCaps/>
    </w:rPr>
  </w:style>
  <w:style w:type="paragraph" w:customStyle="1" w:styleId="TableListNumber">
    <w:name w:val="Table List Number"/>
    <w:basedOn w:val="ListNumber"/>
    <w:rsid w:val="00130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B25"/>
    <w:pPr>
      <w:numPr>
        <w:numId w:val="10"/>
      </w:numPr>
    </w:pPr>
  </w:style>
  <w:style w:type="paragraph" w:customStyle="1" w:styleId="ListAlpha2">
    <w:name w:val="List Alpha 2"/>
    <w:basedOn w:val="List2"/>
    <w:rsid w:val="00130B25"/>
    <w:pPr>
      <w:numPr>
        <w:numId w:val="9"/>
      </w:numPr>
    </w:pPr>
  </w:style>
  <w:style w:type="paragraph" w:styleId="List2">
    <w:name w:val="List 2"/>
    <w:basedOn w:val="BodyText"/>
    <w:rsid w:val="00130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B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0B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0B25"/>
    <w:pPr>
      <w:numPr>
        <w:numId w:val="5"/>
      </w:numPr>
    </w:pPr>
  </w:style>
  <w:style w:type="paragraph" w:styleId="ListContinue2">
    <w:name w:val="List Continue 2"/>
    <w:basedOn w:val="List2"/>
    <w:rsid w:val="00130B25"/>
    <w:pPr>
      <w:ind w:firstLine="0"/>
    </w:pPr>
  </w:style>
  <w:style w:type="paragraph" w:styleId="ListContinue3">
    <w:name w:val="List Continue 3"/>
    <w:basedOn w:val="List3"/>
    <w:rsid w:val="00130B25"/>
    <w:pPr>
      <w:ind w:left="1021" w:firstLine="0"/>
    </w:pPr>
  </w:style>
  <w:style w:type="paragraph" w:styleId="ListContinue4">
    <w:name w:val="List Continue 4"/>
    <w:basedOn w:val="List4"/>
    <w:rsid w:val="00130B25"/>
    <w:pPr>
      <w:ind w:firstLine="0"/>
    </w:pPr>
  </w:style>
  <w:style w:type="paragraph" w:styleId="ListContinue5">
    <w:name w:val="List Continue 5"/>
    <w:basedOn w:val="List5"/>
    <w:rsid w:val="00130B25"/>
    <w:pPr>
      <w:ind w:firstLine="0"/>
    </w:pPr>
  </w:style>
  <w:style w:type="paragraph" w:styleId="ListNumber3">
    <w:name w:val="List Number 3"/>
    <w:basedOn w:val="List3"/>
    <w:rsid w:val="00130B25"/>
    <w:pPr>
      <w:numPr>
        <w:numId w:val="6"/>
      </w:numPr>
    </w:pPr>
  </w:style>
  <w:style w:type="paragraph" w:styleId="ListNumber4">
    <w:name w:val="List Number 4"/>
    <w:basedOn w:val="List4"/>
    <w:rsid w:val="00130B25"/>
    <w:pPr>
      <w:numPr>
        <w:numId w:val="7"/>
      </w:numPr>
    </w:pPr>
  </w:style>
  <w:style w:type="paragraph" w:styleId="ListNumber5">
    <w:name w:val="List Number 5"/>
    <w:basedOn w:val="List5"/>
    <w:rsid w:val="00130B25"/>
    <w:pPr>
      <w:numPr>
        <w:numId w:val="8"/>
      </w:numPr>
    </w:pPr>
  </w:style>
  <w:style w:type="paragraph" w:styleId="BlockText">
    <w:name w:val="Block Text"/>
    <w:basedOn w:val="Normal"/>
    <w:rsid w:val="00130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B25"/>
    <w:rPr>
      <w:sz w:val="16"/>
      <w:vertAlign w:val="superscript"/>
    </w:rPr>
  </w:style>
  <w:style w:type="character" w:customStyle="1" w:styleId="Symbols">
    <w:name w:val="Symbols"/>
    <w:basedOn w:val="DefaultParagraphFont"/>
    <w:rsid w:val="00130B25"/>
    <w:rPr>
      <w:rFonts w:ascii="Symbol" w:hAnsi="Symbol"/>
    </w:rPr>
  </w:style>
  <w:style w:type="character" w:customStyle="1" w:styleId="MenuOptions">
    <w:name w:val="Menu Options"/>
    <w:basedOn w:val="DefaultParagraphFont"/>
    <w:rsid w:val="00130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B25"/>
    <w:rPr>
      <w:b/>
    </w:rPr>
  </w:style>
  <w:style w:type="character" w:customStyle="1" w:styleId="Underlined">
    <w:name w:val="Underlined"/>
    <w:basedOn w:val="DefaultParagraphFont"/>
    <w:rsid w:val="00130B25"/>
    <w:rPr>
      <w:u w:val="single"/>
    </w:rPr>
  </w:style>
  <w:style w:type="paragraph" w:customStyle="1" w:styleId="TableBodyTextRight">
    <w:name w:val="Table Body Text Right"/>
    <w:basedOn w:val="TableBodyText"/>
    <w:rsid w:val="00130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B25"/>
    <w:rPr>
      <w:sz w:val="18"/>
    </w:rPr>
  </w:style>
  <w:style w:type="paragraph" w:customStyle="1" w:styleId="BodySmallRight">
    <w:name w:val="Body Small Right"/>
    <w:basedOn w:val="BodyTextRight"/>
    <w:rsid w:val="00130B25"/>
    <w:rPr>
      <w:sz w:val="18"/>
      <w:szCs w:val="18"/>
    </w:rPr>
  </w:style>
  <w:style w:type="paragraph" w:customStyle="1" w:styleId="MarginEdition">
    <w:name w:val="Margin Edition"/>
    <w:basedOn w:val="MarginNote"/>
    <w:rsid w:val="00130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B25"/>
    <w:rPr>
      <w:sz w:val="2"/>
      <w:szCs w:val="2"/>
    </w:rPr>
  </w:style>
  <w:style w:type="character" w:customStyle="1" w:styleId="Small">
    <w:name w:val="Small"/>
    <w:basedOn w:val="DefaultParagraphFont"/>
    <w:rsid w:val="00130B25"/>
    <w:rPr>
      <w:sz w:val="16"/>
    </w:rPr>
  </w:style>
  <w:style w:type="paragraph" w:customStyle="1" w:styleId="WideTable">
    <w:name w:val="Wide Table"/>
    <w:basedOn w:val="Normal"/>
    <w:rsid w:val="00130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B25"/>
  </w:style>
  <w:style w:type="paragraph" w:styleId="Quote">
    <w:name w:val="Quote"/>
    <w:basedOn w:val="Heading1"/>
    <w:link w:val="QuoteChar"/>
    <w:qFormat/>
    <w:rsid w:val="00130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B25"/>
    <w:pPr>
      <w:pageBreakBefore/>
    </w:pPr>
  </w:style>
  <w:style w:type="paragraph" w:customStyle="1" w:styleId="Border">
    <w:name w:val="Border"/>
    <w:basedOn w:val="Normal"/>
    <w:qFormat/>
    <w:rsid w:val="00130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B25"/>
    <w:rPr>
      <w:u w:val="single"/>
    </w:rPr>
  </w:style>
  <w:style w:type="character" w:customStyle="1" w:styleId="BoldandItalics">
    <w:name w:val="Bold and Italics"/>
    <w:qFormat/>
    <w:rsid w:val="00130B25"/>
    <w:rPr>
      <w:b/>
      <w:i/>
      <w:u w:val="none"/>
    </w:rPr>
  </w:style>
  <w:style w:type="paragraph" w:styleId="BalloonText">
    <w:name w:val="Balloon Text"/>
    <w:basedOn w:val="Normal"/>
    <w:link w:val="BalloonTextChar"/>
    <w:rsid w:val="00130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B25"/>
    <w:pPr>
      <w:spacing w:before="0" w:after="0"/>
    </w:pPr>
  </w:style>
  <w:style w:type="paragraph" w:customStyle="1" w:styleId="BodyTextBold">
    <w:name w:val="Body Text Bold"/>
    <w:basedOn w:val="BodyText"/>
    <w:qFormat/>
    <w:rsid w:val="00130B25"/>
    <w:rPr>
      <w:b/>
    </w:rPr>
  </w:style>
  <w:style w:type="character" w:styleId="Hyperlink">
    <w:name w:val="Hyperlink"/>
    <w:basedOn w:val="DefaultParagraphFont"/>
    <w:uiPriority w:val="99"/>
    <w:unhideWhenUsed/>
    <w:rsid w:val="00500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338</Words>
  <Characters>2420</Characters>
  <Application>Microsoft Office Word</Application>
  <DocSecurity>0</DocSecurity>
  <Lines>89</Lines>
  <Paragraphs>81</Paragraphs>
  <ScaleCrop>false</ScaleCrop>
  <Company>Author-it Software Corporation Ltd.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SITXFIN006 Manage revenue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