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75D" w:rsidP="00FF0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SITXFIN005 Manage physical assets</w:t>
      </w:r>
      <w:r>
        <w:fldChar w:fldCharType="end"/>
      </w:r>
    </w:p>
    <w:p w:rsidR="00FF075D" w:rsidP="00FF075D">
      <w:pPr>
        <w:pStyle w:val="Version"/>
        <w:sectPr w:rsidSect="00AF6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3CD" w:rsidP="00AF63CD">
      <w:pPr>
        <w:pStyle w:val="SuperHeading"/>
      </w:pPr>
      <w:r w:rsidRPr="00AF63CD">
        <w:t>Assessment Requirements for SITXFIN005 Manage physical assets</w:t>
      </w:r>
    </w:p>
    <w:p w:rsidR="00000000" w:rsidRPr="00AF63CD" w:rsidP="00AF63CD">
      <w:pPr>
        <w:pStyle w:val="Heading1"/>
      </w:pPr>
      <w:bookmarkStart w:id="1" w:name="O_767471"/>
      <w:bookmarkEnd w:id="1"/>
      <w:r w:rsidRPr="00AF63CD">
        <w:t>Modification History</w:t>
      </w:r>
    </w:p>
    <w:p w:rsidR="00000000" w:rsidRPr="00AF63CD" w:rsidP="00FF075D">
      <w:pPr>
        <w:pStyle w:val="BodyText"/>
      </w:pPr>
      <w:r w:rsidRPr="00AF63CD">
        <w:t>Not applicable.</w:t>
      </w:r>
    </w:p>
    <w:p w:rsidR="00000000" w:rsidRPr="00AF63CD" w:rsidP="00AF63CD">
      <w:pPr>
        <w:pStyle w:val="Heading1"/>
      </w:pPr>
      <w:bookmarkStart w:id="2" w:name="O_767472"/>
      <w:bookmarkEnd w:id="2"/>
      <w:r w:rsidRPr="00AF63CD">
        <w:t>Performance Evidence</w:t>
      </w:r>
    </w:p>
    <w:p w:rsidR="00000000" w:rsidRPr="00AF63CD" w:rsidP="00FF075D">
      <w:pPr>
        <w:pStyle w:val="BodyText"/>
      </w:pPr>
      <w:r w:rsidRPr="00AF63CD">
        <w:t>Evidence of the ability to complete tasks outlined in elements and performance criteria of this unit in the context of the job role, and:</w:t>
      </w:r>
    </w:p>
    <w:p w:rsidR="00000000" w:rsidRPr="00AF63CD" w:rsidP="00AF63CD">
      <w:pPr>
        <w:pStyle w:val="ListBullet"/>
      </w:pPr>
      <w:r w:rsidRPr="00AF63CD">
        <w:t xml:space="preserve">develop a plan for the acquisition, maintenance and replacement of at least three different types of physical assets listed in the knowledge evidence </w:t>
      </w:r>
    </w:p>
    <w:p w:rsidR="00000000" w:rsidRPr="00AF63CD" w:rsidP="00AF63CD">
      <w:pPr>
        <w:pStyle w:val="ListBullet"/>
      </w:pPr>
      <w:r w:rsidRPr="00AF63CD">
        <w:t xml:space="preserve">demonstrate procedures to: </w:t>
      </w:r>
    </w:p>
    <w:p w:rsidR="00000000" w:rsidRPr="00AF63CD" w:rsidP="00AF63CD">
      <w:pPr>
        <w:pStyle w:val="ListBullet2"/>
      </w:pPr>
      <w:r w:rsidRPr="00AF63CD">
        <w:t xml:space="preserve">monitor the utility of above assets to meet business needs </w:t>
      </w:r>
    </w:p>
    <w:p w:rsidR="00000000" w:rsidRPr="00AF63CD" w:rsidP="00AF63CD">
      <w:pPr>
        <w:pStyle w:val="ListBullet2"/>
      </w:pPr>
      <w:r w:rsidRPr="00AF63CD">
        <w:t xml:space="preserve">provide regular </w:t>
      </w:r>
      <w:r w:rsidRPr="00AF63CD">
        <w:t>financial reports on the assets</w:t>
      </w:r>
    </w:p>
    <w:p w:rsidR="00000000" w:rsidRPr="00AF63CD" w:rsidP="00AF63CD">
      <w:pPr>
        <w:pStyle w:val="ListBullet2"/>
      </w:pPr>
      <w:r w:rsidRPr="00AF63CD">
        <w:t>record formal and informal customer and staff feedback</w:t>
      </w:r>
    </w:p>
    <w:p w:rsidR="00000000" w:rsidRPr="00AF63CD" w:rsidP="00AF63CD">
      <w:pPr>
        <w:pStyle w:val="ListBullet2"/>
      </w:pPr>
      <w:r w:rsidRPr="00AF63CD">
        <w:t>integrate day-to-day condition reports</w:t>
      </w:r>
    </w:p>
    <w:p w:rsidR="00000000" w:rsidRPr="00AF63CD" w:rsidP="00AF63CD">
      <w:pPr>
        <w:pStyle w:val="ListBullet2"/>
      </w:pPr>
      <w:r w:rsidRPr="00AF63CD">
        <w:t>schedule internal or external inspections or audits</w:t>
      </w:r>
    </w:p>
    <w:p w:rsidR="00000000" w:rsidRPr="00AF63CD" w:rsidP="00AF63CD">
      <w:pPr>
        <w:pStyle w:val="ListBullet2"/>
      </w:pPr>
      <w:r w:rsidRPr="00AF63CD">
        <w:t>schedule management reports</w:t>
      </w:r>
    </w:p>
    <w:p w:rsidR="00000000" w:rsidRPr="00AF63CD" w:rsidP="00AF63CD">
      <w:pPr>
        <w:pStyle w:val="ListBullet2"/>
      </w:pPr>
      <w:r w:rsidRPr="00AF63CD">
        <w:t>develop and maintain a current register for the above assets.</w:t>
      </w:r>
    </w:p>
    <w:p w:rsidR="00000000" w:rsidRPr="00AF63CD" w:rsidP="00AF63CD">
      <w:pPr>
        <w:pStyle w:val="AllowPageBreak"/>
      </w:pPr>
    </w:p>
    <w:p w:rsidR="00000000" w:rsidRPr="00AF63CD" w:rsidP="00AF63CD">
      <w:pPr>
        <w:pStyle w:val="Heading1"/>
      </w:pPr>
      <w:bookmarkStart w:id="3" w:name="O_767473"/>
      <w:bookmarkEnd w:id="3"/>
      <w:r w:rsidRPr="00AF63CD">
        <w:t>Knowledge Evidence</w:t>
      </w:r>
    </w:p>
    <w:p w:rsidR="00000000" w:rsidRPr="00AF63CD" w:rsidP="00FF075D">
      <w:pPr>
        <w:pStyle w:val="BodyText"/>
      </w:pPr>
      <w:r w:rsidRPr="00AF63CD">
        <w:t>Demonstrated knowledge required to complete the tasks outlined in elements and performance criteria of this unit:</w:t>
      </w:r>
    </w:p>
    <w:p w:rsidR="00000000" w:rsidRPr="00AF63CD" w:rsidP="00AF63CD">
      <w:pPr>
        <w:pStyle w:val="ListBullet"/>
      </w:pPr>
      <w:r w:rsidRPr="00AF63CD">
        <w:t>business objectives relevant to the managem</w:t>
      </w:r>
      <w:r w:rsidRPr="00AF63CD">
        <w:t>ent of physical assets:</w:t>
      </w:r>
    </w:p>
    <w:p w:rsidR="00000000" w:rsidRPr="00AF63CD" w:rsidP="00AF63CD">
      <w:pPr>
        <w:pStyle w:val="ListBullet2"/>
      </w:pPr>
      <w:r w:rsidRPr="00AF63CD">
        <w:t>profitability</w:t>
      </w:r>
    </w:p>
    <w:p w:rsidR="00000000" w:rsidRPr="00AF63CD" w:rsidP="00AF63CD">
      <w:pPr>
        <w:pStyle w:val="ListBullet2"/>
      </w:pPr>
      <w:r w:rsidRPr="00AF63CD">
        <w:t>growth</w:t>
      </w:r>
    </w:p>
    <w:p w:rsidR="00000000" w:rsidRPr="00AF63CD" w:rsidP="00AF63CD">
      <w:pPr>
        <w:pStyle w:val="ListBullet2"/>
      </w:pPr>
      <w:r w:rsidRPr="00AF63CD">
        <w:t>providing quality products and services to customers</w:t>
      </w:r>
    </w:p>
    <w:p w:rsidR="00000000" w:rsidRPr="00AF63CD" w:rsidP="00AF63CD">
      <w:pPr>
        <w:pStyle w:val="ListBullet2"/>
      </w:pPr>
      <w:r w:rsidRPr="00AF63CD">
        <w:t>adhering to:</w:t>
      </w:r>
    </w:p>
    <w:p w:rsidR="00000000" w:rsidRPr="00AF63CD" w:rsidP="00AF63CD">
      <w:pPr>
        <w:pStyle w:val="ListBullet3"/>
      </w:pPr>
      <w:r w:rsidRPr="00AF63CD">
        <w:t>codes of conduct</w:t>
      </w:r>
    </w:p>
    <w:p w:rsidR="00000000" w:rsidRPr="00AF63CD" w:rsidP="00AF63CD">
      <w:pPr>
        <w:pStyle w:val="ListBullet3"/>
      </w:pPr>
      <w:r w:rsidRPr="00AF63CD">
        <w:t>environmental sustainability philosophies and practices</w:t>
      </w:r>
    </w:p>
    <w:p w:rsidR="00000000" w:rsidRPr="00AF63CD" w:rsidP="00AF63CD">
      <w:pPr>
        <w:pStyle w:val="ListBullet2"/>
      </w:pPr>
      <w:r w:rsidRPr="00AF63CD">
        <w:t xml:space="preserve">industry accreditation schemes </w:t>
      </w:r>
    </w:p>
    <w:p w:rsidR="00000000" w:rsidRPr="00AF63CD" w:rsidP="00AF63CD">
      <w:pPr>
        <w:pStyle w:val="ListBullet"/>
      </w:pPr>
      <w:r w:rsidRPr="00AF63CD">
        <w:t>types of physical assets required by tourism, hospitality and event organisations and the organisation in particular:</w:t>
      </w:r>
    </w:p>
    <w:p w:rsidR="00000000" w:rsidRPr="00AF63CD" w:rsidP="00AF63CD">
      <w:pPr>
        <w:pStyle w:val="ListBullet2"/>
      </w:pPr>
      <w:r w:rsidRPr="00AF63CD">
        <w:t>buildings</w:t>
      </w:r>
    </w:p>
    <w:p w:rsidR="00000000" w:rsidRPr="00AF63CD" w:rsidP="00AF63CD">
      <w:pPr>
        <w:pStyle w:val="ListBullet2"/>
      </w:pPr>
      <w:r w:rsidRPr="00AF63CD">
        <w:t>computer systems</w:t>
      </w:r>
    </w:p>
    <w:p w:rsidR="00000000" w:rsidRPr="00AF63CD" w:rsidP="00AF63CD">
      <w:pPr>
        <w:pStyle w:val="ListBullet2"/>
      </w:pPr>
      <w:r w:rsidRPr="00AF63CD">
        <w:t>equipment fixtures, fittings and furniture in one of the following:</w:t>
      </w:r>
    </w:p>
    <w:p w:rsidR="00000000" w:rsidRPr="00AF63CD" w:rsidP="00AF63CD">
      <w:pPr>
        <w:pStyle w:val="ListBullet3"/>
      </w:pPr>
      <w:r w:rsidRPr="00AF63CD">
        <w:t>accommodation establishments</w:t>
      </w:r>
    </w:p>
    <w:p w:rsidR="00000000" w:rsidRPr="00AF63CD" w:rsidP="00AF63CD">
      <w:pPr>
        <w:pStyle w:val="ListBullet3"/>
      </w:pPr>
      <w:r w:rsidRPr="00AF63CD">
        <w:t>commercial kitchens</w:t>
      </w:r>
    </w:p>
    <w:p w:rsidR="00000000" w:rsidRPr="00AF63CD" w:rsidP="00AF63CD">
      <w:pPr>
        <w:pStyle w:val="ListBullet3"/>
      </w:pPr>
      <w:r w:rsidRPr="00AF63CD">
        <w:t>restaurants and bars</w:t>
      </w:r>
    </w:p>
    <w:p w:rsidR="00000000" w:rsidRPr="00AF63CD" w:rsidP="00AF63CD">
      <w:pPr>
        <w:pStyle w:val="ListBullet3"/>
      </w:pPr>
      <w:r w:rsidRPr="00AF63CD">
        <w:t>storage areas</w:t>
      </w:r>
    </w:p>
    <w:p w:rsidR="00000000" w:rsidRPr="00AF63CD" w:rsidP="00AF63CD">
      <w:pPr>
        <w:pStyle w:val="ListBullet3"/>
      </w:pPr>
      <w:r w:rsidRPr="00AF63CD">
        <w:t>tourism, hospitality and event offices</w:t>
      </w:r>
    </w:p>
    <w:p w:rsidR="00000000" w:rsidRPr="00AF63CD" w:rsidP="00AF63CD">
      <w:pPr>
        <w:pStyle w:val="ListBullet3"/>
      </w:pPr>
      <w:r w:rsidRPr="00AF63CD">
        <w:t>transportation depots</w:t>
      </w:r>
    </w:p>
    <w:p w:rsidR="00000000" w:rsidRPr="00AF63CD" w:rsidP="00AF63CD">
      <w:pPr>
        <w:pStyle w:val="ListBullet2"/>
      </w:pPr>
      <w:r w:rsidRPr="00AF63CD">
        <w:t>gardens</w:t>
      </w:r>
    </w:p>
    <w:p w:rsidR="00000000" w:rsidRPr="00AF63CD" w:rsidP="00AF63CD">
      <w:pPr>
        <w:pStyle w:val="ListBullet2"/>
      </w:pPr>
      <w:r w:rsidRPr="00AF63CD">
        <w:t>pools</w:t>
      </w:r>
    </w:p>
    <w:p w:rsidR="00000000" w:rsidRPr="00AF63CD" w:rsidP="00AF63CD">
      <w:pPr>
        <w:pStyle w:val="ListBullet2"/>
      </w:pPr>
      <w:r w:rsidRPr="00AF63CD">
        <w:t>rides and games</w:t>
      </w:r>
    </w:p>
    <w:p w:rsidR="00000000" w:rsidRPr="00AF63CD" w:rsidP="00AF63CD">
      <w:pPr>
        <w:pStyle w:val="ListBullet2"/>
      </w:pPr>
      <w:r w:rsidRPr="00AF63CD">
        <w:t>vehicles</w:t>
      </w:r>
    </w:p>
    <w:p w:rsidR="00000000" w:rsidRPr="00AF63CD" w:rsidP="00AF63CD">
      <w:pPr>
        <w:pStyle w:val="ListBullet2"/>
      </w:pPr>
      <w:r w:rsidRPr="00AF63CD">
        <w:t>vessels</w:t>
      </w:r>
    </w:p>
    <w:p w:rsidR="00000000" w:rsidRPr="00AF63CD" w:rsidP="00AF63CD">
      <w:pPr>
        <w:pStyle w:val="ListBullet"/>
      </w:pPr>
      <w:r w:rsidRPr="00AF63CD">
        <w:t>maintenance requirements for different types of physical assets</w:t>
      </w:r>
    </w:p>
    <w:p w:rsidR="00000000" w:rsidRPr="00AF63CD" w:rsidP="00AF63CD">
      <w:pPr>
        <w:pStyle w:val="ListBullet"/>
      </w:pPr>
      <w:r w:rsidRPr="00AF63CD">
        <w:t>considerations for long-term assessment of physical assets:</w:t>
      </w:r>
    </w:p>
    <w:p w:rsidR="00000000" w:rsidRPr="00AF63CD" w:rsidP="00AF63CD">
      <w:pPr>
        <w:pStyle w:val="ListBullet2"/>
      </w:pPr>
      <w:r w:rsidRPr="00AF63CD">
        <w:t>ability to meet business objectives</w:t>
      </w:r>
    </w:p>
    <w:p w:rsidR="00000000" w:rsidRPr="00AF63CD" w:rsidP="00AF63CD">
      <w:pPr>
        <w:pStyle w:val="ListBullet2"/>
      </w:pPr>
      <w:r w:rsidRPr="00AF63CD">
        <w:t>cost of maintenance over a period of time</w:t>
      </w:r>
    </w:p>
    <w:p w:rsidR="00000000" w:rsidRPr="00AF63CD" w:rsidP="00AF63CD">
      <w:pPr>
        <w:pStyle w:val="ListBullet2"/>
      </w:pPr>
      <w:r w:rsidRPr="00AF63CD">
        <w:t>customer and staff feedback</w:t>
      </w:r>
    </w:p>
    <w:p w:rsidR="00000000" w:rsidRPr="00AF63CD" w:rsidP="00AF63CD">
      <w:pPr>
        <w:pStyle w:val="ListBullet2"/>
      </w:pPr>
      <w:r w:rsidRPr="00AF63CD">
        <w:t>input from specialists where required</w:t>
      </w:r>
    </w:p>
    <w:p w:rsidR="00000000" w:rsidRPr="00AF63CD" w:rsidP="00AF63CD">
      <w:pPr>
        <w:pStyle w:val="ListBullet2"/>
      </w:pPr>
      <w:r w:rsidRPr="00AF63CD">
        <w:t>operational efficiency</w:t>
      </w:r>
    </w:p>
    <w:p w:rsidR="00000000" w:rsidRPr="00AF63CD" w:rsidP="00AF63CD">
      <w:pPr>
        <w:pStyle w:val="ListBullet2"/>
      </w:pPr>
      <w:r w:rsidRPr="00AF63CD">
        <w:t>safety</w:t>
      </w:r>
    </w:p>
    <w:p w:rsidR="00000000" w:rsidRPr="00AF63CD" w:rsidP="00AF63CD">
      <w:pPr>
        <w:pStyle w:val="ListBullet"/>
      </w:pPr>
      <w:r w:rsidRPr="00AF63CD">
        <w:t>equipment specificat</w:t>
      </w:r>
      <w:r w:rsidRPr="00AF63CD">
        <w:t>ions to guide acquisition process:</w:t>
      </w:r>
    </w:p>
    <w:p w:rsidR="00000000" w:rsidRPr="00AF63CD" w:rsidP="00AF63CD">
      <w:pPr>
        <w:pStyle w:val="ListBullet2"/>
      </w:pPr>
      <w:r w:rsidRPr="00AF63CD">
        <w:t>budget parameters</w:t>
      </w:r>
    </w:p>
    <w:p w:rsidR="00000000" w:rsidRPr="00AF63CD" w:rsidP="00AF63CD">
      <w:pPr>
        <w:pStyle w:val="ListBullet2"/>
      </w:pPr>
      <w:r w:rsidRPr="00AF63CD">
        <w:t>environmental sustainability policies for the business</w:t>
      </w:r>
    </w:p>
    <w:p w:rsidR="00000000" w:rsidRPr="00AF63CD" w:rsidP="00AF63CD">
      <w:pPr>
        <w:pStyle w:val="ListBullet2"/>
      </w:pPr>
      <w:r w:rsidRPr="00AF63CD">
        <w:t>floor plans</w:t>
      </w:r>
    </w:p>
    <w:p w:rsidR="00000000" w:rsidRPr="00AF63CD" w:rsidP="00AF63CD">
      <w:pPr>
        <w:pStyle w:val="ListBullet2"/>
      </w:pPr>
      <w:r w:rsidRPr="00AF63CD">
        <w:t>numbers and types of required equipment fixtures, fittings and furniture</w:t>
      </w:r>
    </w:p>
    <w:p w:rsidR="00000000" w:rsidRPr="00AF63CD" w:rsidP="00AF63CD">
      <w:pPr>
        <w:pStyle w:val="ListBullet2"/>
      </w:pPr>
      <w:r w:rsidRPr="00AF63CD">
        <w:t>operational performance requirements:</w:t>
      </w:r>
    </w:p>
    <w:p w:rsidR="00000000" w:rsidRPr="00AF63CD" w:rsidP="00AF63CD">
      <w:pPr>
        <w:pStyle w:val="ListBullet3"/>
      </w:pPr>
      <w:r w:rsidRPr="00AF63CD">
        <w:t>efficiency</w:t>
      </w:r>
    </w:p>
    <w:p w:rsidR="00000000" w:rsidRPr="00AF63CD" w:rsidP="00AF63CD">
      <w:pPr>
        <w:pStyle w:val="ListBullet3"/>
      </w:pPr>
      <w:r w:rsidRPr="00AF63CD">
        <w:t xml:space="preserve">customer traffic </w:t>
      </w:r>
    </w:p>
    <w:p w:rsidR="00000000" w:rsidRPr="00AF63CD" w:rsidP="00AF63CD">
      <w:pPr>
        <w:pStyle w:val="ListBullet3"/>
      </w:pPr>
      <w:r w:rsidRPr="00AF63CD">
        <w:t>staff usage</w:t>
      </w:r>
    </w:p>
    <w:p w:rsidR="00000000" w:rsidRPr="00AF63CD" w:rsidP="00AF63CD">
      <w:pPr>
        <w:pStyle w:val="ListBullet2"/>
      </w:pPr>
      <w:r w:rsidRPr="00AF63CD">
        <w:t>types of products and services offered by the business</w:t>
      </w:r>
    </w:p>
    <w:p w:rsidR="00000000" w:rsidRPr="00AF63CD" w:rsidP="00AF63CD">
      <w:pPr>
        <w:pStyle w:val="ListBullet"/>
      </w:pPr>
      <w:r w:rsidRPr="00AF63CD">
        <w:t>formats for and inclusions of asset registers specified in performance evidence</w:t>
      </w:r>
    </w:p>
    <w:p w:rsidR="00000000" w:rsidRPr="00AF63CD" w:rsidP="00AF63CD">
      <w:pPr>
        <w:pStyle w:val="ListBullet"/>
      </w:pPr>
      <w:r w:rsidRPr="00AF63CD">
        <w:t>features and benefits of different financing options for asset acquisition:</w:t>
      </w:r>
    </w:p>
    <w:p w:rsidR="00000000" w:rsidRPr="00AF63CD" w:rsidP="00AF63CD">
      <w:pPr>
        <w:pStyle w:val="ListBullet2"/>
      </w:pPr>
      <w:r w:rsidRPr="00AF63CD">
        <w:t>hire purchas</w:t>
      </w:r>
      <w:r w:rsidRPr="00AF63CD">
        <w:t>e</w:t>
      </w:r>
    </w:p>
    <w:p w:rsidR="00000000" w:rsidRPr="00AF63CD" w:rsidP="00AF63CD">
      <w:pPr>
        <w:pStyle w:val="ListBullet2"/>
      </w:pPr>
      <w:r w:rsidRPr="00AF63CD">
        <w:t>lease</w:t>
      </w:r>
    </w:p>
    <w:p w:rsidR="00000000" w:rsidRPr="00AF63CD" w:rsidP="00AF63CD">
      <w:pPr>
        <w:pStyle w:val="ListBullet2"/>
      </w:pPr>
      <w:r w:rsidRPr="00AF63CD">
        <w:t>purchase</w:t>
      </w:r>
    </w:p>
    <w:p w:rsidR="00000000" w:rsidRPr="00AF63CD" w:rsidP="00AF63CD">
      <w:pPr>
        <w:pStyle w:val="ListBullet2"/>
      </w:pPr>
      <w:r w:rsidRPr="00AF63CD">
        <w:t>rent</w:t>
      </w:r>
    </w:p>
    <w:p w:rsidR="00000000" w:rsidRPr="00AF63CD" w:rsidP="00AF63CD">
      <w:pPr>
        <w:pStyle w:val="ListBullet"/>
      </w:pPr>
      <w:r w:rsidRPr="00AF63CD">
        <w:t>depreciation that can be applied to different types of physical assets</w:t>
      </w:r>
    </w:p>
    <w:p w:rsidR="00000000" w:rsidRPr="00AF63CD" w:rsidP="00AF63CD">
      <w:pPr>
        <w:pStyle w:val="ListBullet"/>
      </w:pPr>
      <w:r w:rsidRPr="00AF63CD">
        <w:t>data used in the estimation of asset acquisition:</w:t>
      </w:r>
    </w:p>
    <w:p w:rsidR="00000000" w:rsidRPr="00AF63CD" w:rsidP="00AF63CD">
      <w:pPr>
        <w:pStyle w:val="ListBullet2"/>
      </w:pPr>
      <w:r w:rsidRPr="00AF63CD">
        <w:t>current maintenance contracts</w:t>
      </w:r>
    </w:p>
    <w:p w:rsidR="00000000" w:rsidRPr="00AF63CD" w:rsidP="00AF63CD">
      <w:pPr>
        <w:pStyle w:val="ListBullet2"/>
      </w:pPr>
      <w:r w:rsidRPr="00AF63CD">
        <w:t>estimates and quotations from suppliers</w:t>
      </w:r>
    </w:p>
    <w:p w:rsidR="00000000" w:rsidRPr="00AF63CD" w:rsidP="00AF63CD">
      <w:pPr>
        <w:pStyle w:val="ListBullet2"/>
      </w:pPr>
      <w:r w:rsidRPr="00AF63CD">
        <w:t>previous contracts and costs</w:t>
      </w:r>
    </w:p>
    <w:p w:rsidR="00000000" w:rsidRPr="00AF63CD" w:rsidP="00AF63CD">
      <w:pPr>
        <w:pStyle w:val="ListBullet2"/>
      </w:pPr>
      <w:r w:rsidRPr="00AF63CD">
        <w:t>published or advertised prices</w:t>
      </w:r>
    </w:p>
    <w:p w:rsidR="00000000" w:rsidRPr="00AF63CD" w:rsidP="00AF63CD">
      <w:pPr>
        <w:pStyle w:val="ListBullet"/>
      </w:pPr>
      <w:r w:rsidRPr="00AF63CD">
        <w:t>practices to support environmental sustainability using different types of physical assets.</w:t>
      </w:r>
    </w:p>
    <w:p w:rsidR="00000000" w:rsidRPr="00AF63CD" w:rsidP="00AF63CD">
      <w:pPr>
        <w:pStyle w:val="AllowPageBreak"/>
      </w:pPr>
    </w:p>
    <w:p w:rsidR="00000000" w:rsidRPr="00AF63CD" w:rsidP="00AF63CD">
      <w:pPr>
        <w:pStyle w:val="Heading1"/>
      </w:pPr>
      <w:bookmarkStart w:id="4" w:name="O_767474"/>
      <w:bookmarkEnd w:id="4"/>
      <w:r w:rsidRPr="00AF63CD">
        <w:t>Assessment Conditions</w:t>
      </w:r>
    </w:p>
    <w:p w:rsidR="00000000" w:rsidRPr="00AF63CD" w:rsidP="00FF075D">
      <w:pPr>
        <w:pStyle w:val="BodyText"/>
      </w:pPr>
      <w:r w:rsidRPr="00AF63CD">
        <w:t>Skills must be demonstrated in an operational tourism, travel, hospitality or event operation</w:t>
      </w:r>
      <w:r w:rsidRPr="00AF63CD">
        <w:t xml:space="preserve"> for which physical assets are monitored and maintained. This can be:</w:t>
      </w:r>
    </w:p>
    <w:p w:rsidR="00000000" w:rsidRPr="00AF63CD" w:rsidP="00AF63CD">
      <w:pPr>
        <w:pStyle w:val="ListBullet"/>
      </w:pPr>
      <w:r w:rsidRPr="00AF63CD">
        <w:t>an industry workplace</w:t>
      </w:r>
    </w:p>
    <w:p w:rsidR="00000000" w:rsidRPr="00AF63CD" w:rsidP="00AF63CD">
      <w:pPr>
        <w:pStyle w:val="ListBullet"/>
      </w:pPr>
      <w:r w:rsidRPr="00AF63CD">
        <w:t>a simulated industry environment.</w:t>
      </w:r>
    </w:p>
    <w:p w:rsidR="00000000" w:rsidRPr="00AF63CD" w:rsidP="00AF63CD">
      <w:pPr>
        <w:pStyle w:val="BodyText"/>
      </w:pPr>
    </w:p>
    <w:p w:rsidR="00000000" w:rsidRPr="00AF63CD" w:rsidP="00FF075D">
      <w:pPr>
        <w:pStyle w:val="BodyText"/>
      </w:pPr>
      <w:r w:rsidRPr="00AF63CD">
        <w:t>Assessment must ensure access to:</w:t>
      </w:r>
    </w:p>
    <w:p w:rsidR="00000000" w:rsidRPr="00AF63CD" w:rsidP="00AF63CD">
      <w:pPr>
        <w:pStyle w:val="ListBullet"/>
      </w:pPr>
      <w:r w:rsidRPr="00AF63CD">
        <w:t>current commercial purchase specifications, supplier product and cost information, and contractual documentation used for the purchase of assets.</w:t>
      </w:r>
    </w:p>
    <w:p w:rsidR="00000000" w:rsidRPr="00AF63CD" w:rsidP="00AF63CD">
      <w:pPr>
        <w:pStyle w:val="BodyText"/>
      </w:pPr>
    </w:p>
    <w:p w:rsidR="00000000" w:rsidRPr="00AF63CD" w:rsidP="00FF075D">
      <w:pPr>
        <w:pStyle w:val="BodyText"/>
      </w:pPr>
      <w:r w:rsidRPr="00AF63CD">
        <w:t>Assessors must satisfy the Standards for Registered Training Organisations’ requirements for assessors.</w:t>
      </w:r>
    </w:p>
    <w:p w:rsidR="00000000" w:rsidRPr="00AF63CD" w:rsidP="00AF63CD">
      <w:pPr>
        <w:pStyle w:val="Heading1"/>
      </w:pPr>
      <w:bookmarkStart w:id="5" w:name="O_767477"/>
      <w:bookmarkEnd w:id="5"/>
      <w:r w:rsidRPr="00AF63CD">
        <w:t>Links</w:t>
      </w:r>
    </w:p>
    <w:p w:rsidR="00000000" w:rsidRPr="00AF63CD" w:rsidP="00FF075D">
      <w:pPr>
        <w:pStyle w:val="BodyText"/>
      </w:pPr>
      <w:r w:rsidRPr="00AF6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039A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63CD" w:rsidP="00AF63CD"/>
    <w:sectPr w:rsidSect="00AF6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CD" w:rsidRPr="00FF075D" w:rsidP="00FF0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5D" w:rsidP="00AF6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75D" w:rsidP="00AF6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075D" w:rsidP="00AF6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CD" w:rsidRPr="00FF075D" w:rsidP="00FF0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75D" w:rsidRPr="002D2AF8" w:rsidP="00AF6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SITXFIN005 Manage physical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F075D" w:rsidP="00AF6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D89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D22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2E1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3CD"/>
  </w:style>
  <w:style w:type="character" w:customStyle="1" w:styleId="Heading1Char">
    <w:name w:val="Heading 1 Char"/>
    <w:basedOn w:val="DefaultParagraphFont"/>
    <w:link w:val="Heading1"/>
    <w:rsid w:val="00AF6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3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3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63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6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3CD"/>
    <w:rPr>
      <w:b/>
      <w:spacing w:val="0"/>
    </w:rPr>
  </w:style>
  <w:style w:type="paragraph" w:customStyle="1" w:styleId="SuperTitle">
    <w:name w:val="SuperTitle"/>
    <w:basedOn w:val="Title"/>
    <w:rsid w:val="00AF6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3CD"/>
    <w:rPr>
      <w:i/>
    </w:rPr>
  </w:style>
  <w:style w:type="paragraph" w:styleId="Caption">
    <w:name w:val="caption"/>
    <w:basedOn w:val="BodyText"/>
    <w:next w:val="Normal"/>
    <w:qFormat/>
    <w:rsid w:val="00AF6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3CD"/>
  </w:style>
  <w:style w:type="paragraph" w:styleId="TableofFigures">
    <w:name w:val="table of figures"/>
    <w:basedOn w:val="Normal"/>
    <w:next w:val="Normal"/>
    <w:semiHidden/>
    <w:rsid w:val="00AF6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3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63CD"/>
    <w:rPr>
      <w:rFonts w:ascii="Wingdings" w:hAnsi="Wingdings"/>
    </w:rPr>
  </w:style>
  <w:style w:type="paragraph" w:customStyle="1" w:styleId="TableHeading">
    <w:name w:val="Table Heading"/>
    <w:basedOn w:val="HeadingBase"/>
    <w:rsid w:val="00AF6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3CD"/>
    <w:rPr>
      <w:color w:val="0033CC"/>
      <w:u w:val="none"/>
    </w:rPr>
  </w:style>
  <w:style w:type="paragraph" w:customStyle="1" w:styleId="BodyTextRight">
    <w:name w:val="Body Text Right"/>
    <w:basedOn w:val="BodyText"/>
    <w:rsid w:val="00AF6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3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3CD"/>
    <w:rPr>
      <w:sz w:val="32"/>
    </w:rPr>
  </w:style>
  <w:style w:type="paragraph" w:customStyle="1" w:styleId="HeadingProcedure">
    <w:name w:val="Heading Procedure"/>
    <w:basedOn w:val="HeadingBase"/>
    <w:next w:val="Normal"/>
    <w:rsid w:val="00AF6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3CD"/>
    <w:pPr>
      <w:spacing w:before="60" w:after="60"/>
    </w:pPr>
  </w:style>
  <w:style w:type="paragraph" w:styleId="ListContinue">
    <w:name w:val="List Continue"/>
    <w:basedOn w:val="List"/>
    <w:rsid w:val="00AF63CD"/>
    <w:pPr>
      <w:ind w:firstLine="0"/>
    </w:pPr>
  </w:style>
  <w:style w:type="paragraph" w:customStyle="1" w:styleId="ListNote">
    <w:name w:val="List Note"/>
    <w:basedOn w:val="List"/>
    <w:rsid w:val="00AF6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3CD"/>
    <w:rPr>
      <w:rFonts w:ascii="Courier New" w:hAnsi="Courier New"/>
    </w:rPr>
  </w:style>
  <w:style w:type="paragraph" w:customStyle="1" w:styleId="NoteBullet">
    <w:name w:val="Note Bullet"/>
    <w:basedOn w:val="Note"/>
    <w:rsid w:val="00AF6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3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6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3CD"/>
    <w:rPr>
      <w:b/>
      <w:smallCaps/>
    </w:rPr>
  </w:style>
  <w:style w:type="paragraph" w:customStyle="1" w:styleId="TableListNumber">
    <w:name w:val="Table List Number"/>
    <w:basedOn w:val="ListNumber"/>
    <w:rsid w:val="00AF6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3CD"/>
    <w:pPr>
      <w:numPr>
        <w:numId w:val="10"/>
      </w:numPr>
    </w:pPr>
  </w:style>
  <w:style w:type="paragraph" w:customStyle="1" w:styleId="ListAlpha2">
    <w:name w:val="List Alpha 2"/>
    <w:basedOn w:val="List2"/>
    <w:rsid w:val="00AF63CD"/>
    <w:pPr>
      <w:numPr>
        <w:numId w:val="9"/>
      </w:numPr>
    </w:pPr>
  </w:style>
  <w:style w:type="paragraph" w:styleId="List2">
    <w:name w:val="List 2"/>
    <w:basedOn w:val="BodyText"/>
    <w:rsid w:val="00AF6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3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63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63CD"/>
    <w:pPr>
      <w:numPr>
        <w:numId w:val="5"/>
      </w:numPr>
    </w:pPr>
  </w:style>
  <w:style w:type="paragraph" w:styleId="ListContinue2">
    <w:name w:val="List Continue 2"/>
    <w:basedOn w:val="List2"/>
    <w:rsid w:val="00AF63CD"/>
    <w:pPr>
      <w:ind w:firstLine="0"/>
    </w:pPr>
  </w:style>
  <w:style w:type="paragraph" w:styleId="ListContinue3">
    <w:name w:val="List Continue 3"/>
    <w:basedOn w:val="List3"/>
    <w:rsid w:val="00AF63CD"/>
    <w:pPr>
      <w:ind w:left="1021" w:firstLine="0"/>
    </w:pPr>
  </w:style>
  <w:style w:type="paragraph" w:styleId="ListContinue4">
    <w:name w:val="List Continue 4"/>
    <w:basedOn w:val="List4"/>
    <w:rsid w:val="00AF63CD"/>
    <w:pPr>
      <w:ind w:firstLine="0"/>
    </w:pPr>
  </w:style>
  <w:style w:type="paragraph" w:styleId="ListContinue5">
    <w:name w:val="List Continue 5"/>
    <w:basedOn w:val="List5"/>
    <w:rsid w:val="00AF63CD"/>
    <w:pPr>
      <w:ind w:firstLine="0"/>
    </w:pPr>
  </w:style>
  <w:style w:type="paragraph" w:styleId="ListNumber3">
    <w:name w:val="List Number 3"/>
    <w:basedOn w:val="List3"/>
    <w:rsid w:val="00AF63CD"/>
    <w:pPr>
      <w:numPr>
        <w:numId w:val="6"/>
      </w:numPr>
    </w:pPr>
  </w:style>
  <w:style w:type="paragraph" w:styleId="ListNumber4">
    <w:name w:val="List Number 4"/>
    <w:basedOn w:val="List4"/>
    <w:rsid w:val="00AF63CD"/>
    <w:pPr>
      <w:numPr>
        <w:numId w:val="7"/>
      </w:numPr>
    </w:pPr>
  </w:style>
  <w:style w:type="paragraph" w:styleId="ListNumber5">
    <w:name w:val="List Number 5"/>
    <w:basedOn w:val="List5"/>
    <w:rsid w:val="00AF63CD"/>
    <w:pPr>
      <w:numPr>
        <w:numId w:val="8"/>
      </w:numPr>
    </w:pPr>
  </w:style>
  <w:style w:type="paragraph" w:styleId="BlockText">
    <w:name w:val="Block Text"/>
    <w:basedOn w:val="Normal"/>
    <w:rsid w:val="00AF6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3CD"/>
    <w:rPr>
      <w:sz w:val="16"/>
      <w:vertAlign w:val="superscript"/>
    </w:rPr>
  </w:style>
  <w:style w:type="character" w:customStyle="1" w:styleId="Symbols">
    <w:name w:val="Symbols"/>
    <w:basedOn w:val="DefaultParagraphFont"/>
    <w:rsid w:val="00AF63CD"/>
    <w:rPr>
      <w:rFonts w:ascii="Symbol" w:hAnsi="Symbol"/>
    </w:rPr>
  </w:style>
  <w:style w:type="character" w:customStyle="1" w:styleId="MenuOptions">
    <w:name w:val="Menu Options"/>
    <w:basedOn w:val="DefaultParagraphFont"/>
    <w:rsid w:val="00AF6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3CD"/>
    <w:rPr>
      <w:b/>
    </w:rPr>
  </w:style>
  <w:style w:type="character" w:customStyle="1" w:styleId="Underlined">
    <w:name w:val="Underlined"/>
    <w:basedOn w:val="DefaultParagraphFont"/>
    <w:rsid w:val="00AF63CD"/>
    <w:rPr>
      <w:u w:val="single"/>
    </w:rPr>
  </w:style>
  <w:style w:type="paragraph" w:customStyle="1" w:styleId="TableBodyTextRight">
    <w:name w:val="Table Body Text Right"/>
    <w:basedOn w:val="TableBodyText"/>
    <w:rsid w:val="00AF6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3CD"/>
    <w:rPr>
      <w:sz w:val="18"/>
    </w:rPr>
  </w:style>
  <w:style w:type="paragraph" w:customStyle="1" w:styleId="BodySmallRight">
    <w:name w:val="Body Small Right"/>
    <w:basedOn w:val="BodyTextRight"/>
    <w:rsid w:val="00AF63CD"/>
    <w:rPr>
      <w:sz w:val="18"/>
      <w:szCs w:val="18"/>
    </w:rPr>
  </w:style>
  <w:style w:type="paragraph" w:customStyle="1" w:styleId="MarginEdition">
    <w:name w:val="Margin Edition"/>
    <w:basedOn w:val="MarginNote"/>
    <w:rsid w:val="00AF6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3CD"/>
    <w:rPr>
      <w:sz w:val="2"/>
      <w:szCs w:val="2"/>
    </w:rPr>
  </w:style>
  <w:style w:type="character" w:customStyle="1" w:styleId="Small">
    <w:name w:val="Small"/>
    <w:basedOn w:val="DefaultParagraphFont"/>
    <w:rsid w:val="00AF63CD"/>
    <w:rPr>
      <w:sz w:val="16"/>
    </w:rPr>
  </w:style>
  <w:style w:type="paragraph" w:customStyle="1" w:styleId="WideTable">
    <w:name w:val="Wide Table"/>
    <w:basedOn w:val="Normal"/>
    <w:rsid w:val="00AF6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3CD"/>
  </w:style>
  <w:style w:type="paragraph" w:styleId="Quote">
    <w:name w:val="Quote"/>
    <w:basedOn w:val="Heading1"/>
    <w:link w:val="QuoteChar"/>
    <w:qFormat/>
    <w:rsid w:val="00AF6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3CD"/>
    <w:pPr>
      <w:pageBreakBefore/>
    </w:pPr>
  </w:style>
  <w:style w:type="paragraph" w:customStyle="1" w:styleId="Border">
    <w:name w:val="Border"/>
    <w:basedOn w:val="Normal"/>
    <w:qFormat/>
    <w:rsid w:val="00AF6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3CD"/>
    <w:rPr>
      <w:u w:val="single"/>
    </w:rPr>
  </w:style>
  <w:style w:type="character" w:customStyle="1" w:styleId="BoldandItalics">
    <w:name w:val="Bold and Italics"/>
    <w:qFormat/>
    <w:rsid w:val="00AF63CD"/>
    <w:rPr>
      <w:b/>
      <w:i/>
      <w:u w:val="none"/>
    </w:rPr>
  </w:style>
  <w:style w:type="paragraph" w:styleId="BalloonText">
    <w:name w:val="Balloon Text"/>
    <w:basedOn w:val="Normal"/>
    <w:link w:val="BalloonTextChar"/>
    <w:rsid w:val="00AF6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3CD"/>
    <w:pPr>
      <w:spacing w:before="0" w:after="0"/>
    </w:pPr>
  </w:style>
  <w:style w:type="paragraph" w:customStyle="1" w:styleId="BodyTextBold">
    <w:name w:val="Body Text Bold"/>
    <w:basedOn w:val="BodyText"/>
    <w:qFormat/>
    <w:rsid w:val="00AF63CD"/>
    <w:rPr>
      <w:b/>
    </w:rPr>
  </w:style>
  <w:style w:type="character" w:styleId="Hyperlink">
    <w:name w:val="Hyperlink"/>
    <w:basedOn w:val="DefaultParagraphFont"/>
    <w:uiPriority w:val="99"/>
    <w:unhideWhenUsed/>
    <w:rsid w:val="00FF0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3211</Characters>
  <Application>Microsoft Office Word</Application>
  <DocSecurity>0</DocSecurity>
  <Lines>103</Lines>
  <Paragraphs>94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SITXFIN005 Manage physical assets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