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B7C" w:rsidP="00BA5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SITTVAF004 Tow and site recreational vehicles</w:t>
      </w:r>
      <w:r>
        <w:fldChar w:fldCharType="end"/>
      </w:r>
    </w:p>
    <w:p w:rsidR="00BA5B7C" w:rsidP="00BA5B7C">
      <w:pPr>
        <w:pStyle w:val="Version"/>
        <w:sectPr w:rsidSect="00F16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EDC" w:rsidP="00F16EDC">
      <w:pPr>
        <w:pStyle w:val="SuperHeading"/>
      </w:pPr>
      <w:r w:rsidRPr="00F16EDC">
        <w:t>SITTVAF004 Tow and site recreational vehicles</w:t>
      </w:r>
    </w:p>
    <w:p w:rsidR="00000000" w:rsidRPr="00F16EDC" w:rsidP="00F16EDC">
      <w:pPr>
        <w:pStyle w:val="Heading1"/>
      </w:pPr>
      <w:bookmarkStart w:id="1" w:name="O_766663"/>
      <w:bookmarkEnd w:id="1"/>
      <w:r w:rsidRPr="00F16EDC">
        <w:t>Modification History</w:t>
      </w:r>
    </w:p>
    <w:p w:rsidR="00000000" w:rsidRPr="00F16EDC" w:rsidP="00BA5B7C">
      <w:pPr>
        <w:pStyle w:val="BodyText"/>
      </w:pPr>
      <w:r w:rsidRPr="00F16EDC">
        <w:t>Not applicable.</w:t>
      </w:r>
    </w:p>
    <w:p w:rsidR="00000000" w:rsidRPr="00F16EDC" w:rsidP="00F16EDC">
      <w:pPr>
        <w:pStyle w:val="Heading1"/>
      </w:pPr>
      <w:bookmarkStart w:id="2" w:name="O_766664"/>
      <w:bookmarkEnd w:id="2"/>
      <w:r w:rsidRPr="00F16EDC">
        <w:t>Application</w:t>
      </w:r>
    </w:p>
    <w:p w:rsidR="00000000" w:rsidRPr="00F16EDC" w:rsidP="00BA5B7C">
      <w:pPr>
        <w:pStyle w:val="BodyText"/>
      </w:pPr>
      <w:r w:rsidRPr="00F16EDC">
        <w:t>This unit describes the performance outcomes, skills and knowledge required to safely tow and site recreational vehicles in off-road spaces. It requires the ability to identify the s</w:t>
      </w:r>
      <w:r w:rsidRPr="00F16EDC">
        <w:t>ite, calculate weight-to-vehicle towing ratios, and manoeuvre and position a recreational vehicle to the required location.</w:t>
      </w:r>
    </w:p>
    <w:p w:rsidR="00000000" w:rsidRPr="00F16EDC" w:rsidP="00BA5B7C">
      <w:pPr>
        <w:pStyle w:val="BodyText"/>
      </w:pPr>
      <w:r w:rsidRPr="00F16EDC">
        <w:t>The unit applies to those working in holiday parks or in the manufacture, service, repair or sale of recreational vehicles. It appl</w:t>
      </w:r>
      <w:r w:rsidRPr="00F16EDC">
        <w:t>ies to people who operate with some level of independence and under limited supervision.</w:t>
      </w:r>
    </w:p>
    <w:p w:rsidR="00000000" w:rsidRPr="00F16EDC" w:rsidP="00BA5B7C">
      <w:pPr>
        <w:pStyle w:val="BodyText"/>
      </w:pPr>
      <w:r w:rsidRPr="00F16EDC">
        <w:t>The driver towing the recreational vehicle must possess a current driving licence valid for the category of towing vehicle and comply with all regulations of the rele</w:t>
      </w:r>
      <w:r w:rsidRPr="00F16EDC">
        <w:t>vant state or territory roads and traffic authority.</w:t>
      </w:r>
    </w:p>
    <w:p w:rsidR="00000000" w:rsidRPr="00F16EDC" w:rsidP="00F16EDC">
      <w:pPr>
        <w:pStyle w:val="Heading1"/>
      </w:pPr>
      <w:bookmarkStart w:id="3" w:name="O_766665"/>
      <w:bookmarkEnd w:id="3"/>
      <w:r w:rsidRPr="00F16EDC">
        <w:t>Pre-requisite Unit</w:t>
      </w:r>
    </w:p>
    <w:p w:rsidR="00000000" w:rsidRPr="00F16EDC" w:rsidP="00BA5B7C">
      <w:pPr>
        <w:pStyle w:val="BodyText"/>
      </w:pPr>
      <w:r w:rsidRPr="00F16EDC">
        <w:t>Nil</w:t>
      </w:r>
    </w:p>
    <w:p w:rsidR="00000000" w:rsidRPr="00F16EDC" w:rsidP="00F16EDC">
      <w:pPr>
        <w:pStyle w:val="Heading1"/>
      </w:pPr>
      <w:bookmarkStart w:id="4" w:name="O_766666"/>
      <w:bookmarkEnd w:id="4"/>
      <w:r w:rsidRPr="00F16EDC">
        <w:t>Competency Field</w:t>
      </w:r>
    </w:p>
    <w:p w:rsidR="00000000" w:rsidRPr="00F16EDC" w:rsidP="00BA5B7C">
      <w:pPr>
        <w:pStyle w:val="BodyText"/>
      </w:pPr>
      <w:r w:rsidRPr="00F16EDC">
        <w:t xml:space="preserve">Venue and Facility Operations </w:t>
      </w:r>
    </w:p>
    <w:p w:rsidR="00000000" w:rsidRPr="00F16EDC" w:rsidP="00F16EDC">
      <w:pPr>
        <w:pStyle w:val="Heading1"/>
      </w:pPr>
      <w:bookmarkStart w:id="5" w:name="O_766667"/>
      <w:bookmarkEnd w:id="5"/>
      <w:r w:rsidRPr="00F16EDC">
        <w:t>Unit Sector</w:t>
      </w:r>
    </w:p>
    <w:p w:rsidR="00000000" w:rsidRPr="00F16EDC" w:rsidP="00BA5B7C">
      <w:pPr>
        <w:pStyle w:val="BodyText"/>
      </w:pPr>
      <w:r w:rsidRPr="00F16EDC">
        <w:t>Tourism</w:t>
      </w:r>
    </w:p>
    <w:p w:rsidR="00000000" w:rsidRPr="00F16EDC" w:rsidP="00F16EDC">
      <w:pPr>
        <w:pStyle w:val="Heading1"/>
      </w:pPr>
      <w:bookmarkStart w:id="6" w:name="O_766668"/>
      <w:bookmarkEnd w:id="6"/>
      <w:r w:rsidRPr="00F16ED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A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DC" w:rsidP="00F16EDC">
            <w:pPr>
              <w:pStyle w:val="BodyText"/>
            </w:pPr>
            <w:r w:rsidRPr="00F16EDC">
              <w:rPr>
                <w:rStyle w:val="SpecialBold"/>
              </w:rPr>
              <w:t>ELEMENTS</w:t>
            </w:r>
            <w:r w:rsidRPr="00F16ED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BodyText"/>
              <w:rPr>
                <w:lang w:val="en-NZ"/>
              </w:rPr>
            </w:pPr>
            <w:r w:rsidRPr="00F16EDC">
              <w:rPr>
                <w:rStyle w:val="SpecialBold"/>
              </w:rPr>
              <w:t>PERFORMANCE CRITERIA</w:t>
            </w:r>
          </w:p>
        </w:tc>
      </w:tr>
      <w:tr w:rsidTr="00BA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BodyText"/>
              <w:rPr>
                <w:lang w:val="en-NZ"/>
              </w:rPr>
            </w:pPr>
            <w:r w:rsidRPr="00F16ED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BodyText"/>
              <w:rPr>
                <w:lang w:val="en-NZ"/>
              </w:rPr>
            </w:pPr>
            <w:r w:rsidRPr="00F16EDC">
              <w:t>Performance criteria describe the performance needed to demonstrate achievement of the element.</w:t>
            </w:r>
          </w:p>
        </w:tc>
      </w:tr>
      <w:tr w:rsidTr="00BA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List"/>
              <w:rPr>
                <w:lang w:val="en-NZ"/>
              </w:rPr>
            </w:pPr>
            <w:r w:rsidRPr="00F16EDC">
              <w:t>1.</w:t>
            </w:r>
            <w:r w:rsidRPr="00F16EDC">
              <w:tab/>
              <w:t>Prepare for towing of recreational vehicle.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DC" w:rsidP="00F16EDC">
            <w:pPr>
              <w:pStyle w:val="List"/>
            </w:pPr>
            <w:r w:rsidRPr="00F16EDC">
              <w:t>1.1.Identify and confirm required site for recreational vehicle.</w:t>
            </w:r>
          </w:p>
          <w:p w:rsidR="00000000" w:rsidRPr="00F16EDC" w:rsidP="00F16EDC">
            <w:pPr>
              <w:pStyle w:val="List"/>
            </w:pPr>
            <w:r w:rsidRPr="00F16EDC">
              <w:t xml:space="preserve">1.2.Calculate gross weight of recreational vehicle and determine </w:t>
            </w:r>
            <w:r w:rsidRPr="00F16EDC">
              <w:t>its aggregate mass.</w:t>
            </w:r>
          </w:p>
          <w:p w:rsidR="00000000" w:rsidRPr="00F16EDC" w:rsidP="00F16EDC">
            <w:pPr>
              <w:pStyle w:val="List"/>
            </w:pPr>
            <w:r w:rsidRPr="00F16EDC">
              <w:t>1.3.Check and confirm towing capacity of towing vehicle and adhere to tow-bar capacity.</w:t>
            </w:r>
          </w:p>
          <w:p w:rsidR="00000000" w:rsidRPr="00F16EDC" w:rsidP="00F16EDC">
            <w:pPr>
              <w:pStyle w:val="List"/>
            </w:pPr>
            <w:r w:rsidRPr="00F16EDC">
              <w:t>1.4.Conduct pre-op</w:t>
            </w:r>
            <w:r w:rsidRPr="00F16EDC">
              <w:t>erational checks on towing and recreational vehicles.</w:t>
            </w:r>
          </w:p>
          <w:p w:rsidR="00000000" w:rsidP="00F16EDC">
            <w:pPr>
              <w:pStyle w:val="List"/>
              <w:rPr>
                <w:lang w:val="en-NZ"/>
              </w:rPr>
            </w:pPr>
            <w:r w:rsidRPr="00F16EDC">
              <w:t>1.5.Attach recreational vehicle to towing vehicle according to manufacturer instructions.</w:t>
            </w:r>
          </w:p>
        </w:tc>
      </w:tr>
      <w:tr w:rsidTr="00BA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List"/>
              <w:rPr>
                <w:lang w:val="en-NZ"/>
              </w:rPr>
            </w:pPr>
            <w:r w:rsidRPr="00F16EDC">
              <w:t>2.</w:t>
            </w:r>
            <w:r w:rsidRPr="00F16EDC">
              <w:tab/>
              <w:t>Move and site recreational vehicle.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DC" w:rsidP="00F16EDC">
            <w:pPr>
              <w:pStyle w:val="List"/>
            </w:pPr>
            <w:r w:rsidRPr="00F16EDC">
              <w:t>2.1.Identify obstacles or hazards and remove or avoid.</w:t>
            </w:r>
          </w:p>
          <w:p w:rsidR="00000000" w:rsidRPr="00F16EDC" w:rsidP="00F16EDC">
            <w:pPr>
              <w:pStyle w:val="List"/>
            </w:pPr>
            <w:r w:rsidRPr="00F16EDC">
              <w:t>2.2.Give clear di</w:t>
            </w:r>
            <w:r w:rsidRPr="00F16EDC">
              <w:t>rections to others in the area to enable safe vehicle movement without injury to people or damage to vehicles, equipment or facilities.</w:t>
            </w:r>
          </w:p>
          <w:p w:rsidR="00000000" w:rsidRPr="00F16EDC" w:rsidP="00F16EDC">
            <w:pPr>
              <w:pStyle w:val="List"/>
            </w:pPr>
            <w:r w:rsidRPr="00F16EDC">
              <w:t>2.3.Safely manoeuvre recreational vehicle to required location.</w:t>
            </w:r>
          </w:p>
          <w:p w:rsidR="00000000" w:rsidP="00F16EDC">
            <w:pPr>
              <w:pStyle w:val="List"/>
              <w:rPr>
                <w:lang w:val="en-NZ"/>
              </w:rPr>
            </w:pPr>
            <w:r w:rsidRPr="00F16EDC">
              <w:t>2.4.Position recreational vehicle ensuring it is level a</w:t>
            </w:r>
            <w:r w:rsidRPr="00F16EDC">
              <w:t>nd parallel and within reach of required equipment and position stabilising fixtures.</w:t>
            </w:r>
          </w:p>
        </w:tc>
      </w:tr>
      <w:tr w:rsidTr="00BA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List"/>
              <w:rPr>
                <w:lang w:val="en-NZ"/>
              </w:rPr>
            </w:pPr>
            <w:r w:rsidRPr="00F16EDC">
              <w:t>3.</w:t>
            </w:r>
            <w:r w:rsidRPr="00F16EDC">
              <w:tab/>
              <w:t>Remove recreational vehicle from site.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DC" w:rsidP="00F16EDC">
            <w:pPr>
              <w:pStyle w:val="List"/>
            </w:pPr>
            <w:r w:rsidRPr="00F16EDC">
              <w:t>3.1.Disconnect power heads, water pipes and electrical leads.</w:t>
            </w:r>
          </w:p>
          <w:p w:rsidR="00000000" w:rsidRPr="00F16EDC" w:rsidP="00F16EDC">
            <w:pPr>
              <w:pStyle w:val="List"/>
            </w:pPr>
            <w:r w:rsidRPr="00F16EDC">
              <w:t>3.2.Stow stabilising fixtures.</w:t>
            </w:r>
          </w:p>
          <w:p w:rsidR="00000000" w:rsidRPr="00F16EDC" w:rsidP="00F16EDC">
            <w:pPr>
              <w:pStyle w:val="List"/>
            </w:pPr>
            <w:r w:rsidRPr="00F16EDC">
              <w:t>3.3.Remove recreational vehicle fr</w:t>
            </w:r>
            <w:r w:rsidRPr="00F16EDC">
              <w:t>om site according to safety procedures.</w:t>
            </w:r>
          </w:p>
        </w:tc>
      </w:tr>
    </w:tbl>
    <w:p w:rsidR="00000000" w:rsidRPr="00F16EDC" w:rsidP="00F16EDC">
      <w:pPr>
        <w:pStyle w:val="BodyText"/>
      </w:pPr>
    </w:p>
    <w:p w:rsidR="00000000" w:rsidRPr="00F16EDC" w:rsidP="00F16EDC">
      <w:pPr>
        <w:pStyle w:val="AllowPageBreak"/>
      </w:pPr>
    </w:p>
    <w:p w:rsidR="00000000" w:rsidRPr="00F16EDC" w:rsidP="00F16EDC">
      <w:pPr>
        <w:pStyle w:val="Heading1"/>
      </w:pPr>
      <w:bookmarkStart w:id="7" w:name="O_766669"/>
      <w:bookmarkEnd w:id="7"/>
      <w:r w:rsidRPr="00F16ED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A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BodyText"/>
              <w:rPr>
                <w:lang w:val="en-NZ"/>
              </w:rPr>
            </w:pPr>
            <w:r w:rsidRPr="00F16EDC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BA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DC" w:rsidP="00F16EDC">
            <w:pPr>
              <w:pStyle w:val="BodyText"/>
            </w:pPr>
            <w:r w:rsidRPr="00F16EDC">
              <w:rPr>
                <w:rStyle w:val="SpecialBold"/>
              </w:rPr>
              <w:t>SKILLS</w:t>
            </w:r>
            <w:r w:rsidRPr="00F16ED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BodyText"/>
              <w:rPr>
                <w:lang w:val="en-NZ"/>
              </w:rPr>
            </w:pPr>
            <w:r w:rsidRPr="00F16EDC">
              <w:rPr>
                <w:rStyle w:val="SpecialBold"/>
              </w:rPr>
              <w:t>DESCRIPTION</w:t>
            </w:r>
          </w:p>
        </w:tc>
      </w:tr>
      <w:tr w:rsidTr="00BA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BodyText"/>
              <w:rPr>
                <w:lang w:val="en-NZ"/>
              </w:rPr>
            </w:pPr>
            <w:r w:rsidRPr="00F16ED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ListBullet"/>
              <w:rPr>
                <w:lang w:val="en-NZ"/>
              </w:rPr>
            </w:pPr>
            <w:r w:rsidRPr="00F16EDC">
              <w:t>interpret weight-to-vehicle towing ratios, manufacturer instructions and operational check information.</w:t>
            </w:r>
          </w:p>
        </w:tc>
      </w:tr>
      <w:tr w:rsidTr="00BA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BodyText"/>
              <w:rPr>
                <w:lang w:val="en-NZ"/>
              </w:rPr>
            </w:pPr>
            <w:r w:rsidRPr="00F16ED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ListBullet"/>
              <w:rPr>
                <w:lang w:val="en-NZ"/>
              </w:rPr>
            </w:pPr>
            <w:r w:rsidRPr="00F16EDC">
              <w:t>discuss where the recreational vehicle will be sited.</w:t>
            </w:r>
          </w:p>
        </w:tc>
      </w:tr>
      <w:tr w:rsidTr="00BA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BodyText"/>
              <w:rPr>
                <w:lang w:val="en-NZ"/>
              </w:rPr>
            </w:pPr>
            <w:r w:rsidRPr="00F16ED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ListBullet"/>
              <w:rPr>
                <w:lang w:val="en-NZ"/>
              </w:rPr>
            </w:pPr>
            <w:r w:rsidRPr="00F16EDC">
              <w:t>calculate weights, aggregate mass of recreational vehicles and capacities of towing vehicles.</w:t>
            </w:r>
          </w:p>
        </w:tc>
      </w:tr>
      <w:tr w:rsidTr="00BA5B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EDC">
            <w:pPr>
              <w:pStyle w:val="BodyText"/>
              <w:rPr>
                <w:lang w:val="en-NZ"/>
              </w:rPr>
            </w:pPr>
            <w:r w:rsidRPr="00F16ED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EDC" w:rsidP="00F16EDC">
            <w:pPr>
              <w:pStyle w:val="ListBullet"/>
            </w:pPr>
            <w:r w:rsidRPr="00F16EDC">
              <w:t>identify and avoid obstacles or hazards.</w:t>
            </w:r>
          </w:p>
        </w:tc>
      </w:tr>
    </w:tbl>
    <w:p w:rsidR="00000000" w:rsidRPr="00F16EDC" w:rsidP="00F16EDC">
      <w:pPr>
        <w:pStyle w:val="BodyText"/>
      </w:pPr>
    </w:p>
    <w:p w:rsidR="00000000" w:rsidRPr="00F16EDC" w:rsidP="00F16EDC">
      <w:pPr>
        <w:pStyle w:val="AllowPageBreak"/>
      </w:pPr>
    </w:p>
    <w:p w:rsidR="00000000" w:rsidRPr="00F16EDC" w:rsidP="00F16EDC">
      <w:pPr>
        <w:pStyle w:val="Heading1"/>
      </w:pPr>
      <w:bookmarkStart w:id="8" w:name="O_766671"/>
      <w:bookmarkEnd w:id="8"/>
      <w:r w:rsidRPr="00F16EDC">
        <w:t>Unit Mapping Information</w:t>
      </w:r>
    </w:p>
    <w:p w:rsidR="00000000" w:rsidRPr="00F16EDC" w:rsidP="00BA5B7C">
      <w:pPr>
        <w:pStyle w:val="BodyText"/>
      </w:pPr>
      <w:r w:rsidRPr="00F16EDC">
        <w:t>SITTVAF303 Tow and site recreational vehicles</w:t>
      </w:r>
    </w:p>
    <w:p w:rsidR="00000000" w:rsidRPr="00F16EDC" w:rsidP="00F16EDC">
      <w:pPr>
        <w:pStyle w:val="Heading1"/>
      </w:pPr>
      <w:bookmarkStart w:id="9" w:name="O_766678"/>
      <w:bookmarkEnd w:id="9"/>
      <w:r w:rsidRPr="00F16EDC">
        <w:t>Links</w:t>
      </w:r>
    </w:p>
    <w:p w:rsidR="00000000" w:rsidRPr="00F16EDC" w:rsidP="00BA5B7C">
      <w:pPr>
        <w:pStyle w:val="BodyText"/>
      </w:pPr>
      <w:r w:rsidRPr="00F16E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1405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16EDC" w:rsidP="00F16EDC"/>
    <w:sectPr w:rsidSect="00F16E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DC" w:rsidRPr="00BA5B7C" w:rsidP="00BA5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7C" w:rsidP="00F16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B7C" w:rsidP="00F16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A5B7C" w:rsidP="00F16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EDC" w:rsidRPr="00BA5B7C" w:rsidP="00BA5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B7C" w:rsidRPr="002D2AF8" w:rsidP="00F16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SITTVAF004 Tow and site recreational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BA5B7C" w:rsidP="00F16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100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E869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EDC"/>
  </w:style>
  <w:style w:type="character" w:customStyle="1" w:styleId="Heading1Char">
    <w:name w:val="Heading 1 Char"/>
    <w:basedOn w:val="DefaultParagraphFont"/>
    <w:link w:val="Heading1"/>
    <w:rsid w:val="00F16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E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6E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6E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EDC"/>
    <w:rPr>
      <w:b/>
      <w:spacing w:val="0"/>
    </w:rPr>
  </w:style>
  <w:style w:type="paragraph" w:customStyle="1" w:styleId="SuperHeading">
    <w:name w:val="SuperHeading"/>
    <w:basedOn w:val="Normal"/>
    <w:rsid w:val="00F16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E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6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6E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6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E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EDC"/>
    <w:rPr>
      <w:i/>
    </w:rPr>
  </w:style>
  <w:style w:type="paragraph" w:styleId="Caption">
    <w:name w:val="caption"/>
    <w:basedOn w:val="BodyText"/>
    <w:next w:val="Normal"/>
    <w:qFormat/>
    <w:rsid w:val="00F16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EDC"/>
  </w:style>
  <w:style w:type="paragraph" w:styleId="TableofFigures">
    <w:name w:val="table of figures"/>
    <w:basedOn w:val="Normal"/>
    <w:next w:val="Normal"/>
    <w:semiHidden/>
    <w:rsid w:val="00F16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E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6EDC"/>
    <w:rPr>
      <w:rFonts w:ascii="Wingdings" w:hAnsi="Wingdings"/>
    </w:rPr>
  </w:style>
  <w:style w:type="paragraph" w:customStyle="1" w:styleId="TableHeading">
    <w:name w:val="Table Heading"/>
    <w:basedOn w:val="HeadingBase"/>
    <w:rsid w:val="00F16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EDC"/>
    <w:rPr>
      <w:color w:val="0033CC"/>
      <w:u w:val="none"/>
    </w:rPr>
  </w:style>
  <w:style w:type="paragraph" w:customStyle="1" w:styleId="BodyTextRight">
    <w:name w:val="Body Text Right"/>
    <w:basedOn w:val="BodyText"/>
    <w:rsid w:val="00F16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E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EDC"/>
    <w:rPr>
      <w:sz w:val="32"/>
    </w:rPr>
  </w:style>
  <w:style w:type="paragraph" w:customStyle="1" w:styleId="HeadingProcedure">
    <w:name w:val="Heading Procedure"/>
    <w:basedOn w:val="HeadingBase"/>
    <w:next w:val="Normal"/>
    <w:rsid w:val="00F16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EDC"/>
    <w:pPr>
      <w:spacing w:before="60" w:after="60"/>
    </w:pPr>
  </w:style>
  <w:style w:type="paragraph" w:styleId="ListContinue">
    <w:name w:val="List Continue"/>
    <w:basedOn w:val="List"/>
    <w:rsid w:val="00F16EDC"/>
    <w:pPr>
      <w:ind w:firstLine="0"/>
    </w:pPr>
  </w:style>
  <w:style w:type="paragraph" w:customStyle="1" w:styleId="ListNote">
    <w:name w:val="List Note"/>
    <w:basedOn w:val="List"/>
    <w:rsid w:val="00F16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EDC"/>
    <w:rPr>
      <w:rFonts w:ascii="Courier New" w:hAnsi="Courier New"/>
    </w:rPr>
  </w:style>
  <w:style w:type="paragraph" w:customStyle="1" w:styleId="NoteBullet">
    <w:name w:val="Note Bullet"/>
    <w:basedOn w:val="Note"/>
    <w:rsid w:val="00F16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E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6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EDC"/>
    <w:rPr>
      <w:b/>
      <w:smallCaps/>
    </w:rPr>
  </w:style>
  <w:style w:type="paragraph" w:customStyle="1" w:styleId="TableListNumber">
    <w:name w:val="Table List Number"/>
    <w:basedOn w:val="ListNumber"/>
    <w:rsid w:val="00F16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EDC"/>
    <w:pPr>
      <w:numPr>
        <w:numId w:val="8"/>
      </w:numPr>
    </w:pPr>
  </w:style>
  <w:style w:type="paragraph" w:customStyle="1" w:styleId="ListAlpha2">
    <w:name w:val="List Alpha 2"/>
    <w:basedOn w:val="List2"/>
    <w:rsid w:val="00F16EDC"/>
    <w:pPr>
      <w:numPr>
        <w:numId w:val="7"/>
      </w:numPr>
    </w:pPr>
  </w:style>
  <w:style w:type="paragraph" w:styleId="List2">
    <w:name w:val="List 2"/>
    <w:basedOn w:val="BodyText"/>
    <w:rsid w:val="00F16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E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E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6EDC"/>
    <w:pPr>
      <w:numPr>
        <w:numId w:val="3"/>
      </w:numPr>
    </w:pPr>
  </w:style>
  <w:style w:type="paragraph" w:styleId="ListContinue2">
    <w:name w:val="List Continue 2"/>
    <w:basedOn w:val="List2"/>
    <w:rsid w:val="00F16EDC"/>
    <w:pPr>
      <w:ind w:firstLine="0"/>
    </w:pPr>
  </w:style>
  <w:style w:type="paragraph" w:styleId="ListContinue3">
    <w:name w:val="List Continue 3"/>
    <w:basedOn w:val="List3"/>
    <w:rsid w:val="00F16EDC"/>
    <w:pPr>
      <w:ind w:left="1021" w:firstLine="0"/>
    </w:pPr>
  </w:style>
  <w:style w:type="paragraph" w:styleId="ListContinue4">
    <w:name w:val="List Continue 4"/>
    <w:basedOn w:val="List4"/>
    <w:rsid w:val="00F16EDC"/>
    <w:pPr>
      <w:ind w:firstLine="0"/>
    </w:pPr>
  </w:style>
  <w:style w:type="paragraph" w:styleId="ListContinue5">
    <w:name w:val="List Continue 5"/>
    <w:basedOn w:val="List5"/>
    <w:rsid w:val="00F16EDC"/>
    <w:pPr>
      <w:ind w:firstLine="0"/>
    </w:pPr>
  </w:style>
  <w:style w:type="paragraph" w:styleId="ListNumber3">
    <w:name w:val="List Number 3"/>
    <w:basedOn w:val="List3"/>
    <w:rsid w:val="00F16EDC"/>
    <w:pPr>
      <w:numPr>
        <w:numId w:val="4"/>
      </w:numPr>
    </w:pPr>
  </w:style>
  <w:style w:type="paragraph" w:styleId="ListNumber4">
    <w:name w:val="List Number 4"/>
    <w:basedOn w:val="List4"/>
    <w:rsid w:val="00F16EDC"/>
    <w:pPr>
      <w:numPr>
        <w:numId w:val="5"/>
      </w:numPr>
    </w:pPr>
  </w:style>
  <w:style w:type="paragraph" w:styleId="ListNumber5">
    <w:name w:val="List Number 5"/>
    <w:basedOn w:val="List5"/>
    <w:rsid w:val="00F16EDC"/>
    <w:pPr>
      <w:numPr>
        <w:numId w:val="6"/>
      </w:numPr>
    </w:pPr>
  </w:style>
  <w:style w:type="paragraph" w:styleId="BlockText">
    <w:name w:val="Block Text"/>
    <w:basedOn w:val="Normal"/>
    <w:rsid w:val="00F16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EDC"/>
    <w:rPr>
      <w:sz w:val="16"/>
      <w:vertAlign w:val="superscript"/>
    </w:rPr>
  </w:style>
  <w:style w:type="character" w:customStyle="1" w:styleId="Symbols">
    <w:name w:val="Symbols"/>
    <w:basedOn w:val="DefaultParagraphFont"/>
    <w:rsid w:val="00F16EDC"/>
    <w:rPr>
      <w:rFonts w:ascii="Symbol" w:hAnsi="Symbol"/>
    </w:rPr>
  </w:style>
  <w:style w:type="character" w:customStyle="1" w:styleId="MenuOptions">
    <w:name w:val="Menu Options"/>
    <w:basedOn w:val="DefaultParagraphFont"/>
    <w:rsid w:val="00F16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EDC"/>
    <w:rPr>
      <w:b/>
    </w:rPr>
  </w:style>
  <w:style w:type="character" w:customStyle="1" w:styleId="Underlined">
    <w:name w:val="Underlined"/>
    <w:basedOn w:val="DefaultParagraphFont"/>
    <w:rsid w:val="00F16EDC"/>
    <w:rPr>
      <w:u w:val="single"/>
    </w:rPr>
  </w:style>
  <w:style w:type="paragraph" w:customStyle="1" w:styleId="TableBodyTextRight">
    <w:name w:val="Table Body Text Right"/>
    <w:basedOn w:val="TableBodyText"/>
    <w:rsid w:val="00F16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EDC"/>
    <w:rPr>
      <w:sz w:val="18"/>
    </w:rPr>
  </w:style>
  <w:style w:type="paragraph" w:customStyle="1" w:styleId="BodySmallRight">
    <w:name w:val="Body Small Right"/>
    <w:basedOn w:val="BodyTextRight"/>
    <w:rsid w:val="00F16EDC"/>
    <w:rPr>
      <w:sz w:val="18"/>
      <w:szCs w:val="18"/>
    </w:rPr>
  </w:style>
  <w:style w:type="paragraph" w:customStyle="1" w:styleId="MarginEdition">
    <w:name w:val="Margin Edition"/>
    <w:basedOn w:val="MarginNote"/>
    <w:rsid w:val="00F16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EDC"/>
    <w:rPr>
      <w:sz w:val="2"/>
      <w:szCs w:val="2"/>
    </w:rPr>
  </w:style>
  <w:style w:type="character" w:customStyle="1" w:styleId="Small">
    <w:name w:val="Small"/>
    <w:basedOn w:val="DefaultParagraphFont"/>
    <w:rsid w:val="00F16EDC"/>
    <w:rPr>
      <w:sz w:val="16"/>
    </w:rPr>
  </w:style>
  <w:style w:type="paragraph" w:customStyle="1" w:styleId="WideTable">
    <w:name w:val="Wide Table"/>
    <w:basedOn w:val="Normal"/>
    <w:rsid w:val="00F16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EDC"/>
  </w:style>
  <w:style w:type="paragraph" w:styleId="Quote">
    <w:name w:val="Quote"/>
    <w:basedOn w:val="Heading1"/>
    <w:link w:val="QuoteChar"/>
    <w:qFormat/>
    <w:rsid w:val="00F16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EDC"/>
    <w:pPr>
      <w:pageBreakBefore/>
    </w:pPr>
  </w:style>
  <w:style w:type="paragraph" w:customStyle="1" w:styleId="Border">
    <w:name w:val="Border"/>
    <w:basedOn w:val="Normal"/>
    <w:qFormat/>
    <w:rsid w:val="00F16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EDC"/>
    <w:rPr>
      <w:u w:val="single"/>
    </w:rPr>
  </w:style>
  <w:style w:type="character" w:customStyle="1" w:styleId="BoldandItalics">
    <w:name w:val="Bold and Italics"/>
    <w:qFormat/>
    <w:rsid w:val="00F16EDC"/>
    <w:rPr>
      <w:b/>
      <w:i/>
      <w:u w:val="none"/>
    </w:rPr>
  </w:style>
  <w:style w:type="paragraph" w:styleId="BalloonText">
    <w:name w:val="Balloon Text"/>
    <w:basedOn w:val="Normal"/>
    <w:link w:val="BalloonTextChar"/>
    <w:rsid w:val="00F16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EDC"/>
    <w:pPr>
      <w:spacing w:before="0" w:after="0"/>
    </w:pPr>
  </w:style>
  <w:style w:type="paragraph" w:customStyle="1" w:styleId="BodyTextBold">
    <w:name w:val="Body Text Bold"/>
    <w:basedOn w:val="BodyText"/>
    <w:qFormat/>
    <w:rsid w:val="00F16EDC"/>
    <w:rPr>
      <w:b/>
    </w:rPr>
  </w:style>
  <w:style w:type="character" w:styleId="Hyperlink">
    <w:name w:val="Hyperlink"/>
    <w:basedOn w:val="DefaultParagraphFont"/>
    <w:uiPriority w:val="99"/>
    <w:unhideWhenUsed/>
    <w:rsid w:val="00BA5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2859</Characters>
  <Application>Microsoft Office Word</Application>
  <DocSecurity>0</DocSecurity>
  <Lines>95</Lines>
  <Paragraphs>62</Paragraphs>
  <ScaleCrop>false</ScaleCrop>
  <Company>Author-it Software Corporation Ltd.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SITTVAF004 Tow and site recreational vehicles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