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C01" w:rsidP="00970C01">
      <w:pPr>
        <w:pStyle w:val="Title"/>
      </w:pPr>
      <w:r>
        <w:fldChar w:fldCharType="begin"/>
      </w:r>
      <w:r>
        <w:instrText xml:space="preserve"> TITLE   \* MERGEFORMAT </w:instrText>
      </w:r>
      <w:r>
        <w:fldChar w:fldCharType="separate"/>
      </w:r>
      <w:r>
        <w:t>SITTTSL015 Administer billing and settlement plan</w:t>
      </w:r>
      <w:r>
        <w:fldChar w:fldCharType="end"/>
      </w:r>
    </w:p>
    <w:p w:rsidR="00970C01" w:rsidP="00970C01">
      <w:pPr>
        <w:pStyle w:val="Version"/>
        <w:sectPr w:rsidSect="00CD6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10E" w:rsidP="00CD610E">
      <w:pPr>
        <w:pStyle w:val="SuperHeading"/>
      </w:pPr>
      <w:r w:rsidRPr="00CD610E">
        <w:t>SITTTSL015 Administer billing and settlement plan</w:t>
      </w:r>
    </w:p>
    <w:p w:rsidR="00000000" w:rsidRPr="00CD610E" w:rsidP="00CD610E">
      <w:pPr>
        <w:pStyle w:val="Heading1"/>
      </w:pPr>
      <w:bookmarkStart w:id="1" w:name="O_768773"/>
      <w:bookmarkEnd w:id="1"/>
      <w:r w:rsidRPr="00CD610E">
        <w:t>Modification History</w:t>
      </w:r>
    </w:p>
    <w:p w:rsidR="00000000" w:rsidRPr="00CD610E" w:rsidP="00970C01">
      <w:pPr>
        <w:pStyle w:val="BodyText"/>
      </w:pPr>
      <w:r w:rsidRPr="00CD610E">
        <w:t>Not applicable.</w:t>
      </w:r>
    </w:p>
    <w:p w:rsidR="00000000" w:rsidRPr="00CD610E" w:rsidP="00CD610E">
      <w:pPr>
        <w:pStyle w:val="Heading1"/>
      </w:pPr>
      <w:bookmarkStart w:id="2" w:name="O_768774"/>
      <w:bookmarkEnd w:id="2"/>
      <w:r w:rsidRPr="00CD610E">
        <w:t>Application</w:t>
      </w:r>
    </w:p>
    <w:p w:rsidR="00000000" w:rsidRPr="00CD610E" w:rsidP="00970C01">
      <w:pPr>
        <w:pStyle w:val="BodyText"/>
      </w:pPr>
      <w:r w:rsidRPr="00CD610E">
        <w:t>This unit describes the performance outcomes, skills and knowledge required to administer a billing and settlement plan (BSP) for any tourism or travel organisation involved in the s</w:t>
      </w:r>
      <w:r w:rsidRPr="00CD610E">
        <w:t>ale, ticketing, reporting and remittance of airfares through International Air Transport Association (IATA) BSP. It requires the ability to use the BSPlink portal functionality to interface with airlines, verify the accuracy of reports, and submit disputes</w:t>
      </w:r>
      <w:r w:rsidRPr="00CD610E">
        <w:t xml:space="preserve"> to correct errors. </w:t>
      </w:r>
    </w:p>
    <w:p w:rsidR="00000000" w:rsidRPr="00CD610E" w:rsidP="00970C01">
      <w:pPr>
        <w:pStyle w:val="BodyText"/>
      </w:pPr>
      <w:r w:rsidRPr="00CD610E">
        <w:t>The unit applies to tourism and travel industry organisations that sell and ticket airfares.</w:t>
      </w:r>
    </w:p>
    <w:p w:rsidR="00000000" w:rsidRPr="00CD610E" w:rsidP="00970C01">
      <w:pPr>
        <w:pStyle w:val="BodyText"/>
      </w:pPr>
      <w:r w:rsidRPr="00CD610E">
        <w:t>It applies to frontline sales and back office personnel who operate with some level of independence and under limited supervision. This incl</w:t>
      </w:r>
      <w:r w:rsidRPr="00CD610E">
        <w:t>udes travel consultants and managers, ticketing consultants, airline and consolidator ticketing officers, reservations and operations consultants, and finance and accounting personnel.</w:t>
      </w:r>
    </w:p>
    <w:p w:rsidR="00970C01" w:rsidP="00970C01">
      <w:pPr>
        <w:pStyle w:val="BodyText"/>
      </w:pPr>
      <w:r w:rsidRPr="00CD610E">
        <w:t>No occupational licensing, certification or specific legislative requi</w:t>
      </w:r>
      <w:r w:rsidRPr="00CD610E">
        <w:t>rements apply to this unit at the time of publication.</w:t>
      </w:r>
    </w:p>
    <w:p w:rsidR="00000000" w:rsidRPr="00CD610E" w:rsidP="00CD610E">
      <w:pPr>
        <w:pStyle w:val="Heading1"/>
      </w:pPr>
      <w:bookmarkStart w:id="3" w:name="O_768775"/>
      <w:bookmarkEnd w:id="3"/>
      <w:r w:rsidRPr="00CD610E">
        <w:t>Pre-requisite Unit</w:t>
      </w:r>
    </w:p>
    <w:p w:rsidR="00000000" w:rsidRPr="00CD610E" w:rsidP="00970C01">
      <w:pPr>
        <w:pStyle w:val="BodyText"/>
      </w:pPr>
      <w:r w:rsidRPr="00CD610E">
        <w:t>Nil</w:t>
      </w:r>
    </w:p>
    <w:p w:rsidR="00000000" w:rsidRPr="00CD610E" w:rsidP="00CD610E">
      <w:pPr>
        <w:pStyle w:val="Heading1"/>
      </w:pPr>
      <w:bookmarkStart w:id="4" w:name="O_768776"/>
      <w:bookmarkEnd w:id="4"/>
      <w:r w:rsidRPr="00CD610E">
        <w:t>Competency Field</w:t>
      </w:r>
    </w:p>
    <w:p w:rsidR="00000000" w:rsidRPr="00CD610E" w:rsidP="00970C01">
      <w:pPr>
        <w:pStyle w:val="BodyText"/>
      </w:pPr>
      <w:r w:rsidRPr="00CD610E">
        <w:t xml:space="preserve">Tourism Sales and Operations </w:t>
      </w:r>
    </w:p>
    <w:p w:rsidR="00000000" w:rsidRPr="00CD610E" w:rsidP="00CD610E">
      <w:pPr>
        <w:pStyle w:val="Heading1"/>
      </w:pPr>
      <w:bookmarkStart w:id="5" w:name="O_768777"/>
      <w:bookmarkEnd w:id="5"/>
      <w:r w:rsidRPr="00CD610E">
        <w:t>Unit Sector</w:t>
      </w:r>
    </w:p>
    <w:p w:rsidR="00000000" w:rsidRPr="00CD610E" w:rsidP="00970C01">
      <w:pPr>
        <w:pStyle w:val="BodyText"/>
      </w:pPr>
      <w:r w:rsidRPr="00CD610E">
        <w:t>Tourism</w:t>
      </w:r>
    </w:p>
    <w:p w:rsidR="00000000" w:rsidRPr="00CD610E" w:rsidP="00CD610E">
      <w:pPr>
        <w:pStyle w:val="Heading1"/>
      </w:pPr>
      <w:bookmarkStart w:id="6" w:name="O_768778"/>
      <w:bookmarkEnd w:id="6"/>
      <w:r w:rsidRPr="00CD610E">
        <w:t>Elements and Performance Criteria</w:t>
      </w:r>
    </w:p>
    <w:tbl>
      <w:tblPr>
        <w:tblW w:w="0" w:type="auto"/>
        <w:tblCellMar>
          <w:left w:w="62" w:type="dxa"/>
          <w:right w:w="62" w:type="dxa"/>
        </w:tblCellMar>
        <w:tblLook w:val="0000"/>
      </w:tblPr>
      <w:tblGrid>
        <w:gridCol w:w="3594"/>
        <w:gridCol w:w="5602"/>
      </w:tblGrid>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610E" w:rsidP="00CD610E">
            <w:pPr>
              <w:pStyle w:val="BodyText"/>
            </w:pPr>
            <w:r w:rsidRPr="00CD610E">
              <w:rPr>
                <w:rStyle w:val="SpecialBold"/>
              </w:rPr>
              <w:t>ELEMENTS</w:t>
            </w:r>
            <w:r w:rsidRPr="00CD610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D610E">
            <w:pPr>
              <w:pStyle w:val="BodyText"/>
              <w:rPr>
                <w:lang w:val="en-NZ"/>
              </w:rPr>
            </w:pPr>
            <w:r w:rsidRPr="00CD610E">
              <w:rPr>
                <w:rStyle w:val="SpecialBold"/>
              </w:rPr>
              <w:t>PERFORMANCE CRITERIA</w:t>
            </w:r>
          </w:p>
        </w:tc>
      </w:tr>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10E">
            <w:pPr>
              <w:pStyle w:val="BodyText"/>
              <w:rPr>
                <w:lang w:val="en-NZ"/>
              </w:rPr>
            </w:pPr>
            <w:r w:rsidRPr="00CD610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D610E">
            <w:pPr>
              <w:pStyle w:val="BodyText"/>
              <w:rPr>
                <w:lang w:val="en-NZ"/>
              </w:rPr>
            </w:pPr>
            <w:r w:rsidRPr="00CD610E">
              <w:t>Performance criteria describe the performance needed to demonstrate achievement of the element.</w:t>
            </w:r>
          </w:p>
        </w:tc>
      </w:tr>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10E">
            <w:pPr>
              <w:pStyle w:val="List"/>
              <w:rPr>
                <w:lang w:val="en-NZ"/>
              </w:rPr>
            </w:pPr>
            <w:r w:rsidRPr="00CD610E">
              <w:t>1.</w:t>
            </w:r>
            <w:r w:rsidRPr="00CD610E">
              <w:tab/>
              <w:t>Prepare for BSP reporting.</w:t>
            </w:r>
          </w:p>
        </w:tc>
        <w:tc>
          <w:tcPr>
            <w:tcW w:w="0" w:type="auto"/>
            <w:tcBorders>
              <w:top w:val="nil"/>
              <w:left w:val="nil"/>
              <w:bottom w:val="nil"/>
              <w:right w:val="nil"/>
            </w:tcBorders>
            <w:tcMar>
              <w:top w:w="0" w:type="dxa"/>
              <w:left w:w="62" w:type="dxa"/>
              <w:bottom w:w="0" w:type="dxa"/>
              <w:right w:w="62" w:type="dxa"/>
            </w:tcMar>
          </w:tcPr>
          <w:p w:rsidR="00000000" w:rsidRPr="00CD610E" w:rsidP="00CD610E">
            <w:pPr>
              <w:pStyle w:val="List"/>
            </w:pPr>
            <w:r w:rsidRPr="00CD610E">
              <w:t>1.1.Analyse basic standard traffic documents and reports, including common terms and abbreviations.</w:t>
            </w:r>
          </w:p>
          <w:p w:rsidR="00000000" w:rsidP="00CD610E">
            <w:pPr>
              <w:pStyle w:val="List"/>
              <w:rPr>
                <w:lang w:val="en-NZ"/>
              </w:rPr>
            </w:pPr>
            <w:r w:rsidRPr="00CD610E">
              <w:t xml:space="preserve">1.2.Set up user access and logins. </w:t>
            </w:r>
          </w:p>
        </w:tc>
      </w:tr>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10E">
            <w:pPr>
              <w:pStyle w:val="List"/>
              <w:rPr>
                <w:lang w:val="en-NZ"/>
              </w:rPr>
            </w:pPr>
            <w:r w:rsidRPr="00CD610E">
              <w:t>2.</w:t>
            </w:r>
            <w:r w:rsidRPr="00CD610E">
              <w:tab/>
              <w:t>Perform BSP general transactions.</w:t>
            </w:r>
          </w:p>
        </w:tc>
        <w:tc>
          <w:tcPr>
            <w:tcW w:w="0" w:type="auto"/>
            <w:tcBorders>
              <w:top w:val="nil"/>
              <w:left w:val="nil"/>
              <w:bottom w:val="nil"/>
              <w:right w:val="nil"/>
            </w:tcBorders>
            <w:tcMar>
              <w:top w:w="0" w:type="dxa"/>
              <w:left w:w="62" w:type="dxa"/>
              <w:bottom w:w="0" w:type="dxa"/>
              <w:right w:w="62" w:type="dxa"/>
            </w:tcMar>
          </w:tcPr>
          <w:p w:rsidR="00000000" w:rsidRPr="00CD610E" w:rsidP="00CD610E">
            <w:pPr>
              <w:pStyle w:val="List"/>
            </w:pPr>
            <w:r w:rsidRPr="00CD610E">
              <w:t>2.1.Undertake general transactions in line with BSP documentation procedures and a</w:t>
            </w:r>
            <w:r w:rsidRPr="00CD610E">
              <w:t>gency timeframes.</w:t>
            </w:r>
          </w:p>
          <w:p w:rsidR="00000000" w:rsidP="00CD610E">
            <w:pPr>
              <w:pStyle w:val="List"/>
              <w:rPr>
                <w:lang w:val="en-NZ"/>
              </w:rPr>
            </w:pPr>
            <w:r w:rsidRPr="00CD610E">
              <w:t>2.2.Access and use BSPlink portal functionality in line with established procedures.</w:t>
            </w:r>
          </w:p>
        </w:tc>
      </w:tr>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10E">
            <w:pPr>
              <w:pStyle w:val="List"/>
              <w:rPr>
                <w:lang w:val="en-NZ"/>
              </w:rPr>
            </w:pPr>
            <w:r w:rsidRPr="00CD610E">
              <w:t>3.</w:t>
            </w:r>
            <w:r w:rsidRPr="00CD610E">
              <w:tab/>
              <w:t>Review and reconcile billing and settlement reports.</w:t>
            </w:r>
          </w:p>
        </w:tc>
        <w:tc>
          <w:tcPr>
            <w:tcW w:w="0" w:type="auto"/>
            <w:tcBorders>
              <w:top w:val="nil"/>
              <w:left w:val="nil"/>
              <w:bottom w:val="nil"/>
              <w:right w:val="nil"/>
            </w:tcBorders>
            <w:tcMar>
              <w:top w:w="0" w:type="dxa"/>
              <w:left w:w="62" w:type="dxa"/>
              <w:bottom w:w="0" w:type="dxa"/>
              <w:right w:w="62" w:type="dxa"/>
            </w:tcMar>
          </w:tcPr>
          <w:p w:rsidR="00000000" w:rsidRPr="00CD610E" w:rsidP="00CD610E">
            <w:pPr>
              <w:pStyle w:val="List"/>
            </w:pPr>
            <w:r w:rsidRPr="00CD610E">
              <w:t>3.1.Download agency billing analysis report and review report data.</w:t>
            </w:r>
          </w:p>
          <w:p w:rsidR="00000000" w:rsidRPr="00CD610E" w:rsidP="00CD610E">
            <w:pPr>
              <w:pStyle w:val="List"/>
            </w:pPr>
            <w:r w:rsidRPr="00CD610E">
              <w:t>3.2.Identify discrepancies b</w:t>
            </w:r>
            <w:r w:rsidRPr="00CD610E">
              <w:t>etween billing analysis report and agency back office sales report for the reporting period.</w:t>
            </w:r>
          </w:p>
          <w:p w:rsidR="00000000" w:rsidRPr="00CD610E" w:rsidP="00CD610E">
            <w:pPr>
              <w:pStyle w:val="List"/>
            </w:pPr>
            <w:r w:rsidRPr="00CD610E">
              <w:t>3.3.Action any discrepancies according to BSP procedures.</w:t>
            </w:r>
          </w:p>
          <w:p w:rsidR="00000000" w:rsidP="00CD610E">
            <w:pPr>
              <w:pStyle w:val="List"/>
              <w:rPr>
                <w:lang w:val="en-NZ"/>
              </w:rPr>
            </w:pPr>
            <w:r w:rsidRPr="00CD610E">
              <w:t>3.4.Reconcile agency billing analysis report with agency sales reports within BSP reporting calendar dead</w:t>
            </w:r>
            <w:r w:rsidRPr="00CD610E">
              <w:t>lines.</w:t>
            </w:r>
          </w:p>
        </w:tc>
      </w:tr>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10E">
            <w:pPr>
              <w:pStyle w:val="List"/>
              <w:rPr>
                <w:lang w:val="en-NZ"/>
              </w:rPr>
            </w:pPr>
            <w:r w:rsidRPr="00CD610E">
              <w:t>4.</w:t>
            </w:r>
            <w:r w:rsidRPr="00CD610E">
              <w:tab/>
              <w:t>Manage the remittance process.</w:t>
            </w:r>
          </w:p>
        </w:tc>
        <w:tc>
          <w:tcPr>
            <w:tcW w:w="0" w:type="auto"/>
            <w:tcBorders>
              <w:top w:val="nil"/>
              <w:left w:val="nil"/>
              <w:bottom w:val="nil"/>
              <w:right w:val="nil"/>
            </w:tcBorders>
            <w:tcMar>
              <w:top w:w="0" w:type="dxa"/>
              <w:left w:w="62" w:type="dxa"/>
              <w:bottom w:w="0" w:type="dxa"/>
              <w:right w:w="62" w:type="dxa"/>
            </w:tcMar>
          </w:tcPr>
          <w:p w:rsidR="00000000" w:rsidRPr="00CD610E" w:rsidP="00CD610E">
            <w:pPr>
              <w:pStyle w:val="List"/>
            </w:pPr>
            <w:r w:rsidRPr="00CD610E">
              <w:t>4.1.Lodge reports according to BSP procedures and deadlines.</w:t>
            </w:r>
          </w:p>
          <w:p w:rsidR="00000000" w:rsidRPr="00CD610E" w:rsidP="00CD610E">
            <w:pPr>
              <w:pStyle w:val="List"/>
            </w:pPr>
            <w:r w:rsidRPr="00CD610E">
              <w:t>4.2.Retain agency document copies while minimising use of printed materials and reducing waste.</w:t>
            </w:r>
          </w:p>
          <w:p w:rsidR="00000000" w:rsidRPr="00CD610E" w:rsidP="00CD610E">
            <w:pPr>
              <w:pStyle w:val="List"/>
            </w:pPr>
            <w:r w:rsidRPr="00CD610E">
              <w:t>4.3.Secure funds, process credit card payments and pay remittance amount as reported.</w:t>
            </w:r>
          </w:p>
        </w:tc>
      </w:tr>
    </w:tbl>
    <w:p w:rsidR="00000000" w:rsidRPr="00CD610E" w:rsidP="00CD610E">
      <w:pPr>
        <w:pStyle w:val="BodyText"/>
      </w:pPr>
    </w:p>
    <w:p w:rsidR="00000000" w:rsidRPr="00CD610E" w:rsidP="00CD610E">
      <w:pPr>
        <w:pStyle w:val="AllowPageBreak"/>
      </w:pPr>
    </w:p>
    <w:p w:rsidR="00000000" w:rsidRPr="00CD610E" w:rsidP="00CD610E">
      <w:pPr>
        <w:pStyle w:val="Heading1"/>
      </w:pPr>
      <w:bookmarkStart w:id="7" w:name="O_768779"/>
      <w:bookmarkEnd w:id="7"/>
      <w:r w:rsidRPr="00CD610E">
        <w:t>Foundation Skills</w:t>
      </w:r>
    </w:p>
    <w:tbl>
      <w:tblPr>
        <w:tblW w:w="0" w:type="auto"/>
        <w:tblCellMar>
          <w:left w:w="62" w:type="dxa"/>
          <w:right w:w="62" w:type="dxa"/>
        </w:tblCellMar>
        <w:tblLook w:val="0000"/>
      </w:tblPr>
      <w:tblGrid>
        <w:gridCol w:w="3594"/>
        <w:gridCol w:w="5602"/>
      </w:tblGrid>
      <w:tr w:rsidTr="00970C0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610E">
            <w:pPr>
              <w:pStyle w:val="BodyText"/>
              <w:rPr>
                <w:lang w:val="en-NZ"/>
              </w:rPr>
            </w:pPr>
            <w:r w:rsidRPr="00CD610E">
              <w:t>Foundation skills essential to performance in this unit, but not explicit in the performance criteria are listed here, along with a b</w:t>
            </w:r>
            <w:r w:rsidRPr="00CD610E">
              <w:t>rief context statement.</w:t>
            </w:r>
          </w:p>
        </w:tc>
      </w:tr>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610E" w:rsidP="00CD610E">
            <w:pPr>
              <w:pStyle w:val="BodyText"/>
            </w:pPr>
            <w:r w:rsidRPr="00CD610E">
              <w:rPr>
                <w:rStyle w:val="SpecialBold"/>
              </w:rPr>
              <w:t>SKILLS</w:t>
            </w:r>
            <w:r w:rsidRPr="00CD610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D610E">
            <w:pPr>
              <w:pStyle w:val="BodyText"/>
              <w:rPr>
                <w:lang w:val="en-NZ"/>
              </w:rPr>
            </w:pPr>
            <w:r w:rsidRPr="00CD610E">
              <w:rPr>
                <w:rStyle w:val="SpecialBold"/>
              </w:rPr>
              <w:t>DESCRIPTION</w:t>
            </w:r>
          </w:p>
        </w:tc>
      </w:tr>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10E">
            <w:pPr>
              <w:pStyle w:val="BodyText"/>
              <w:rPr>
                <w:lang w:val="en-NZ"/>
              </w:rPr>
            </w:pPr>
            <w:r w:rsidRPr="00CD610E">
              <w:t>Reading skills to:</w:t>
            </w:r>
          </w:p>
        </w:tc>
        <w:tc>
          <w:tcPr>
            <w:tcW w:w="0" w:type="auto"/>
            <w:tcBorders>
              <w:top w:val="nil"/>
              <w:left w:val="nil"/>
              <w:bottom w:val="nil"/>
              <w:right w:val="nil"/>
            </w:tcBorders>
            <w:tcMar>
              <w:top w:w="0" w:type="dxa"/>
              <w:left w:w="62" w:type="dxa"/>
              <w:bottom w:w="0" w:type="dxa"/>
              <w:right w:w="62" w:type="dxa"/>
            </w:tcMar>
          </w:tcPr>
          <w:p w:rsidR="00000000" w:rsidP="00CD610E">
            <w:pPr>
              <w:pStyle w:val="ListBullet"/>
              <w:rPr>
                <w:lang w:val="en-NZ"/>
              </w:rPr>
            </w:pPr>
            <w:r w:rsidRPr="00CD610E">
              <w:t>interpret BSP reports.</w:t>
            </w:r>
          </w:p>
        </w:tc>
      </w:tr>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10E">
            <w:pPr>
              <w:pStyle w:val="BodyText"/>
              <w:rPr>
                <w:lang w:val="en-NZ"/>
              </w:rPr>
            </w:pPr>
            <w:r w:rsidRPr="00CD610E">
              <w:t>Numeracy skills to:</w:t>
            </w:r>
          </w:p>
        </w:tc>
        <w:tc>
          <w:tcPr>
            <w:tcW w:w="0" w:type="auto"/>
            <w:tcBorders>
              <w:top w:val="nil"/>
              <w:left w:val="nil"/>
              <w:bottom w:val="nil"/>
              <w:right w:val="nil"/>
            </w:tcBorders>
            <w:tcMar>
              <w:top w:w="0" w:type="dxa"/>
              <w:left w:w="62" w:type="dxa"/>
              <w:bottom w:w="0" w:type="dxa"/>
              <w:right w:w="62" w:type="dxa"/>
            </w:tcMar>
          </w:tcPr>
          <w:p w:rsidR="00000000" w:rsidRPr="00CD610E" w:rsidP="00CD610E">
            <w:pPr>
              <w:pStyle w:val="ListBullet"/>
            </w:pPr>
            <w:r w:rsidRPr="00CD610E">
              <w:t>interpret and reconcile data in downloaded billing and settlement reports to:</w:t>
            </w:r>
          </w:p>
          <w:p w:rsidR="00000000" w:rsidRPr="00CD610E" w:rsidP="00CD610E">
            <w:pPr>
              <w:pStyle w:val="ListBullet2"/>
            </w:pPr>
            <w:r w:rsidRPr="00CD610E">
              <w:t>calculate gross and net ticket sales</w:t>
            </w:r>
          </w:p>
          <w:p w:rsidR="00000000" w:rsidRPr="00CD610E" w:rsidP="00CD610E">
            <w:pPr>
              <w:pStyle w:val="ListBullet2"/>
            </w:pPr>
            <w:r w:rsidRPr="00CD610E">
              <w:t>calculate IATA payments and refunds</w:t>
            </w:r>
          </w:p>
          <w:p w:rsidR="00000000" w:rsidP="00CD610E">
            <w:pPr>
              <w:pStyle w:val="ListBullet2"/>
              <w:rPr>
                <w:lang w:val="en-NZ"/>
              </w:rPr>
            </w:pPr>
            <w:r w:rsidRPr="00CD610E">
              <w:t>interpret complex reports.</w:t>
            </w:r>
          </w:p>
        </w:tc>
      </w:tr>
      <w:tr w:rsidTr="00970C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10E">
            <w:pPr>
              <w:pStyle w:val="BodyText"/>
              <w:rPr>
                <w:lang w:val="en-NZ"/>
              </w:rPr>
            </w:pPr>
            <w:r w:rsidRPr="00CD610E">
              <w:t>Technology skills to:</w:t>
            </w:r>
          </w:p>
        </w:tc>
        <w:tc>
          <w:tcPr>
            <w:tcW w:w="0" w:type="auto"/>
            <w:tcBorders>
              <w:top w:val="nil"/>
              <w:left w:val="nil"/>
              <w:bottom w:val="nil"/>
              <w:right w:val="nil"/>
            </w:tcBorders>
            <w:tcMar>
              <w:top w:w="0" w:type="dxa"/>
              <w:left w:w="62" w:type="dxa"/>
              <w:bottom w:w="0" w:type="dxa"/>
              <w:right w:w="62" w:type="dxa"/>
            </w:tcMar>
          </w:tcPr>
          <w:p w:rsidR="00000000" w:rsidRPr="00CD610E" w:rsidP="00CD610E">
            <w:pPr>
              <w:pStyle w:val="ListBullet"/>
            </w:pPr>
            <w:r w:rsidRPr="00CD610E">
              <w:t>use calculators, computers, accounting software programs and printers when preparing BSP reports.</w:t>
            </w:r>
          </w:p>
        </w:tc>
      </w:tr>
    </w:tbl>
    <w:p w:rsidR="00000000" w:rsidRPr="00CD610E" w:rsidP="00CD610E">
      <w:pPr>
        <w:pStyle w:val="BodyText"/>
      </w:pPr>
    </w:p>
    <w:p w:rsidR="00000000" w:rsidRPr="00CD610E" w:rsidP="00CD610E">
      <w:pPr>
        <w:pStyle w:val="AllowPageBreak"/>
      </w:pPr>
    </w:p>
    <w:p w:rsidR="00000000" w:rsidRPr="00CD610E" w:rsidP="00CD610E">
      <w:pPr>
        <w:pStyle w:val="Heading1"/>
      </w:pPr>
      <w:bookmarkStart w:id="8" w:name="O_768781"/>
      <w:bookmarkEnd w:id="8"/>
      <w:r w:rsidRPr="00CD610E">
        <w:t>Unit Mapping Information</w:t>
      </w:r>
    </w:p>
    <w:p w:rsidR="00000000" w:rsidRPr="00CD610E" w:rsidP="00970C01">
      <w:pPr>
        <w:pStyle w:val="BodyText"/>
      </w:pPr>
      <w:r w:rsidRPr="00CD610E">
        <w:t>SITTTSL313 Administer billing and settlement plan</w:t>
      </w:r>
    </w:p>
    <w:p w:rsidR="00000000" w:rsidRPr="00CD610E" w:rsidP="00CD610E">
      <w:pPr>
        <w:pStyle w:val="Heading1"/>
      </w:pPr>
      <w:bookmarkStart w:id="9" w:name="O_768788"/>
      <w:bookmarkEnd w:id="9"/>
      <w:r w:rsidRPr="00CD610E">
        <w:t>Links</w:t>
      </w:r>
    </w:p>
    <w:p w:rsidR="00000000" w:rsidRPr="00CD610E" w:rsidP="00970C01">
      <w:pPr>
        <w:pStyle w:val="BodyText"/>
      </w:pPr>
      <w:r w:rsidRPr="00CD61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66CA6">
        <w:rPr>
          <w:rStyle w:val="Hyperlink"/>
        </w:rPr>
        <w:t>https://vetnet.gov.au/Pages/TrainingDocs.aspx?q=68c40a93-e51d-4e0f-bc06-899dff092694</w:t>
      </w:r>
      <w:r>
        <w:fldChar w:fldCharType="end"/>
      </w:r>
    </w:p>
    <w:p w:rsidR="00000000" w:rsidRPr="00CD610E" w:rsidP="00970C01">
      <w:pPr>
        <w:pStyle w:val="BodyText"/>
        <w:sectPr w:rsidSect="00CD610E">
          <w:headerReference w:type="default" r:id="rId10"/>
          <w:footerReference w:type="default" r:id="rId11"/>
          <w:pgSz w:w="11908" w:h="16833"/>
          <w:pgMar w:top="1702" w:right="1418" w:bottom="1702" w:left="1418" w:header="992" w:footer="992" w:gutter="0"/>
          <w:cols w:space="720"/>
          <w:noEndnote/>
          <w:docGrid w:linePitch="299"/>
        </w:sectPr>
      </w:pPr>
    </w:p>
    <w:p w:rsidR="00000000" w:rsidRPr="00CD610E" w:rsidP="00CD610E">
      <w:pPr>
        <w:pStyle w:val="SuperHeading"/>
      </w:pPr>
      <w:r w:rsidRPr="00CD610E">
        <w:t>Assessment Requirements for SITTTSL015 Administer billing and settlement plan</w:t>
      </w:r>
    </w:p>
    <w:p w:rsidR="00000000" w:rsidRPr="00CD610E" w:rsidP="00CD610E">
      <w:pPr>
        <w:pStyle w:val="Heading1"/>
      </w:pPr>
      <w:bookmarkStart w:id="10" w:name="O_768783"/>
      <w:bookmarkEnd w:id="10"/>
      <w:r w:rsidRPr="00CD610E">
        <w:t>Modification History</w:t>
      </w:r>
    </w:p>
    <w:p w:rsidR="00000000" w:rsidRPr="00CD610E" w:rsidP="00970C01">
      <w:pPr>
        <w:pStyle w:val="BodyText"/>
      </w:pPr>
      <w:r w:rsidRPr="00CD610E">
        <w:t>Not applicable.</w:t>
      </w:r>
    </w:p>
    <w:p w:rsidR="00000000" w:rsidRPr="00CD610E" w:rsidP="00CD610E">
      <w:pPr>
        <w:pStyle w:val="Heading1"/>
      </w:pPr>
      <w:bookmarkStart w:id="11" w:name="O_768784"/>
      <w:bookmarkEnd w:id="11"/>
      <w:r w:rsidRPr="00CD610E">
        <w:t>Performance Evidence</w:t>
      </w:r>
    </w:p>
    <w:p w:rsidR="00000000" w:rsidRPr="00CD610E" w:rsidP="00970C01">
      <w:pPr>
        <w:pStyle w:val="BodyText"/>
      </w:pPr>
      <w:r w:rsidRPr="00CD610E">
        <w:t>Evidence of the ability to complete tasks outlined in elements and performanc</w:t>
      </w:r>
      <w:r w:rsidRPr="00CD610E">
        <w:t xml:space="preserve">e criteria of this unit in the context of the job role, and: </w:t>
      </w:r>
    </w:p>
    <w:p w:rsidR="00000000" w:rsidRPr="00CD610E" w:rsidP="00CD610E">
      <w:pPr>
        <w:pStyle w:val="ListBullet"/>
      </w:pPr>
      <w:r w:rsidRPr="00CD610E">
        <w:t xml:space="preserve">download, interpret and reconcile the agency billing analysis report in electronic or printed format over three reporting periods for each of the following: </w:t>
      </w:r>
    </w:p>
    <w:p w:rsidR="00000000" w:rsidRPr="00CD610E" w:rsidP="00CD610E">
      <w:pPr>
        <w:pStyle w:val="ListBullet2"/>
      </w:pPr>
      <w:r w:rsidRPr="00CD610E">
        <w:t>domestic travel</w:t>
      </w:r>
    </w:p>
    <w:p w:rsidR="00000000" w:rsidRPr="00CD610E" w:rsidP="00CD610E">
      <w:pPr>
        <w:pStyle w:val="ListBullet2"/>
      </w:pPr>
      <w:r w:rsidRPr="00CD610E">
        <w:t>international travel</w:t>
      </w:r>
    </w:p>
    <w:p w:rsidR="00000000" w:rsidRPr="00CD610E" w:rsidP="00CD610E">
      <w:pPr>
        <w:pStyle w:val="ListBullet"/>
      </w:pPr>
      <w:r w:rsidRPr="00CD610E">
        <w:t>cover the full range of billing and settlement plan (BSP)  reporting procedures and requirements for above BSP activities</w:t>
      </w:r>
    </w:p>
    <w:p w:rsidR="00000000" w:rsidRPr="00CD610E" w:rsidP="00CD610E">
      <w:pPr>
        <w:pStyle w:val="ListBullet"/>
      </w:pPr>
      <w:r w:rsidRPr="00CD610E">
        <w:t>complete BSP activities within agency time constraints and required reporting deadlines determined by the Intern</w:t>
      </w:r>
      <w:r w:rsidRPr="00CD610E">
        <w:t>ational Air Transport Association (IATA).</w:t>
      </w:r>
    </w:p>
    <w:p w:rsidR="00000000" w:rsidRPr="00CD610E" w:rsidP="00CD610E">
      <w:pPr>
        <w:pStyle w:val="AllowPageBreak"/>
      </w:pPr>
    </w:p>
    <w:p w:rsidR="00000000" w:rsidRPr="00CD610E" w:rsidP="00CD610E">
      <w:pPr>
        <w:pStyle w:val="Heading1"/>
      </w:pPr>
      <w:bookmarkStart w:id="12" w:name="O_768785"/>
      <w:bookmarkEnd w:id="12"/>
      <w:r w:rsidRPr="00CD610E">
        <w:t>Knowledge Evidence</w:t>
      </w:r>
    </w:p>
    <w:p w:rsidR="00000000" w:rsidRPr="00CD610E" w:rsidP="00970C01">
      <w:pPr>
        <w:pStyle w:val="BodyText"/>
      </w:pPr>
      <w:r w:rsidRPr="00CD610E">
        <w:t>Demonstrated knowledge required to complete the tasks outlined in elements and performance criteria of this unit:</w:t>
      </w:r>
    </w:p>
    <w:p w:rsidR="00000000" w:rsidRPr="00CD610E" w:rsidP="00CD610E">
      <w:pPr>
        <w:pStyle w:val="ListBullet"/>
      </w:pPr>
      <w:r w:rsidRPr="00CD610E">
        <w:t>role of IATA in billing and settlement plan</w:t>
      </w:r>
    </w:p>
    <w:p w:rsidR="00000000" w:rsidRPr="00CD610E" w:rsidP="00CD610E">
      <w:pPr>
        <w:pStyle w:val="ListBullet"/>
      </w:pPr>
      <w:r w:rsidRPr="00CD610E">
        <w:t>IATA agency accredi</w:t>
      </w:r>
      <w:r w:rsidRPr="00CD610E">
        <w:t>tation requirements</w:t>
      </w:r>
    </w:p>
    <w:p w:rsidR="00000000" w:rsidRPr="00CD610E" w:rsidP="00CD610E">
      <w:pPr>
        <w:pStyle w:val="ListBullet"/>
      </w:pPr>
      <w:r w:rsidRPr="00CD610E">
        <w:t>IATA agency program and resolutions</w:t>
      </w:r>
    </w:p>
    <w:p w:rsidR="00000000" w:rsidRPr="00CD610E" w:rsidP="00CD610E">
      <w:pPr>
        <w:pStyle w:val="ListBullet"/>
      </w:pPr>
      <w:r w:rsidRPr="00CD610E">
        <w:t>benefits of the BSP for IATA-accredited agents</w:t>
      </w:r>
    </w:p>
    <w:p w:rsidR="00000000" w:rsidRPr="00CD610E" w:rsidP="00CD610E">
      <w:pPr>
        <w:pStyle w:val="ListBullet"/>
      </w:pPr>
      <w:r w:rsidRPr="00CD610E">
        <w:t>sources of BSP information and documents:</w:t>
      </w:r>
    </w:p>
    <w:p w:rsidR="00000000" w:rsidRPr="00CD610E" w:rsidP="00CD610E">
      <w:pPr>
        <w:pStyle w:val="ListBullet2"/>
      </w:pPr>
      <w:r w:rsidRPr="00CD610E">
        <w:t>BSPlink</w:t>
      </w:r>
    </w:p>
    <w:p w:rsidR="00000000" w:rsidRPr="00CD610E" w:rsidP="00CD610E">
      <w:pPr>
        <w:pStyle w:val="ListBullet2"/>
      </w:pPr>
      <w:r w:rsidRPr="00CD610E">
        <w:t>IATA newsletter communiqués and memorandums</w:t>
      </w:r>
    </w:p>
    <w:p w:rsidR="00000000" w:rsidRPr="00CD610E" w:rsidP="00CD610E">
      <w:pPr>
        <w:pStyle w:val="ListBullet"/>
      </w:pPr>
      <w:r w:rsidRPr="00CD610E">
        <w:t>basic standard traffic documents and reports:</w:t>
      </w:r>
    </w:p>
    <w:p w:rsidR="00000000" w:rsidRPr="00CD610E" w:rsidP="00CD610E">
      <w:pPr>
        <w:pStyle w:val="ListBullet2"/>
      </w:pPr>
      <w:r w:rsidRPr="00CD610E">
        <w:t>BSP process documentation</w:t>
      </w:r>
    </w:p>
    <w:p w:rsidR="00000000" w:rsidRPr="00CD610E" w:rsidP="00CD610E">
      <w:pPr>
        <w:pStyle w:val="ListBullet2"/>
      </w:pPr>
      <w:r w:rsidRPr="00CD610E">
        <w:t>associated IATA resolutions</w:t>
      </w:r>
    </w:p>
    <w:p w:rsidR="00000000" w:rsidRPr="00CD610E" w:rsidP="00CD610E">
      <w:pPr>
        <w:pStyle w:val="ListBullet2"/>
      </w:pPr>
      <w:r w:rsidRPr="00CD610E">
        <w:t>BSP reporting calendar</w:t>
      </w:r>
    </w:p>
    <w:p w:rsidR="00000000" w:rsidRPr="00CD610E" w:rsidP="00CD610E">
      <w:pPr>
        <w:pStyle w:val="ListBullet"/>
      </w:pPr>
      <w:r w:rsidRPr="00CD610E">
        <w:t>BSPlink portal functionality:</w:t>
      </w:r>
    </w:p>
    <w:p w:rsidR="00000000" w:rsidRPr="00CD610E" w:rsidP="00CD610E">
      <w:pPr>
        <w:pStyle w:val="ListBullet2"/>
      </w:pPr>
      <w:r w:rsidRPr="00CD610E">
        <w:t>managing user access</w:t>
      </w:r>
    </w:p>
    <w:p w:rsidR="00000000" w:rsidRPr="00CD610E" w:rsidP="00CD610E">
      <w:pPr>
        <w:pStyle w:val="ListBullet2"/>
      </w:pPr>
      <w:r w:rsidRPr="00CD610E">
        <w:t>establishing agency groups</w:t>
      </w:r>
    </w:p>
    <w:p w:rsidR="00000000" w:rsidRPr="00CD610E" w:rsidP="00CD610E">
      <w:pPr>
        <w:pStyle w:val="ListBullet2"/>
      </w:pPr>
      <w:r w:rsidRPr="00CD610E">
        <w:t>verifying ticketing authority</w:t>
      </w:r>
    </w:p>
    <w:p w:rsidR="00000000" w:rsidRPr="00CD610E" w:rsidP="00CD610E">
      <w:pPr>
        <w:pStyle w:val="ListBullet2"/>
      </w:pPr>
      <w:r w:rsidRPr="00CD610E">
        <w:t>retrieving agency credit and debit memorandums</w:t>
      </w:r>
    </w:p>
    <w:p w:rsidR="00000000" w:rsidRPr="00CD610E" w:rsidP="00CD610E">
      <w:pPr>
        <w:pStyle w:val="ListBullet"/>
      </w:pPr>
      <w:r w:rsidRPr="00CD610E">
        <w:t>contents and procedur</w:t>
      </w:r>
      <w:r w:rsidRPr="00CD610E">
        <w:t>es for using BSP for:</w:t>
      </w:r>
    </w:p>
    <w:p w:rsidR="00000000" w:rsidRPr="00CD610E" w:rsidP="00CD610E">
      <w:pPr>
        <w:pStyle w:val="ListBullet2"/>
      </w:pPr>
      <w:r w:rsidRPr="00CD610E">
        <w:t>agency billing analysis and sales reports</w:t>
      </w:r>
    </w:p>
    <w:p w:rsidR="00000000" w:rsidRPr="00CD610E" w:rsidP="00CD610E">
      <w:pPr>
        <w:pStyle w:val="ListBullet2"/>
      </w:pPr>
      <w:r w:rsidRPr="00CD610E">
        <w:t>billing statements</w:t>
      </w:r>
    </w:p>
    <w:p w:rsidR="00000000" w:rsidRPr="00CD610E" w:rsidP="00CD610E">
      <w:pPr>
        <w:pStyle w:val="ListBullet2"/>
      </w:pPr>
      <w:r w:rsidRPr="00CD610E">
        <w:t>agency debit and credit memos</w:t>
      </w:r>
    </w:p>
    <w:p w:rsidR="00000000" w:rsidRPr="00CD610E" w:rsidP="00CD610E">
      <w:pPr>
        <w:pStyle w:val="ListBullet2"/>
      </w:pPr>
      <w:r w:rsidRPr="00CD610E">
        <w:t>credit card charge forms</w:t>
      </w:r>
    </w:p>
    <w:p w:rsidR="00000000" w:rsidRPr="00CD610E" w:rsidP="00CD610E">
      <w:pPr>
        <w:pStyle w:val="ListBullet2"/>
      </w:pPr>
      <w:r w:rsidRPr="00CD610E">
        <w:t>refund applications and notices</w:t>
      </w:r>
    </w:p>
    <w:p w:rsidR="00000000" w:rsidRPr="00CD610E" w:rsidP="00CD610E">
      <w:pPr>
        <w:pStyle w:val="ListBullet"/>
      </w:pPr>
      <w:r w:rsidRPr="00CD610E">
        <w:t>BSP process flow</w:t>
      </w:r>
    </w:p>
    <w:p w:rsidR="00000000" w:rsidRPr="00CD610E" w:rsidP="00CD610E">
      <w:pPr>
        <w:pStyle w:val="ListBullet"/>
      </w:pPr>
      <w:r w:rsidRPr="00CD610E">
        <w:t>BSP procedures for actioning discrepancies in billing and settlement reports</w:t>
      </w:r>
    </w:p>
    <w:p w:rsidR="00000000" w:rsidRPr="00CD610E" w:rsidP="00CD610E">
      <w:pPr>
        <w:pStyle w:val="ListBullet"/>
      </w:pPr>
      <w:r w:rsidRPr="00CD610E">
        <w:t>sales and transaction reporting procedures and requirements for the IATA data processing centre</w:t>
      </w:r>
    </w:p>
    <w:p w:rsidR="00000000" w:rsidRPr="00CD610E" w:rsidP="00CD610E">
      <w:pPr>
        <w:pStyle w:val="ListBullet"/>
      </w:pPr>
      <w:r w:rsidRPr="00CD610E">
        <w:t>BSP reporting timeframes</w:t>
      </w:r>
    </w:p>
    <w:p w:rsidR="00000000" w:rsidRPr="00CD610E" w:rsidP="00CD610E">
      <w:pPr>
        <w:pStyle w:val="ListBullet"/>
      </w:pPr>
      <w:r w:rsidRPr="00CD610E">
        <w:t>airfare pricing and ticketing procedures.</w:t>
      </w:r>
    </w:p>
    <w:p w:rsidR="00000000" w:rsidRPr="00CD610E" w:rsidP="00CD610E">
      <w:pPr>
        <w:pStyle w:val="AllowPageBreak"/>
      </w:pPr>
    </w:p>
    <w:p w:rsidR="00000000" w:rsidRPr="00CD610E" w:rsidP="00CD610E">
      <w:pPr>
        <w:pStyle w:val="Heading1"/>
      </w:pPr>
      <w:bookmarkStart w:id="13" w:name="O_768786"/>
      <w:bookmarkEnd w:id="13"/>
      <w:r w:rsidRPr="00CD610E">
        <w:t>Assessment Conditions</w:t>
      </w:r>
    </w:p>
    <w:p w:rsidR="00000000" w:rsidRPr="00CD610E" w:rsidP="00970C01">
      <w:pPr>
        <w:pStyle w:val="BodyText"/>
      </w:pPr>
      <w:r w:rsidRPr="00CD610E">
        <w:t>Skills must be demonstrated in a tourism or travel business operation or activity that is IATA accredited to sell and ticket airfares and undertakes BSP reporting. This can be:</w:t>
      </w:r>
    </w:p>
    <w:p w:rsidR="00000000" w:rsidRPr="00CD610E" w:rsidP="00CD610E">
      <w:pPr>
        <w:pStyle w:val="ListBullet"/>
      </w:pPr>
      <w:r w:rsidRPr="00CD610E">
        <w:t>an industry workplace</w:t>
      </w:r>
    </w:p>
    <w:p w:rsidR="00000000" w:rsidRPr="00CD610E" w:rsidP="00CD610E">
      <w:pPr>
        <w:pStyle w:val="ListBullet"/>
      </w:pPr>
      <w:r w:rsidRPr="00CD610E">
        <w:t>a simulated industry environment set up for the purpose of assessment.</w:t>
      </w:r>
    </w:p>
    <w:p w:rsidR="00000000" w:rsidRPr="00CD610E" w:rsidP="00CD610E">
      <w:pPr>
        <w:pStyle w:val="BodyText"/>
      </w:pPr>
    </w:p>
    <w:p w:rsidR="00000000" w:rsidRPr="00CD610E" w:rsidP="00970C01">
      <w:pPr>
        <w:pStyle w:val="BodyText"/>
      </w:pPr>
      <w:r w:rsidRPr="00CD610E">
        <w:t>Assessment must ensure access to:</w:t>
      </w:r>
    </w:p>
    <w:p w:rsidR="00000000" w:rsidRPr="00CD610E" w:rsidP="00CD610E">
      <w:pPr>
        <w:pStyle w:val="ListBullet"/>
      </w:pPr>
      <w:r w:rsidRPr="00CD610E">
        <w:t>computers and software programs currently used in the tourism or travel industry to control the administration of billing and settlement plans</w:t>
      </w:r>
    </w:p>
    <w:p w:rsidR="00000000" w:rsidRPr="00CD610E" w:rsidP="00CD610E">
      <w:pPr>
        <w:pStyle w:val="ListBullet"/>
      </w:pPr>
      <w:r w:rsidRPr="00CD610E">
        <w:t>curren</w:t>
      </w:r>
      <w:r w:rsidRPr="00CD610E">
        <w:t>t actual or training facsimile IATA BSP documentation, and agency billing analysis reports</w:t>
      </w:r>
    </w:p>
    <w:p w:rsidR="00000000" w:rsidRPr="00CD610E" w:rsidP="00CD610E">
      <w:pPr>
        <w:pStyle w:val="ListBullet"/>
      </w:pPr>
      <w:r w:rsidRPr="00CD610E">
        <w:t>internet and email</w:t>
      </w:r>
    </w:p>
    <w:p w:rsidR="00000000" w:rsidRPr="00CD610E" w:rsidP="00CD610E">
      <w:pPr>
        <w:pStyle w:val="ListBullet"/>
      </w:pPr>
      <w:r w:rsidRPr="00CD610E">
        <w:t>printers and scanners</w:t>
      </w:r>
    </w:p>
    <w:p w:rsidR="00000000" w:rsidRPr="00CD610E" w:rsidP="00CD610E">
      <w:pPr>
        <w:pStyle w:val="ListBullet"/>
      </w:pPr>
      <w:r w:rsidRPr="00CD610E">
        <w:t>storage for computer data.</w:t>
      </w:r>
    </w:p>
    <w:p w:rsidR="00000000" w:rsidRPr="00CD610E" w:rsidP="00CD610E">
      <w:pPr>
        <w:pStyle w:val="BodyText"/>
      </w:pPr>
    </w:p>
    <w:p w:rsidR="00000000" w:rsidRPr="00CD610E" w:rsidP="00970C01">
      <w:pPr>
        <w:pStyle w:val="BodyText"/>
      </w:pPr>
      <w:r w:rsidRPr="00CD610E">
        <w:t>Assessors must satisfy the Standards for Registered Training Organisations’ requirements for ass</w:t>
      </w:r>
      <w:r w:rsidRPr="00CD610E">
        <w:t>essors; and:</w:t>
      </w:r>
    </w:p>
    <w:p w:rsidR="00000000" w:rsidRPr="00CD610E" w:rsidP="00CD610E">
      <w:pPr>
        <w:pStyle w:val="ListBullet"/>
      </w:pPr>
      <w:r w:rsidRPr="00CD610E">
        <w:t>have worked in industry for at least three years where they have applied the skills and knowledge of this unit of competency.</w:t>
      </w:r>
    </w:p>
    <w:p w:rsidR="00000000" w:rsidRPr="00CD610E" w:rsidP="00CD610E">
      <w:pPr>
        <w:pStyle w:val="AllowPageBreak"/>
      </w:pPr>
    </w:p>
    <w:p w:rsidR="00000000" w:rsidRPr="00CD610E" w:rsidP="00CD610E">
      <w:pPr>
        <w:pStyle w:val="Heading1"/>
      </w:pPr>
      <w:bookmarkStart w:id="14" w:name="O_768789"/>
      <w:bookmarkEnd w:id="14"/>
      <w:r w:rsidRPr="00CD610E">
        <w:t>Links</w:t>
      </w:r>
    </w:p>
    <w:p w:rsidR="00000000" w:rsidRPr="00CD610E" w:rsidP="00970C01">
      <w:pPr>
        <w:pStyle w:val="BodyText"/>
      </w:pPr>
      <w:r w:rsidRPr="00CD61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66CA6">
        <w:rPr>
          <w:rStyle w:val="Hyperlink"/>
        </w:rPr>
        <w:t>https://vetnet.gov.au/Pages/TrainingDocs.aspx?q=68c40a93-e51d-4e0f-bc06-899dff092694</w:t>
      </w:r>
      <w:r>
        <w:fldChar w:fldCharType="end"/>
      </w:r>
    </w:p>
    <w:p w:rsidR="00000000" w:rsidRPr="00CD610E" w:rsidP="00CD610E"/>
    <w:sectPr w:rsidSect="00CD61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0E" w:rsidRPr="00970C01" w:rsidP="00970C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01" w:rsidP="00CD6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0C01" w:rsidP="00CD61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70C01" w:rsidP="00CD61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0E" w:rsidP="00CD610E">
    <w:pPr>
      <w:pStyle w:val="Footer"/>
      <w:framePr w:wrap="around"/>
    </w:pPr>
    <w:r>
      <w:fldChar w:fldCharType="begin"/>
    </w:r>
    <w:r>
      <w:instrText xml:space="preserve"> DOCPROPERTY  Subject  \* MERGEFORMAT </w:instrText>
    </w:r>
    <w:r>
      <w:fldChar w:fldCharType="separate"/>
    </w:r>
    <w:r w:rsidR="00970C01">
      <w:t>Approved</w:t>
    </w:r>
    <w:r w:rsidR="00970C01">
      <w:fldChar w:fldCharType="end"/>
    </w:r>
    <w:r>
      <w:tab/>
      <w:t xml:space="preserve">Page </w:t>
    </w:r>
    <w:r>
      <w:fldChar w:fldCharType="begin"/>
    </w:r>
    <w:r>
      <w:instrText xml:space="preserve"> PAGE  \* Arabic  \* MERGEFORMAT </w:instrText>
    </w:r>
    <w:r>
      <w:fldChar w:fldCharType="separate"/>
    </w:r>
    <w:r w:rsidR="00970C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0C01">
      <w:rPr>
        <w:noProof/>
      </w:rPr>
      <w:t>4</w:t>
    </w:r>
    <w:r>
      <w:rPr>
        <w:noProof/>
      </w:rPr>
      <w:fldChar w:fldCharType="end"/>
    </w:r>
  </w:p>
  <w:p w:rsidR="00CD610E" w:rsidP="00CD610E">
    <w:pPr>
      <w:pStyle w:val="Footer"/>
      <w:framePr w:wrap="around"/>
    </w:pPr>
    <w:r>
      <w:t xml:space="preserve">© Commonwealth of Australia, </w:t>
    </w:r>
    <w:r>
      <w:fldChar w:fldCharType="begin"/>
    </w:r>
    <w:r>
      <w:instrText xml:space="preserve"> DATE  \@ "yyyy"  \* MERGEFORMAT </w:instrText>
    </w:r>
    <w:r>
      <w:fldChar w:fldCharType="separate"/>
    </w:r>
    <w:r w:rsidR="00970C01">
      <w:rPr>
        <w:noProof/>
      </w:rPr>
      <w:t>2025</w:t>
    </w:r>
    <w:r>
      <w:fldChar w:fldCharType="end"/>
    </w:r>
    <w:r>
      <w:tab/>
    </w:r>
    <w:r>
      <w:fldChar w:fldCharType="begin"/>
    </w:r>
    <w:r>
      <w:instrText xml:space="preserve"> DOCPROPERTY  Author  \* MERGEFORMAT </w:instrText>
    </w:r>
    <w:r>
      <w:fldChar w:fldCharType="separate"/>
    </w:r>
    <w:r w:rsidR="00970C01">
      <w:t>Service and Creative Skills Australia</w:t>
    </w:r>
    <w:r w:rsidR="00970C01">
      <w:fldChar w:fldCharType="end"/>
    </w:r>
  </w:p>
  <w:p w:rsidR="00CD610E" w:rsidP="00CD6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10E" w:rsidRPr="00970C01" w:rsidP="00970C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C01" w:rsidRPr="002D2AF8" w:rsidP="00CD610E">
    <w:pPr>
      <w:pStyle w:val="Header"/>
      <w:framePr w:wrap="around"/>
    </w:pPr>
    <w:r>
      <w:fldChar w:fldCharType="begin"/>
    </w:r>
    <w:r>
      <w:instrText xml:space="preserve"> TITLE   \* MERGEFORMAT </w:instrText>
    </w:r>
    <w:r>
      <w:fldChar w:fldCharType="separate"/>
    </w:r>
    <w:r>
      <w:t>SITTTSL015 Administer billing and settlement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0C01" w:rsidP="00CD61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10E" w:rsidRPr="002D2AF8" w:rsidP="00CD610E">
    <w:pPr>
      <w:pStyle w:val="Header"/>
      <w:framePr w:wrap="around"/>
    </w:pPr>
    <w:r>
      <w:fldChar w:fldCharType="begin"/>
    </w:r>
    <w:r>
      <w:instrText xml:space="preserve"> TITLE   \* MERGEFORMAT </w:instrText>
    </w:r>
    <w:r>
      <w:fldChar w:fldCharType="separate"/>
    </w:r>
    <w:r w:rsidR="00970C01">
      <w:t>SITTTSL015 Administer billing and settlement plan</w:t>
    </w:r>
    <w:r w:rsidR="00970C01">
      <w:fldChar w:fldCharType="end"/>
    </w:r>
    <w:r>
      <w:tab/>
      <w:t xml:space="preserve">Date this document was generated: </w:t>
    </w:r>
    <w:r>
      <w:fldChar w:fldCharType="begin"/>
    </w:r>
    <w:r>
      <w:instrText xml:space="preserve"> CREATEDATE  \@ "d MMMM yyyy"  \* MERGEFORMAT </w:instrText>
    </w:r>
    <w:r>
      <w:fldChar w:fldCharType="separate"/>
    </w:r>
    <w:r w:rsidR="00970C01">
      <w:rPr>
        <w:noProof/>
      </w:rPr>
      <w:t>2 March 2025</w:t>
    </w:r>
    <w:r>
      <w:fldChar w:fldCharType="end"/>
    </w:r>
  </w:p>
  <w:p w:rsidR="00CD610E" w:rsidP="00CD6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E7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64C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B21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10E"/>
    <w:pPr>
      <w:spacing w:before="360" w:after="60"/>
      <w:outlineLvl w:val="0"/>
    </w:pPr>
    <w:rPr>
      <w:sz w:val="32"/>
    </w:rPr>
  </w:style>
  <w:style w:type="paragraph" w:styleId="Heading2">
    <w:name w:val="heading 2"/>
    <w:basedOn w:val="HeadingBase"/>
    <w:next w:val="BodyText"/>
    <w:link w:val="Heading2Char"/>
    <w:qFormat/>
    <w:rsid w:val="00CD610E"/>
    <w:pPr>
      <w:keepLines/>
      <w:spacing w:before="240" w:after="120"/>
      <w:outlineLvl w:val="1"/>
    </w:pPr>
    <w:rPr>
      <w:sz w:val="28"/>
      <w:szCs w:val="40"/>
    </w:rPr>
  </w:style>
  <w:style w:type="paragraph" w:styleId="Heading3">
    <w:name w:val="heading 3"/>
    <w:basedOn w:val="HeadingBase"/>
    <w:next w:val="BodyText"/>
    <w:link w:val="Heading3Char"/>
    <w:qFormat/>
    <w:rsid w:val="00CD610E"/>
    <w:pPr>
      <w:spacing w:before="180" w:after="120"/>
      <w:outlineLvl w:val="2"/>
    </w:pPr>
    <w:rPr>
      <w:spacing w:val="-10"/>
      <w:kern w:val="32"/>
    </w:rPr>
  </w:style>
  <w:style w:type="paragraph" w:styleId="Heading4">
    <w:name w:val="heading 4"/>
    <w:basedOn w:val="HeadingBase"/>
    <w:next w:val="BodyText"/>
    <w:link w:val="Heading4Char"/>
    <w:qFormat/>
    <w:rsid w:val="00CD610E"/>
    <w:pPr>
      <w:spacing w:before="160" w:after="120"/>
      <w:outlineLvl w:val="3"/>
    </w:pPr>
    <w:rPr>
      <w:sz w:val="22"/>
    </w:rPr>
  </w:style>
  <w:style w:type="paragraph" w:styleId="Heading5">
    <w:name w:val="heading 5"/>
    <w:basedOn w:val="HeadingBase"/>
    <w:next w:val="Normal"/>
    <w:link w:val="Heading5Char"/>
    <w:qFormat/>
    <w:rsid w:val="00CD610E"/>
    <w:pPr>
      <w:spacing w:before="80"/>
      <w:outlineLvl w:val="4"/>
    </w:pPr>
    <w:rPr>
      <w:color w:val="918585"/>
      <w:sz w:val="20"/>
    </w:rPr>
  </w:style>
  <w:style w:type="paragraph" w:styleId="Heading6">
    <w:name w:val="heading 6"/>
    <w:basedOn w:val="HeadingBase"/>
    <w:next w:val="Normal"/>
    <w:link w:val="Heading6Char"/>
    <w:qFormat/>
    <w:rsid w:val="00CD610E"/>
    <w:pPr>
      <w:spacing w:before="60"/>
      <w:outlineLvl w:val="5"/>
    </w:pPr>
    <w:rPr>
      <w:color w:val="918585"/>
      <w:sz w:val="20"/>
    </w:rPr>
  </w:style>
  <w:style w:type="paragraph" w:styleId="Heading7">
    <w:name w:val="heading 7"/>
    <w:basedOn w:val="Normal"/>
    <w:next w:val="Normal"/>
    <w:link w:val="Heading7Char"/>
    <w:qFormat/>
    <w:rsid w:val="00CD610E"/>
    <w:pPr>
      <w:ind w:left="720"/>
      <w:outlineLvl w:val="6"/>
    </w:pPr>
    <w:rPr>
      <w:i/>
    </w:rPr>
  </w:style>
  <w:style w:type="paragraph" w:styleId="Heading8">
    <w:name w:val="heading 8"/>
    <w:basedOn w:val="Normal"/>
    <w:next w:val="Normal"/>
    <w:link w:val="Heading8Char"/>
    <w:qFormat/>
    <w:rsid w:val="00CD610E"/>
    <w:pPr>
      <w:ind w:left="720"/>
      <w:outlineLvl w:val="7"/>
    </w:pPr>
    <w:rPr>
      <w:i/>
    </w:rPr>
  </w:style>
  <w:style w:type="paragraph" w:styleId="Heading9">
    <w:name w:val="heading 9"/>
    <w:basedOn w:val="Normal"/>
    <w:next w:val="Normal"/>
    <w:link w:val="Heading9Char"/>
    <w:qFormat/>
    <w:rsid w:val="00CD610E"/>
    <w:pPr>
      <w:ind w:left="720"/>
      <w:outlineLvl w:val="8"/>
    </w:pPr>
    <w:rPr>
      <w:i/>
    </w:rPr>
  </w:style>
  <w:style w:type="character" w:default="1" w:styleId="DefaultParagraphFont">
    <w:name w:val="Default Paragraph Font"/>
    <w:uiPriority w:val="1"/>
    <w:unhideWhenUsed/>
    <w:rsid w:val="00CD6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10E"/>
  </w:style>
  <w:style w:type="character" w:customStyle="1" w:styleId="Heading1Char">
    <w:name w:val="Heading 1 Char"/>
    <w:basedOn w:val="DefaultParagraphFont"/>
    <w:link w:val="Heading1"/>
    <w:rsid w:val="00CD610E"/>
    <w:rPr>
      <w:rFonts w:ascii="Times New Roman" w:eastAsia="Times New Roman" w:hAnsi="Times New Roman" w:cs="Times New Roman"/>
      <w:b/>
      <w:sz w:val="32"/>
      <w:szCs w:val="20"/>
      <w:lang w:eastAsia="en-US"/>
    </w:rPr>
  </w:style>
  <w:style w:type="paragraph" w:styleId="BodyText">
    <w:name w:val="Body Text"/>
    <w:basedOn w:val="Normal"/>
    <w:link w:val="BodyTextChar"/>
    <w:rsid w:val="00CD6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10E"/>
    <w:rPr>
      <w:rFonts w:ascii="Times New Roman" w:eastAsia="Times New Roman" w:hAnsi="Times New Roman" w:cs="Times New Roman"/>
      <w:sz w:val="24"/>
      <w:lang w:eastAsia="en-US"/>
    </w:rPr>
  </w:style>
  <w:style w:type="paragraph" w:styleId="List">
    <w:name w:val="List"/>
    <w:basedOn w:val="BodyText"/>
    <w:next w:val="BodyText"/>
    <w:rsid w:val="00CD610E"/>
    <w:pPr>
      <w:tabs>
        <w:tab w:val="left" w:pos="340"/>
      </w:tabs>
      <w:spacing w:before="60" w:after="60"/>
      <w:ind w:left="340" w:hanging="340"/>
    </w:pPr>
  </w:style>
  <w:style w:type="paragraph" w:styleId="ListBullet">
    <w:name w:val="List Bullet"/>
    <w:basedOn w:val="List"/>
    <w:rsid w:val="00CD610E"/>
    <w:pPr>
      <w:numPr>
        <w:numId w:val="12"/>
      </w:numPr>
      <w:tabs>
        <w:tab w:val="clear" w:pos="340"/>
      </w:tabs>
      <w:spacing w:before="40" w:after="40"/>
    </w:pPr>
  </w:style>
  <w:style w:type="character" w:customStyle="1" w:styleId="SpecialBold">
    <w:name w:val="Special Bold"/>
    <w:basedOn w:val="DefaultParagraphFont"/>
    <w:rsid w:val="00CD610E"/>
    <w:rPr>
      <w:b/>
      <w:spacing w:val="0"/>
    </w:rPr>
  </w:style>
  <w:style w:type="paragraph" w:styleId="ListBullet2">
    <w:name w:val="List Bullet 2"/>
    <w:basedOn w:val="List2"/>
    <w:rsid w:val="00CD610E"/>
    <w:pPr>
      <w:numPr>
        <w:numId w:val="13"/>
      </w:numPr>
      <w:tabs>
        <w:tab w:val="clear" w:pos="680"/>
      </w:tabs>
    </w:pPr>
  </w:style>
  <w:style w:type="paragraph" w:customStyle="1" w:styleId="SuperHeading">
    <w:name w:val="SuperHeading"/>
    <w:basedOn w:val="Normal"/>
    <w:rsid w:val="00CD610E"/>
    <w:pPr>
      <w:spacing w:before="240" w:after="120"/>
      <w:outlineLvl w:val="0"/>
    </w:pPr>
    <w:rPr>
      <w:rFonts w:ascii="Times New Roman" w:hAnsi="Times New Roman"/>
      <w:b/>
      <w:sz w:val="32"/>
    </w:rPr>
  </w:style>
  <w:style w:type="paragraph" w:customStyle="1" w:styleId="AllowPageBreak">
    <w:name w:val="AllowPageBreak"/>
    <w:rsid w:val="00CD6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10E"/>
    <w:rPr>
      <w:rFonts w:ascii="Courier New" w:eastAsia="Times New Roman" w:hAnsi="Courier New" w:cs="Times New Roman"/>
      <w:i/>
      <w:szCs w:val="20"/>
      <w:lang w:eastAsia="en-US"/>
    </w:rPr>
  </w:style>
  <w:style w:type="paragraph" w:customStyle="1" w:styleId="HeadingBase">
    <w:name w:val="Heading Base"/>
    <w:rsid w:val="00CD6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10E"/>
    <w:pPr>
      <w:tabs>
        <w:tab w:val="right" w:leader="dot" w:pos="9072"/>
      </w:tabs>
      <w:ind w:left="567"/>
    </w:pPr>
    <w:rPr>
      <w:szCs w:val="22"/>
    </w:rPr>
  </w:style>
  <w:style w:type="paragraph" w:customStyle="1" w:styleId="TOCBase">
    <w:name w:val="TOC Base"/>
    <w:rsid w:val="00CD6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10E"/>
    <w:pPr>
      <w:tabs>
        <w:tab w:val="right" w:leader="dot" w:pos="9072"/>
      </w:tabs>
      <w:spacing w:before="40" w:after="40"/>
      <w:ind w:left="284"/>
    </w:pPr>
    <w:rPr>
      <w:rFonts w:ascii="Times New Roman" w:hAnsi="Times New Roman"/>
    </w:rPr>
  </w:style>
  <w:style w:type="paragraph" w:styleId="TOC1">
    <w:name w:val="toc 1"/>
    <w:basedOn w:val="TOCBase"/>
    <w:next w:val="Normal"/>
    <w:rsid w:val="00CD6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10E"/>
    <w:rPr>
      <w:rFonts w:ascii="Times New Roman" w:eastAsia="Times New Roman" w:hAnsi="Times New Roman" w:cs="Times New Roman"/>
      <w:sz w:val="16"/>
      <w:lang w:eastAsia="en-US"/>
    </w:rPr>
  </w:style>
  <w:style w:type="paragraph" w:styleId="Title">
    <w:name w:val="Title"/>
    <w:basedOn w:val="HeadingBase"/>
    <w:link w:val="TitleChar"/>
    <w:qFormat/>
    <w:rsid w:val="00CD610E"/>
    <w:pPr>
      <w:spacing w:before="5040"/>
      <w:jc w:val="center"/>
    </w:pPr>
    <w:rPr>
      <w:sz w:val="48"/>
      <w:szCs w:val="72"/>
      <w:lang w:val="en-US"/>
    </w:rPr>
  </w:style>
  <w:style w:type="character" w:customStyle="1" w:styleId="TitleChar">
    <w:name w:val="Title Char"/>
    <w:basedOn w:val="DefaultParagraphFont"/>
    <w:link w:val="Title"/>
    <w:rsid w:val="00CD6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10E"/>
    <w:pPr>
      <w:tabs>
        <w:tab w:val="left" w:pos="3600"/>
        <w:tab w:val="left" w:pos="3958"/>
      </w:tabs>
    </w:pPr>
  </w:style>
  <w:style w:type="paragraph" w:customStyle="1" w:styleId="Note">
    <w:name w:val="Note"/>
    <w:basedOn w:val="BodyText"/>
    <w:rsid w:val="00CD6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10E"/>
    <w:pPr>
      <w:framePr w:wrap="auto" w:hAnchor="text" w:y="6049"/>
    </w:pPr>
    <w:rPr>
      <w:color w:val="000000"/>
      <w:sz w:val="40"/>
    </w:rPr>
  </w:style>
  <w:style w:type="paragraph" w:customStyle="1" w:styleId="TOCTitle">
    <w:name w:val="TOCTitle"/>
    <w:basedOn w:val="Heading1"/>
    <w:rsid w:val="00CD610E"/>
    <w:pPr>
      <w:spacing w:after="240"/>
      <w:jc w:val="center"/>
      <w:outlineLvl w:val="9"/>
    </w:pPr>
    <w:rPr>
      <w:caps/>
    </w:rPr>
  </w:style>
  <w:style w:type="paragraph" w:customStyle="1" w:styleId="Version">
    <w:name w:val="Version"/>
    <w:rsid w:val="00CD6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10E"/>
    <w:pPr>
      <w:keepNext w:val="0"/>
      <w:tabs>
        <w:tab w:val="right" w:pos="4176"/>
      </w:tabs>
      <w:ind w:left="198" w:hanging="198"/>
    </w:pPr>
    <w:rPr>
      <w:rFonts w:ascii="Garamond" w:hAnsi="Garamond"/>
    </w:rPr>
  </w:style>
  <w:style w:type="paragraph" w:styleId="IndexHeading">
    <w:name w:val="index heading"/>
    <w:basedOn w:val="Normal"/>
    <w:next w:val="Index1"/>
    <w:semiHidden/>
    <w:rsid w:val="00CD610E"/>
    <w:pPr>
      <w:spacing w:before="120" w:after="120"/>
    </w:pPr>
    <w:rPr>
      <w:rFonts w:ascii="Arial" w:hAnsi="Arial"/>
      <w:b/>
      <w:color w:val="918585"/>
      <w:sz w:val="24"/>
    </w:rPr>
  </w:style>
  <w:style w:type="paragraph" w:styleId="Header">
    <w:name w:val="header"/>
    <w:basedOn w:val="Normal"/>
    <w:link w:val="HeaderChar"/>
    <w:rsid w:val="00CD6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10E"/>
    <w:rPr>
      <w:rFonts w:ascii="Times New Roman" w:eastAsia="Times New Roman" w:hAnsi="Times New Roman" w:cs="Times New Roman"/>
      <w:sz w:val="16"/>
      <w:szCs w:val="20"/>
      <w:lang w:val="en-GB" w:eastAsia="en-US"/>
    </w:rPr>
  </w:style>
  <w:style w:type="paragraph" w:customStyle="1" w:styleId="Chapter">
    <w:name w:val="Chapter"/>
    <w:basedOn w:val="Normal"/>
    <w:rsid w:val="00CD610E"/>
    <w:pPr>
      <w:spacing w:before="240"/>
    </w:pPr>
    <w:rPr>
      <w:rFonts w:ascii="Times New Roman" w:hAnsi="Times New Roman"/>
      <w:smallCaps/>
      <w:spacing w:val="80"/>
      <w:sz w:val="28"/>
    </w:rPr>
  </w:style>
  <w:style w:type="paragraph" w:customStyle="1" w:styleId="InChapter">
    <w:name w:val="InChapter"/>
    <w:basedOn w:val="Heading3"/>
    <w:rsid w:val="00CD610E"/>
    <w:pPr>
      <w:spacing w:after="240"/>
      <w:outlineLvl w:val="9"/>
    </w:pPr>
    <w:rPr>
      <w:noProof/>
    </w:rPr>
  </w:style>
  <w:style w:type="paragraph" w:styleId="Index2">
    <w:name w:val="index 2"/>
    <w:basedOn w:val="Normal"/>
    <w:next w:val="Normal"/>
    <w:semiHidden/>
    <w:rsid w:val="00CD610E"/>
    <w:pPr>
      <w:tabs>
        <w:tab w:val="right" w:pos="4176"/>
      </w:tabs>
      <w:ind w:left="568" w:hanging="284"/>
    </w:pPr>
    <w:rPr>
      <w:rFonts w:ascii="Garamond" w:hAnsi="Garamond"/>
    </w:rPr>
  </w:style>
  <w:style w:type="paragraph" w:customStyle="1" w:styleId="Byline">
    <w:name w:val="Byline"/>
    <w:rsid w:val="00CD6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10E"/>
    <w:pPr>
      <w:tabs>
        <w:tab w:val="clear" w:pos="3600"/>
        <w:tab w:val="clear" w:pos="3958"/>
      </w:tabs>
      <w:jc w:val="right"/>
    </w:pPr>
  </w:style>
  <w:style w:type="character" w:styleId="Emphasis">
    <w:name w:val="Emphasis"/>
    <w:basedOn w:val="DefaultParagraphFont"/>
    <w:qFormat/>
    <w:rsid w:val="00CD610E"/>
    <w:rPr>
      <w:i/>
    </w:rPr>
  </w:style>
  <w:style w:type="paragraph" w:styleId="Caption">
    <w:name w:val="caption"/>
    <w:basedOn w:val="BodyText"/>
    <w:next w:val="Normal"/>
    <w:qFormat/>
    <w:rsid w:val="00CD610E"/>
    <w:pPr>
      <w:framePr w:w="2268" w:hSpace="181" w:vSpace="181" w:wrap="around" w:vAnchor="text" w:hAnchor="page" w:x="1135" w:y="285" w:anchorLock="1"/>
    </w:pPr>
    <w:rPr>
      <w:i/>
    </w:rPr>
  </w:style>
  <w:style w:type="paragraph" w:customStyle="1" w:styleId="MiniTOCTitle">
    <w:name w:val="MiniTOCTitle"/>
    <w:basedOn w:val="Heading4"/>
    <w:rsid w:val="00CD610E"/>
    <w:pPr>
      <w:spacing w:before="240"/>
      <w:outlineLvl w:val="9"/>
    </w:pPr>
    <w:rPr>
      <w:noProof/>
      <w:sz w:val="24"/>
    </w:rPr>
  </w:style>
  <w:style w:type="paragraph" w:customStyle="1" w:styleId="MiniTOCItem">
    <w:name w:val="MiniTOCItem"/>
    <w:basedOn w:val="ListBullet"/>
    <w:rsid w:val="00CD610E"/>
    <w:pPr>
      <w:numPr>
        <w:numId w:val="0"/>
      </w:numPr>
      <w:tabs>
        <w:tab w:val="right" w:leader="dot" w:pos="6521"/>
      </w:tabs>
      <w:spacing w:before="0" w:after="0"/>
    </w:pPr>
  </w:style>
  <w:style w:type="paragraph" w:customStyle="1" w:styleId="TOFTitle">
    <w:name w:val="TOFTitle"/>
    <w:basedOn w:val="TOCTitle"/>
    <w:rsid w:val="00CD610E"/>
  </w:style>
  <w:style w:type="paragraph" w:styleId="TableofFigures">
    <w:name w:val="table of figures"/>
    <w:basedOn w:val="Normal"/>
    <w:next w:val="Normal"/>
    <w:semiHidden/>
    <w:rsid w:val="00CD610E"/>
    <w:pPr>
      <w:tabs>
        <w:tab w:val="right" w:leader="dot" w:pos="9072"/>
      </w:tabs>
      <w:ind w:left="970" w:hanging="403"/>
    </w:pPr>
    <w:rPr>
      <w:rFonts w:ascii="Times New Roman" w:hAnsi="Times New Roman"/>
      <w:b/>
    </w:rPr>
  </w:style>
  <w:style w:type="paragraph" w:styleId="ListNumber">
    <w:name w:val="List Number"/>
    <w:basedOn w:val="List"/>
    <w:rsid w:val="00CD610E"/>
    <w:pPr>
      <w:numPr>
        <w:numId w:val="15"/>
      </w:numPr>
      <w:tabs>
        <w:tab w:val="clear" w:pos="340"/>
      </w:tabs>
    </w:pPr>
  </w:style>
  <w:style w:type="character" w:customStyle="1" w:styleId="WingdingSymbols">
    <w:name w:val="Wingding Symbols"/>
    <w:rsid w:val="00CD610E"/>
    <w:rPr>
      <w:rFonts w:ascii="Wingdings" w:hAnsi="Wingdings"/>
    </w:rPr>
  </w:style>
  <w:style w:type="paragraph" w:customStyle="1" w:styleId="TableHeading">
    <w:name w:val="Table Heading"/>
    <w:basedOn w:val="HeadingBase"/>
    <w:rsid w:val="00CD610E"/>
    <w:pPr>
      <w:keepLines/>
      <w:pBdr>
        <w:bottom w:val="single" w:sz="6" w:space="1" w:color="918585"/>
      </w:pBdr>
      <w:spacing w:before="240"/>
    </w:pPr>
  </w:style>
  <w:style w:type="character" w:customStyle="1" w:styleId="HotSpot">
    <w:name w:val="HotSpot"/>
    <w:rsid w:val="00CD610E"/>
    <w:rPr>
      <w:color w:val="0033CC"/>
      <w:u w:val="none"/>
    </w:rPr>
  </w:style>
  <w:style w:type="paragraph" w:customStyle="1" w:styleId="BodyTextRight">
    <w:name w:val="Body Text Right"/>
    <w:basedOn w:val="BodyText"/>
    <w:rsid w:val="00CD610E"/>
    <w:pPr>
      <w:spacing w:before="0" w:after="0"/>
      <w:jc w:val="right"/>
    </w:pPr>
  </w:style>
  <w:style w:type="paragraph" w:styleId="Index3">
    <w:name w:val="index 3"/>
    <w:basedOn w:val="ListNumber2"/>
    <w:next w:val="Normal"/>
    <w:semiHidden/>
    <w:rsid w:val="00CD610E"/>
    <w:pPr>
      <w:numPr>
        <w:numId w:val="0"/>
      </w:numPr>
      <w:tabs>
        <w:tab w:val="right" w:leader="dot" w:pos="4176"/>
      </w:tabs>
    </w:pPr>
  </w:style>
  <w:style w:type="paragraph" w:styleId="ListNumber2">
    <w:name w:val="List Number 2"/>
    <w:basedOn w:val="List2"/>
    <w:rsid w:val="00CD610E"/>
    <w:pPr>
      <w:numPr>
        <w:numId w:val="10"/>
      </w:numPr>
      <w:tabs>
        <w:tab w:val="clear" w:pos="1060"/>
      </w:tabs>
    </w:pPr>
  </w:style>
  <w:style w:type="paragraph" w:customStyle="1" w:styleId="MarginNote">
    <w:name w:val="Margin Note"/>
    <w:basedOn w:val="BodyText"/>
    <w:rsid w:val="00CD6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10E"/>
    <w:rPr>
      <w:sz w:val="32"/>
    </w:rPr>
  </w:style>
  <w:style w:type="paragraph" w:customStyle="1" w:styleId="HeadingProcedure">
    <w:name w:val="Heading Procedure"/>
    <w:basedOn w:val="HeadingBase"/>
    <w:next w:val="Normal"/>
    <w:rsid w:val="00CD610E"/>
    <w:pPr>
      <w:tabs>
        <w:tab w:val="left" w:pos="0"/>
      </w:tabs>
      <w:spacing w:before="120" w:after="60"/>
    </w:pPr>
    <w:rPr>
      <w:i/>
      <w:color w:val="918585"/>
      <w:sz w:val="22"/>
    </w:rPr>
  </w:style>
  <w:style w:type="paragraph" w:customStyle="1" w:styleId="TableBodyText">
    <w:name w:val="Table Body Text"/>
    <w:basedOn w:val="BodyText"/>
    <w:rsid w:val="00CD610E"/>
    <w:pPr>
      <w:spacing w:before="60" w:after="60"/>
    </w:pPr>
  </w:style>
  <w:style w:type="paragraph" w:styleId="ListContinue">
    <w:name w:val="List Continue"/>
    <w:basedOn w:val="List"/>
    <w:rsid w:val="00CD610E"/>
    <w:pPr>
      <w:ind w:firstLine="0"/>
    </w:pPr>
  </w:style>
  <w:style w:type="paragraph" w:customStyle="1" w:styleId="ListNote">
    <w:name w:val="List Note"/>
    <w:basedOn w:val="List"/>
    <w:rsid w:val="00CD610E"/>
    <w:pPr>
      <w:pBdr>
        <w:top w:val="single" w:sz="6" w:space="2" w:color="918585"/>
        <w:bottom w:val="single" w:sz="6" w:space="2" w:color="918585"/>
      </w:pBdr>
      <w:tabs>
        <w:tab w:val="left" w:pos="1021"/>
      </w:tabs>
      <w:ind w:firstLine="0"/>
    </w:pPr>
  </w:style>
  <w:style w:type="paragraph" w:customStyle="1" w:styleId="Warning">
    <w:name w:val="Warning"/>
    <w:basedOn w:val="BodyText"/>
    <w:rsid w:val="00CD610E"/>
    <w:pPr>
      <w:shd w:val="clear" w:color="auto" w:fill="D9D9D9"/>
      <w:tabs>
        <w:tab w:val="left" w:pos="992"/>
      </w:tabs>
      <w:ind w:left="119" w:right="119"/>
    </w:pPr>
    <w:rPr>
      <w:sz w:val="20"/>
    </w:rPr>
  </w:style>
  <w:style w:type="paragraph" w:customStyle="1" w:styleId="MarginIcons">
    <w:name w:val="Margin Icons"/>
    <w:basedOn w:val="BodyText"/>
    <w:rsid w:val="00CD6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10E"/>
    <w:rPr>
      <w:rFonts w:ascii="Courier New" w:hAnsi="Courier New"/>
    </w:rPr>
  </w:style>
  <w:style w:type="paragraph" w:customStyle="1" w:styleId="NoteBullet">
    <w:name w:val="Note Bullet"/>
    <w:basedOn w:val="Note"/>
    <w:rsid w:val="00CD610E"/>
    <w:pPr>
      <w:tabs>
        <w:tab w:val="clear" w:pos="680"/>
      </w:tabs>
      <w:spacing w:before="60" w:after="60"/>
    </w:pPr>
  </w:style>
  <w:style w:type="paragraph" w:customStyle="1" w:styleId="SubHeading2">
    <w:name w:val="SubHeading2"/>
    <w:basedOn w:val="HeadingBase"/>
    <w:rsid w:val="00CD610E"/>
    <w:pPr>
      <w:spacing w:before="240" w:after="60"/>
    </w:pPr>
    <w:rPr>
      <w:sz w:val="20"/>
    </w:rPr>
  </w:style>
  <w:style w:type="paragraph" w:customStyle="1" w:styleId="SubHeading1">
    <w:name w:val="SubHeading1"/>
    <w:basedOn w:val="HeadingBase"/>
    <w:rsid w:val="00CD610E"/>
    <w:pPr>
      <w:spacing w:before="240" w:after="60"/>
    </w:pPr>
    <w:rPr>
      <w:color w:val="918585"/>
      <w:sz w:val="22"/>
    </w:rPr>
  </w:style>
  <w:style w:type="paragraph" w:customStyle="1" w:styleId="SideHeading">
    <w:name w:val="Side Heading"/>
    <w:basedOn w:val="HeadingBase"/>
    <w:rsid w:val="00CD6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10E"/>
    <w:pPr>
      <w:tabs>
        <w:tab w:val="num" w:pos="360"/>
      </w:tabs>
    </w:pPr>
  </w:style>
  <w:style w:type="paragraph" w:styleId="PlainText">
    <w:name w:val="Plain Text"/>
    <w:basedOn w:val="Normal"/>
    <w:link w:val="PlainTextChar"/>
    <w:rsid w:val="00CD610E"/>
    <w:rPr>
      <w:sz w:val="20"/>
    </w:rPr>
  </w:style>
  <w:style w:type="character" w:customStyle="1" w:styleId="PlainTextChar">
    <w:name w:val="Plain Text Char"/>
    <w:basedOn w:val="DefaultParagraphFont"/>
    <w:link w:val="PlainText"/>
    <w:rsid w:val="00CD610E"/>
    <w:rPr>
      <w:rFonts w:ascii="Courier New" w:eastAsia="Times New Roman" w:hAnsi="Courier New" w:cs="Times New Roman"/>
      <w:sz w:val="20"/>
      <w:szCs w:val="20"/>
      <w:lang w:eastAsia="en-US"/>
    </w:rPr>
  </w:style>
  <w:style w:type="character" w:customStyle="1" w:styleId="MenuOption">
    <w:name w:val="Menu Option"/>
    <w:basedOn w:val="DefaultParagraphFont"/>
    <w:rsid w:val="00CD610E"/>
    <w:rPr>
      <w:b/>
      <w:smallCaps/>
    </w:rPr>
  </w:style>
  <w:style w:type="paragraph" w:customStyle="1" w:styleId="TableListNumber">
    <w:name w:val="Table List Number"/>
    <w:basedOn w:val="ListNumber"/>
    <w:rsid w:val="00CD610E"/>
    <w:pPr>
      <w:numPr>
        <w:numId w:val="0"/>
      </w:numPr>
    </w:pPr>
  </w:style>
  <w:style w:type="paragraph" w:styleId="TOC4">
    <w:name w:val="toc 4"/>
    <w:basedOn w:val="TOCBase"/>
    <w:next w:val="Normal"/>
    <w:semiHidden/>
    <w:rsid w:val="00CD610E"/>
    <w:pPr>
      <w:tabs>
        <w:tab w:val="right" w:leader="dot" w:pos="9071"/>
      </w:tabs>
      <w:ind w:left="1701"/>
    </w:pPr>
  </w:style>
  <w:style w:type="paragraph" w:customStyle="1" w:styleId="ListAlpha">
    <w:name w:val="List Alpha"/>
    <w:basedOn w:val="List"/>
    <w:rsid w:val="00CD610E"/>
    <w:pPr>
      <w:numPr>
        <w:numId w:val="9"/>
      </w:numPr>
    </w:pPr>
  </w:style>
  <w:style w:type="paragraph" w:customStyle="1" w:styleId="ListAlpha2">
    <w:name w:val="List Alpha 2"/>
    <w:basedOn w:val="List2"/>
    <w:rsid w:val="00CD610E"/>
    <w:pPr>
      <w:numPr>
        <w:numId w:val="8"/>
      </w:numPr>
    </w:pPr>
  </w:style>
  <w:style w:type="paragraph" w:styleId="List2">
    <w:name w:val="List 2"/>
    <w:basedOn w:val="BodyText"/>
    <w:rsid w:val="00CD610E"/>
    <w:pPr>
      <w:tabs>
        <w:tab w:val="left" w:pos="680"/>
      </w:tabs>
      <w:spacing w:before="60" w:after="60"/>
      <w:ind w:left="680" w:hanging="340"/>
    </w:pPr>
  </w:style>
  <w:style w:type="paragraph" w:styleId="List3">
    <w:name w:val="List 3"/>
    <w:basedOn w:val="BodyText"/>
    <w:rsid w:val="00CD610E"/>
    <w:pPr>
      <w:tabs>
        <w:tab w:val="left" w:pos="1021"/>
      </w:tabs>
      <w:spacing w:before="60" w:after="60"/>
      <w:ind w:left="1020" w:hanging="340"/>
    </w:pPr>
  </w:style>
  <w:style w:type="paragraph" w:styleId="List4">
    <w:name w:val="List 4"/>
    <w:basedOn w:val="BodyText"/>
    <w:rsid w:val="00CD610E"/>
    <w:pPr>
      <w:tabs>
        <w:tab w:val="left" w:pos="1361"/>
      </w:tabs>
      <w:spacing w:before="60" w:after="60"/>
      <w:ind w:left="1361" w:hanging="340"/>
    </w:pPr>
  </w:style>
  <w:style w:type="paragraph" w:styleId="List5">
    <w:name w:val="List 5"/>
    <w:basedOn w:val="BodyText"/>
    <w:rsid w:val="00CD610E"/>
    <w:pPr>
      <w:tabs>
        <w:tab w:val="left" w:pos="1701"/>
      </w:tabs>
      <w:spacing w:before="60" w:after="60"/>
      <w:ind w:left="1701" w:hanging="340"/>
    </w:pPr>
  </w:style>
  <w:style w:type="paragraph" w:styleId="ListBullet3">
    <w:name w:val="List Bullet 3"/>
    <w:basedOn w:val="List3"/>
    <w:rsid w:val="00CD610E"/>
    <w:pPr>
      <w:numPr>
        <w:numId w:val="14"/>
      </w:numPr>
      <w:tabs>
        <w:tab w:val="clear" w:pos="1021"/>
      </w:tabs>
      <w:ind w:left="1037" w:hanging="357"/>
    </w:pPr>
  </w:style>
  <w:style w:type="paragraph" w:styleId="ListBullet4">
    <w:name w:val="List Bullet 4"/>
    <w:basedOn w:val="List4"/>
    <w:rsid w:val="00CD610E"/>
    <w:pPr>
      <w:numPr>
        <w:numId w:val="3"/>
      </w:numPr>
      <w:tabs>
        <w:tab w:val="clear" w:pos="1361"/>
      </w:tabs>
    </w:pPr>
  </w:style>
  <w:style w:type="paragraph" w:styleId="ListBullet5">
    <w:name w:val="List Bullet 5"/>
    <w:basedOn w:val="List5"/>
    <w:rsid w:val="00CD610E"/>
    <w:pPr>
      <w:numPr>
        <w:numId w:val="4"/>
      </w:numPr>
    </w:pPr>
  </w:style>
  <w:style w:type="paragraph" w:styleId="ListContinue2">
    <w:name w:val="List Continue 2"/>
    <w:basedOn w:val="List2"/>
    <w:rsid w:val="00CD610E"/>
    <w:pPr>
      <w:ind w:firstLine="0"/>
    </w:pPr>
  </w:style>
  <w:style w:type="paragraph" w:styleId="ListContinue3">
    <w:name w:val="List Continue 3"/>
    <w:basedOn w:val="List3"/>
    <w:rsid w:val="00CD610E"/>
    <w:pPr>
      <w:ind w:left="1021" w:firstLine="0"/>
    </w:pPr>
  </w:style>
  <w:style w:type="paragraph" w:styleId="ListContinue4">
    <w:name w:val="List Continue 4"/>
    <w:basedOn w:val="List4"/>
    <w:rsid w:val="00CD610E"/>
    <w:pPr>
      <w:ind w:firstLine="0"/>
    </w:pPr>
  </w:style>
  <w:style w:type="paragraph" w:styleId="ListContinue5">
    <w:name w:val="List Continue 5"/>
    <w:basedOn w:val="List5"/>
    <w:rsid w:val="00CD610E"/>
    <w:pPr>
      <w:ind w:firstLine="0"/>
    </w:pPr>
  </w:style>
  <w:style w:type="paragraph" w:styleId="ListNumber3">
    <w:name w:val="List Number 3"/>
    <w:basedOn w:val="List3"/>
    <w:rsid w:val="00CD610E"/>
    <w:pPr>
      <w:numPr>
        <w:numId w:val="5"/>
      </w:numPr>
    </w:pPr>
  </w:style>
  <w:style w:type="paragraph" w:styleId="ListNumber4">
    <w:name w:val="List Number 4"/>
    <w:basedOn w:val="List4"/>
    <w:rsid w:val="00CD610E"/>
    <w:pPr>
      <w:numPr>
        <w:numId w:val="6"/>
      </w:numPr>
    </w:pPr>
  </w:style>
  <w:style w:type="paragraph" w:styleId="ListNumber5">
    <w:name w:val="List Number 5"/>
    <w:basedOn w:val="List5"/>
    <w:rsid w:val="00CD610E"/>
    <w:pPr>
      <w:numPr>
        <w:numId w:val="7"/>
      </w:numPr>
    </w:pPr>
  </w:style>
  <w:style w:type="paragraph" w:styleId="BlockText">
    <w:name w:val="Block Text"/>
    <w:basedOn w:val="Normal"/>
    <w:rsid w:val="00CD610E"/>
    <w:pPr>
      <w:spacing w:after="120"/>
      <w:ind w:left="1440" w:right="1440"/>
    </w:pPr>
  </w:style>
  <w:style w:type="character" w:customStyle="1" w:styleId="Subscript">
    <w:name w:val="Subscript"/>
    <w:basedOn w:val="DefaultParagraphFont"/>
    <w:rsid w:val="00CD610E"/>
    <w:rPr>
      <w:sz w:val="16"/>
      <w:vertAlign w:val="subscript"/>
    </w:rPr>
  </w:style>
  <w:style w:type="character" w:customStyle="1" w:styleId="Superscript">
    <w:name w:val="Superscript"/>
    <w:basedOn w:val="DefaultParagraphFont"/>
    <w:rsid w:val="00CD610E"/>
    <w:rPr>
      <w:sz w:val="16"/>
      <w:vertAlign w:val="superscript"/>
    </w:rPr>
  </w:style>
  <w:style w:type="character" w:customStyle="1" w:styleId="Symbols">
    <w:name w:val="Symbols"/>
    <w:basedOn w:val="DefaultParagraphFont"/>
    <w:rsid w:val="00CD610E"/>
    <w:rPr>
      <w:rFonts w:ascii="Symbol" w:hAnsi="Symbol"/>
    </w:rPr>
  </w:style>
  <w:style w:type="character" w:customStyle="1" w:styleId="MenuOptions">
    <w:name w:val="Menu Options"/>
    <w:basedOn w:val="DefaultParagraphFont"/>
    <w:rsid w:val="00CD610E"/>
    <w:rPr>
      <w:rFonts w:ascii="Arial Narrow" w:hAnsi="Arial Narrow"/>
      <w:smallCaps/>
    </w:rPr>
  </w:style>
  <w:style w:type="character" w:customStyle="1" w:styleId="Buttons">
    <w:name w:val="Buttons"/>
    <w:basedOn w:val="DefaultParagraphFont"/>
    <w:rsid w:val="00CD610E"/>
    <w:rPr>
      <w:b/>
    </w:rPr>
  </w:style>
  <w:style w:type="character" w:customStyle="1" w:styleId="Underlined">
    <w:name w:val="Underlined"/>
    <w:basedOn w:val="DefaultParagraphFont"/>
    <w:rsid w:val="00CD610E"/>
    <w:rPr>
      <w:u w:val="single"/>
    </w:rPr>
  </w:style>
  <w:style w:type="paragraph" w:customStyle="1" w:styleId="TableBodyTextRight">
    <w:name w:val="Table Body Text Right"/>
    <w:basedOn w:val="TableBodyText"/>
    <w:rsid w:val="00CD610E"/>
    <w:pPr>
      <w:widowControl w:val="0"/>
      <w:autoSpaceDE w:val="0"/>
      <w:autoSpaceDN w:val="0"/>
      <w:adjustRightInd w:val="0"/>
      <w:jc w:val="right"/>
    </w:pPr>
    <w:rPr>
      <w:rFonts w:cs="Arial"/>
      <w:szCs w:val="18"/>
    </w:rPr>
  </w:style>
  <w:style w:type="paragraph" w:customStyle="1" w:styleId="CopyrightText">
    <w:name w:val="Copyright Text"/>
    <w:basedOn w:val="BodyText"/>
    <w:rsid w:val="00CD610E"/>
    <w:rPr>
      <w:sz w:val="18"/>
    </w:rPr>
  </w:style>
  <w:style w:type="paragraph" w:customStyle="1" w:styleId="BodySmallRight">
    <w:name w:val="Body Small Right"/>
    <w:basedOn w:val="BodyTextRight"/>
    <w:rsid w:val="00CD610E"/>
    <w:rPr>
      <w:sz w:val="18"/>
      <w:szCs w:val="18"/>
    </w:rPr>
  </w:style>
  <w:style w:type="paragraph" w:customStyle="1" w:styleId="MarginEdition">
    <w:name w:val="Margin Edition"/>
    <w:basedOn w:val="MarginNote"/>
    <w:rsid w:val="00CD610E"/>
    <w:pPr>
      <w:spacing w:before="0" w:after="0"/>
    </w:pPr>
    <w:rPr>
      <w:rFonts w:ascii="Times New Roman" w:hAnsi="Times New Roman"/>
      <w:color w:val="999999"/>
    </w:rPr>
  </w:style>
  <w:style w:type="paragraph" w:customStyle="1" w:styleId="Spacer">
    <w:name w:val="Spacer"/>
    <w:basedOn w:val="Normal"/>
    <w:rsid w:val="00CD610E"/>
    <w:rPr>
      <w:sz w:val="2"/>
      <w:szCs w:val="2"/>
    </w:rPr>
  </w:style>
  <w:style w:type="character" w:customStyle="1" w:styleId="Small">
    <w:name w:val="Small"/>
    <w:basedOn w:val="DefaultParagraphFont"/>
    <w:rsid w:val="00CD610E"/>
    <w:rPr>
      <w:sz w:val="16"/>
    </w:rPr>
  </w:style>
  <w:style w:type="paragraph" w:customStyle="1" w:styleId="WideTable">
    <w:name w:val="Wide Table"/>
    <w:basedOn w:val="Normal"/>
    <w:rsid w:val="00CD610E"/>
    <w:pPr>
      <w:ind w:left="-1418"/>
    </w:pPr>
    <w:rPr>
      <w:sz w:val="2"/>
      <w:szCs w:val="2"/>
    </w:rPr>
  </w:style>
  <w:style w:type="character" w:styleId="PageNumber">
    <w:name w:val="page number"/>
    <w:basedOn w:val="DefaultParagraphFont"/>
    <w:rsid w:val="00CD610E"/>
  </w:style>
  <w:style w:type="paragraph" w:styleId="Quote">
    <w:name w:val="Quote"/>
    <w:basedOn w:val="Heading1"/>
    <w:link w:val="QuoteChar"/>
    <w:qFormat/>
    <w:rsid w:val="00CD610E"/>
    <w:rPr>
      <w:b w:val="0"/>
      <w:sz w:val="72"/>
      <w:szCs w:val="72"/>
      <w:lang w:val="en-NZ"/>
    </w:rPr>
  </w:style>
  <w:style w:type="character" w:customStyle="1" w:styleId="QuoteChar">
    <w:name w:val="Quote Char"/>
    <w:basedOn w:val="DefaultParagraphFont"/>
    <w:link w:val="Quote"/>
    <w:rsid w:val="00CD6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10E"/>
    <w:pPr>
      <w:pageBreakBefore/>
    </w:pPr>
  </w:style>
  <w:style w:type="paragraph" w:customStyle="1" w:styleId="Border">
    <w:name w:val="Border"/>
    <w:basedOn w:val="Normal"/>
    <w:qFormat/>
    <w:rsid w:val="00CD6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10E"/>
    <w:rPr>
      <w:b/>
      <w:bCs/>
      <w:i/>
      <w:iCs/>
      <w:color w:val="auto"/>
    </w:rPr>
  </w:style>
  <w:style w:type="paragraph" w:styleId="IntenseQuote">
    <w:name w:val="Intense Quote"/>
    <w:basedOn w:val="Normal"/>
    <w:next w:val="Normal"/>
    <w:link w:val="IntenseQuoteChar"/>
    <w:uiPriority w:val="30"/>
    <w:qFormat/>
    <w:rsid w:val="00CD6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10E"/>
    <w:rPr>
      <w:smallCaps/>
      <w:color w:val="auto"/>
      <w:u w:val="single"/>
    </w:rPr>
  </w:style>
  <w:style w:type="character" w:styleId="IntenseReference">
    <w:name w:val="Intense Reference"/>
    <w:basedOn w:val="DefaultParagraphFont"/>
    <w:uiPriority w:val="32"/>
    <w:qFormat/>
    <w:rsid w:val="00CD610E"/>
    <w:rPr>
      <w:b/>
      <w:bCs/>
      <w:smallCaps/>
      <w:color w:val="auto"/>
      <w:spacing w:val="5"/>
      <w:u w:val="single"/>
    </w:rPr>
  </w:style>
  <w:style w:type="paragraph" w:customStyle="1" w:styleId="2ColumnHeading">
    <w:name w:val="2Column Heading"/>
    <w:basedOn w:val="BodyText"/>
    <w:qFormat/>
    <w:rsid w:val="00CD610E"/>
    <w:pPr>
      <w:spacing w:after="60"/>
      <w:ind w:left="-2268"/>
    </w:pPr>
    <w:rPr>
      <w:b/>
    </w:rPr>
  </w:style>
  <w:style w:type="paragraph" w:customStyle="1" w:styleId="Heading1TOC">
    <w:name w:val="Heading1 TOC"/>
    <w:basedOn w:val="Normal"/>
    <w:qFormat/>
    <w:rsid w:val="00CD610E"/>
    <w:pPr>
      <w:spacing w:before="240" w:after="120"/>
    </w:pPr>
    <w:rPr>
      <w:rFonts w:ascii="Times New Roman" w:hAnsi="Times New Roman"/>
      <w:b/>
      <w:sz w:val="32"/>
    </w:rPr>
  </w:style>
  <w:style w:type="paragraph" w:customStyle="1" w:styleId="Heading2TOC">
    <w:name w:val="Heading2 TOC"/>
    <w:basedOn w:val="Normal"/>
    <w:qFormat/>
    <w:rsid w:val="00CD610E"/>
    <w:pPr>
      <w:spacing w:before="240" w:after="60"/>
    </w:pPr>
    <w:rPr>
      <w:rFonts w:ascii="Times New Roman" w:hAnsi="Times New Roman"/>
      <w:b/>
      <w:sz w:val="28"/>
    </w:rPr>
  </w:style>
  <w:style w:type="character" w:customStyle="1" w:styleId="Underline">
    <w:name w:val="Underline"/>
    <w:basedOn w:val="DefaultParagraphFont"/>
    <w:qFormat/>
    <w:rsid w:val="00CD610E"/>
    <w:rPr>
      <w:u w:val="single"/>
    </w:rPr>
  </w:style>
  <w:style w:type="character" w:customStyle="1" w:styleId="BoldandItalics">
    <w:name w:val="Bold and Italics"/>
    <w:qFormat/>
    <w:rsid w:val="00CD610E"/>
    <w:rPr>
      <w:b/>
      <w:i/>
      <w:u w:val="none"/>
    </w:rPr>
  </w:style>
  <w:style w:type="paragraph" w:styleId="BalloonText">
    <w:name w:val="Balloon Text"/>
    <w:basedOn w:val="Normal"/>
    <w:link w:val="BalloonTextChar"/>
    <w:rsid w:val="00CD610E"/>
    <w:rPr>
      <w:rFonts w:ascii="Tahoma" w:hAnsi="Tahoma" w:cs="Tahoma"/>
      <w:sz w:val="16"/>
      <w:szCs w:val="16"/>
    </w:rPr>
  </w:style>
  <w:style w:type="character" w:customStyle="1" w:styleId="BalloonTextChar">
    <w:name w:val="Balloon Text Char"/>
    <w:basedOn w:val="DefaultParagraphFont"/>
    <w:link w:val="BalloonText"/>
    <w:rsid w:val="00CD6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10E"/>
    <w:rPr>
      <w:b/>
      <w:color w:val="660033"/>
      <w:spacing w:val="0"/>
    </w:rPr>
  </w:style>
  <w:style w:type="paragraph" w:customStyle="1" w:styleId="Nameditemlist">
    <w:name w:val="Named item list"/>
    <w:basedOn w:val="BodyText"/>
    <w:qFormat/>
    <w:rsid w:val="00CD610E"/>
    <w:pPr>
      <w:tabs>
        <w:tab w:val="left" w:pos="2835"/>
      </w:tabs>
      <w:ind w:left="2835" w:hanging="2835"/>
    </w:pPr>
  </w:style>
  <w:style w:type="paragraph" w:customStyle="1" w:styleId="BodyTextnopadding">
    <w:name w:val="Body Text no padding"/>
    <w:basedOn w:val="BodyText"/>
    <w:qFormat/>
    <w:rsid w:val="00CD610E"/>
    <w:pPr>
      <w:spacing w:before="0" w:after="0"/>
    </w:pPr>
  </w:style>
  <w:style w:type="paragraph" w:customStyle="1" w:styleId="BodyTextBold">
    <w:name w:val="Body Text Bold"/>
    <w:basedOn w:val="BodyText"/>
    <w:qFormat/>
    <w:rsid w:val="00CD610E"/>
    <w:rPr>
      <w:b/>
    </w:rPr>
  </w:style>
  <w:style w:type="character" w:styleId="Hyperlink">
    <w:name w:val="Hyperlink"/>
    <w:basedOn w:val="DefaultParagraphFont"/>
    <w:uiPriority w:val="99"/>
    <w:unhideWhenUsed/>
    <w:rsid w:val="00970C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5636</Characters>
  <Application>Microsoft Office Word</Application>
  <DocSecurity>0</DocSecurity>
  <Lines>176</Lines>
  <Paragraphs>124</Paragraphs>
  <ScaleCrop>false</ScaleCrop>
  <Company>Author-it Software Corporation Ltd.</Company>
  <LinksUpToDate>false</LinksUpToDate>
  <CharactersWithSpaces>6372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SITTTSL015 Administer billing and settlement plan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