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F6D" w:rsidP="00E00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SITTTSL015 Administer billing and settlement plan</w:t>
      </w:r>
      <w:r>
        <w:fldChar w:fldCharType="end"/>
      </w:r>
    </w:p>
    <w:p w:rsidR="00E00F6D" w:rsidP="00E00F6D">
      <w:pPr>
        <w:pStyle w:val="Version"/>
        <w:sectPr w:rsidSect="00D76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112" w:rsidP="00D76112">
      <w:pPr>
        <w:pStyle w:val="SuperHeading"/>
      </w:pPr>
      <w:r w:rsidRPr="00D76112">
        <w:t>Assessment Requirements for SITTTSL015 Administer billing and settlement plan</w:t>
      </w:r>
    </w:p>
    <w:p w:rsidR="00000000" w:rsidRPr="00D76112" w:rsidP="00D76112">
      <w:pPr>
        <w:pStyle w:val="Heading1"/>
      </w:pPr>
      <w:bookmarkStart w:id="1" w:name="O_768783"/>
      <w:bookmarkEnd w:id="1"/>
      <w:r w:rsidRPr="00D76112">
        <w:t>Modification History</w:t>
      </w:r>
    </w:p>
    <w:p w:rsidR="00000000" w:rsidRPr="00D76112" w:rsidP="00E00F6D">
      <w:pPr>
        <w:pStyle w:val="BodyText"/>
      </w:pPr>
      <w:r w:rsidRPr="00D76112">
        <w:t>Not applicable.</w:t>
      </w:r>
    </w:p>
    <w:p w:rsidR="00000000" w:rsidRPr="00D76112" w:rsidP="00D76112">
      <w:pPr>
        <w:pStyle w:val="Heading1"/>
      </w:pPr>
      <w:bookmarkStart w:id="2" w:name="O_768784"/>
      <w:bookmarkEnd w:id="2"/>
      <w:r w:rsidRPr="00D76112">
        <w:t>Performance Evidence</w:t>
      </w:r>
    </w:p>
    <w:p w:rsidR="00000000" w:rsidRPr="00D76112" w:rsidP="00E00F6D">
      <w:pPr>
        <w:pStyle w:val="BodyText"/>
      </w:pPr>
      <w:r w:rsidRPr="00D76112">
        <w:t xml:space="preserve">Evidence of the ability to complete tasks outlined in elements and performance criteria of this unit in the context of the job role, and: </w:t>
      </w:r>
    </w:p>
    <w:p w:rsidR="00000000" w:rsidRPr="00D76112" w:rsidP="00D76112">
      <w:pPr>
        <w:pStyle w:val="ListBullet"/>
      </w:pPr>
      <w:r w:rsidRPr="00D76112">
        <w:t>download, interpret and reconcile the agency billing analysis report in electronic or printed format over three repo</w:t>
      </w:r>
      <w:r w:rsidRPr="00D76112">
        <w:t xml:space="preserve">rting periods for each of the following: </w:t>
      </w:r>
    </w:p>
    <w:p w:rsidR="00000000" w:rsidRPr="00D76112" w:rsidP="00D76112">
      <w:pPr>
        <w:pStyle w:val="ListBullet2"/>
      </w:pPr>
      <w:r w:rsidRPr="00D76112">
        <w:t>domestic travel</w:t>
      </w:r>
    </w:p>
    <w:p w:rsidR="00000000" w:rsidRPr="00D76112" w:rsidP="00D76112">
      <w:pPr>
        <w:pStyle w:val="ListBullet2"/>
      </w:pPr>
      <w:r w:rsidRPr="00D76112">
        <w:t>international travel</w:t>
      </w:r>
    </w:p>
    <w:p w:rsidR="00000000" w:rsidRPr="00D76112" w:rsidP="00D76112">
      <w:pPr>
        <w:pStyle w:val="ListBullet"/>
      </w:pPr>
      <w:r w:rsidRPr="00D76112">
        <w:t>cover the full range of billing and settlement plan (BSP)  reporting procedures and requirements for above BSP activities</w:t>
      </w:r>
    </w:p>
    <w:p w:rsidR="00000000" w:rsidRPr="00D76112" w:rsidP="00D76112">
      <w:pPr>
        <w:pStyle w:val="ListBullet"/>
      </w:pPr>
      <w:r w:rsidRPr="00D76112">
        <w:t>complete BSP activities within agency time constraint</w:t>
      </w:r>
      <w:r w:rsidRPr="00D76112">
        <w:t>s and required reporting deadlines determined by the International Air Transport Association (IATA).</w:t>
      </w:r>
    </w:p>
    <w:p w:rsidR="00000000" w:rsidRPr="00D76112" w:rsidP="00D76112">
      <w:pPr>
        <w:pStyle w:val="AllowPageBreak"/>
      </w:pPr>
    </w:p>
    <w:p w:rsidR="00000000" w:rsidRPr="00D76112" w:rsidP="00D76112">
      <w:pPr>
        <w:pStyle w:val="Heading1"/>
      </w:pPr>
      <w:bookmarkStart w:id="3" w:name="O_768785"/>
      <w:bookmarkEnd w:id="3"/>
      <w:r w:rsidRPr="00D76112">
        <w:t>Knowledge Evidence</w:t>
      </w:r>
    </w:p>
    <w:p w:rsidR="00000000" w:rsidRPr="00D76112" w:rsidP="00E00F6D">
      <w:pPr>
        <w:pStyle w:val="BodyText"/>
      </w:pPr>
      <w:r w:rsidRPr="00D76112">
        <w:t>Demonstrated knowledge required to complete the tasks outlined in elements and performance criteria of this unit:</w:t>
      </w:r>
    </w:p>
    <w:p w:rsidR="00000000" w:rsidRPr="00D76112" w:rsidP="00D76112">
      <w:pPr>
        <w:pStyle w:val="ListBullet"/>
      </w:pPr>
      <w:r w:rsidRPr="00D76112">
        <w:t>role of IATA in billing and settlement plan</w:t>
      </w:r>
    </w:p>
    <w:p w:rsidR="00000000" w:rsidRPr="00D76112" w:rsidP="00D76112">
      <w:pPr>
        <w:pStyle w:val="ListBullet"/>
      </w:pPr>
      <w:r w:rsidRPr="00D76112">
        <w:t>IATA agency accreditation requirements</w:t>
      </w:r>
    </w:p>
    <w:p w:rsidR="00000000" w:rsidRPr="00D76112" w:rsidP="00D76112">
      <w:pPr>
        <w:pStyle w:val="ListBullet"/>
      </w:pPr>
      <w:r w:rsidRPr="00D76112">
        <w:t>IATA agency program and resolutions</w:t>
      </w:r>
    </w:p>
    <w:p w:rsidR="00000000" w:rsidRPr="00D76112" w:rsidP="00D76112">
      <w:pPr>
        <w:pStyle w:val="ListBullet"/>
      </w:pPr>
      <w:r w:rsidRPr="00D76112">
        <w:t>benefits of the BSP for IATA-accredited agents</w:t>
      </w:r>
    </w:p>
    <w:p w:rsidR="00000000" w:rsidRPr="00D76112" w:rsidP="00D76112">
      <w:pPr>
        <w:pStyle w:val="ListBullet"/>
      </w:pPr>
      <w:r w:rsidRPr="00D76112">
        <w:t>sources of BSP information and documents:</w:t>
      </w:r>
    </w:p>
    <w:p w:rsidR="00000000" w:rsidRPr="00D76112" w:rsidP="00D76112">
      <w:pPr>
        <w:pStyle w:val="ListBullet2"/>
      </w:pPr>
      <w:r w:rsidRPr="00D76112">
        <w:t>BSPlink</w:t>
      </w:r>
    </w:p>
    <w:p w:rsidR="00000000" w:rsidRPr="00D76112" w:rsidP="00D76112">
      <w:pPr>
        <w:pStyle w:val="ListBullet2"/>
      </w:pPr>
      <w:r w:rsidRPr="00D76112">
        <w:t>IATA newsletter communiqués and memoran</w:t>
      </w:r>
      <w:r w:rsidRPr="00D76112">
        <w:t>dums</w:t>
      </w:r>
    </w:p>
    <w:p w:rsidR="00000000" w:rsidRPr="00D76112" w:rsidP="00D76112">
      <w:pPr>
        <w:pStyle w:val="ListBullet"/>
      </w:pPr>
      <w:r w:rsidRPr="00D76112">
        <w:t>basic standard traffic documents and reports:</w:t>
      </w:r>
    </w:p>
    <w:p w:rsidR="00000000" w:rsidRPr="00D76112" w:rsidP="00D76112">
      <w:pPr>
        <w:pStyle w:val="ListBullet2"/>
      </w:pPr>
      <w:r w:rsidRPr="00D76112">
        <w:t>BSP process documentation</w:t>
      </w:r>
    </w:p>
    <w:p w:rsidR="00000000" w:rsidRPr="00D76112" w:rsidP="00D76112">
      <w:pPr>
        <w:pStyle w:val="ListBullet2"/>
      </w:pPr>
      <w:r w:rsidRPr="00D76112">
        <w:t>associated IATA resolutions</w:t>
      </w:r>
    </w:p>
    <w:p w:rsidR="00000000" w:rsidRPr="00D76112" w:rsidP="00D76112">
      <w:pPr>
        <w:pStyle w:val="ListBullet2"/>
      </w:pPr>
      <w:r w:rsidRPr="00D76112">
        <w:t>BSP reporting calendar</w:t>
      </w:r>
    </w:p>
    <w:p w:rsidR="00000000" w:rsidRPr="00D76112" w:rsidP="00D76112">
      <w:pPr>
        <w:pStyle w:val="ListBullet"/>
      </w:pPr>
      <w:r w:rsidRPr="00D76112">
        <w:t>BSPlink portal functionality:</w:t>
      </w:r>
    </w:p>
    <w:p w:rsidR="00000000" w:rsidRPr="00D76112" w:rsidP="00D76112">
      <w:pPr>
        <w:pStyle w:val="ListBullet2"/>
      </w:pPr>
      <w:r w:rsidRPr="00D76112">
        <w:t>managing user access</w:t>
      </w:r>
    </w:p>
    <w:p w:rsidR="00000000" w:rsidRPr="00D76112" w:rsidP="00D76112">
      <w:pPr>
        <w:pStyle w:val="ListBullet2"/>
      </w:pPr>
      <w:r w:rsidRPr="00D76112">
        <w:t>establishing agency groups</w:t>
      </w:r>
    </w:p>
    <w:p w:rsidR="00000000" w:rsidRPr="00D76112" w:rsidP="00D76112">
      <w:pPr>
        <w:pStyle w:val="ListBullet2"/>
      </w:pPr>
      <w:r w:rsidRPr="00D76112">
        <w:t>verifying ticketing authority</w:t>
      </w:r>
    </w:p>
    <w:p w:rsidR="00000000" w:rsidRPr="00D76112" w:rsidP="00D76112">
      <w:pPr>
        <w:pStyle w:val="ListBullet2"/>
      </w:pPr>
      <w:r w:rsidRPr="00D76112">
        <w:t>ret</w:t>
      </w:r>
      <w:r w:rsidRPr="00D76112">
        <w:t>rieving agency credit and debit memorandums</w:t>
      </w:r>
    </w:p>
    <w:p w:rsidR="00000000" w:rsidRPr="00D76112" w:rsidP="00D76112">
      <w:pPr>
        <w:pStyle w:val="ListBullet"/>
      </w:pPr>
      <w:r w:rsidRPr="00D76112">
        <w:t>contents and procedures for using BSP for:</w:t>
      </w:r>
    </w:p>
    <w:p w:rsidR="00000000" w:rsidRPr="00D76112" w:rsidP="00D76112">
      <w:pPr>
        <w:pStyle w:val="ListBullet2"/>
      </w:pPr>
      <w:r w:rsidRPr="00D76112">
        <w:t>agency billing analysis and sales reports</w:t>
      </w:r>
    </w:p>
    <w:p w:rsidR="00000000" w:rsidRPr="00D76112" w:rsidP="00D76112">
      <w:pPr>
        <w:pStyle w:val="ListBullet2"/>
      </w:pPr>
      <w:r w:rsidRPr="00D76112">
        <w:t>billing statements</w:t>
      </w:r>
    </w:p>
    <w:p w:rsidR="00000000" w:rsidRPr="00D76112" w:rsidP="00D76112">
      <w:pPr>
        <w:pStyle w:val="ListBullet2"/>
      </w:pPr>
      <w:r w:rsidRPr="00D76112">
        <w:t>agency debit and credit memos</w:t>
      </w:r>
    </w:p>
    <w:p w:rsidR="00000000" w:rsidRPr="00D76112" w:rsidP="00D76112">
      <w:pPr>
        <w:pStyle w:val="ListBullet2"/>
      </w:pPr>
      <w:r w:rsidRPr="00D76112">
        <w:t>credit card charge forms</w:t>
      </w:r>
    </w:p>
    <w:p w:rsidR="00000000" w:rsidRPr="00D76112" w:rsidP="00D76112">
      <w:pPr>
        <w:pStyle w:val="ListBullet2"/>
      </w:pPr>
      <w:r w:rsidRPr="00D76112">
        <w:t>refund applications and notices</w:t>
      </w:r>
    </w:p>
    <w:p w:rsidR="00000000" w:rsidRPr="00D76112" w:rsidP="00D76112">
      <w:pPr>
        <w:pStyle w:val="ListBullet"/>
      </w:pPr>
      <w:r w:rsidRPr="00D76112">
        <w:t>BSP process flow</w:t>
      </w:r>
    </w:p>
    <w:p w:rsidR="00000000" w:rsidRPr="00D76112" w:rsidP="00D76112">
      <w:pPr>
        <w:pStyle w:val="ListBullet"/>
      </w:pPr>
      <w:r w:rsidRPr="00D76112">
        <w:t>B</w:t>
      </w:r>
      <w:r w:rsidRPr="00D76112">
        <w:t>SP procedures for actioning discrepancies in billing and settlement reports</w:t>
      </w:r>
    </w:p>
    <w:p w:rsidR="00000000" w:rsidRPr="00D76112" w:rsidP="00D76112">
      <w:pPr>
        <w:pStyle w:val="ListBullet"/>
      </w:pPr>
      <w:r w:rsidRPr="00D76112">
        <w:t>sales and transaction reporting procedures and requirements for the IATA data processing centre</w:t>
      </w:r>
    </w:p>
    <w:p w:rsidR="00000000" w:rsidRPr="00D76112" w:rsidP="00D76112">
      <w:pPr>
        <w:pStyle w:val="ListBullet"/>
      </w:pPr>
      <w:r w:rsidRPr="00D76112">
        <w:t>BSP reporting timeframes</w:t>
      </w:r>
    </w:p>
    <w:p w:rsidR="00000000" w:rsidRPr="00D76112" w:rsidP="00D76112">
      <w:pPr>
        <w:pStyle w:val="ListBullet"/>
      </w:pPr>
      <w:r w:rsidRPr="00D76112">
        <w:t>airfare pricing and ticketing procedures.</w:t>
      </w:r>
    </w:p>
    <w:p w:rsidR="00000000" w:rsidRPr="00D76112" w:rsidP="00D76112">
      <w:pPr>
        <w:pStyle w:val="AllowPageBreak"/>
      </w:pPr>
    </w:p>
    <w:p w:rsidR="00000000" w:rsidRPr="00D76112" w:rsidP="00D76112">
      <w:pPr>
        <w:pStyle w:val="Heading1"/>
      </w:pPr>
      <w:bookmarkStart w:id="4" w:name="O_768786"/>
      <w:bookmarkEnd w:id="4"/>
      <w:r w:rsidRPr="00D76112">
        <w:t>Assessment Conditions</w:t>
      </w:r>
    </w:p>
    <w:p w:rsidR="00000000" w:rsidRPr="00D76112" w:rsidP="00E00F6D">
      <w:pPr>
        <w:pStyle w:val="BodyText"/>
      </w:pPr>
      <w:r w:rsidRPr="00D76112">
        <w:t>Skills must be demonstrated in a tourism or travel business operation or activity that is IATA accredited to sell and ticket airfares and undertakes BSP reporting. This can be:</w:t>
      </w:r>
    </w:p>
    <w:p w:rsidR="00000000" w:rsidRPr="00D76112" w:rsidP="00D76112">
      <w:pPr>
        <w:pStyle w:val="ListBullet"/>
      </w:pPr>
      <w:r w:rsidRPr="00D76112">
        <w:t>an industry workplace</w:t>
      </w:r>
    </w:p>
    <w:p w:rsidR="00000000" w:rsidRPr="00D76112" w:rsidP="00D76112">
      <w:pPr>
        <w:pStyle w:val="ListBullet"/>
      </w:pPr>
      <w:r w:rsidRPr="00D76112">
        <w:t>a simulated industry environment s</w:t>
      </w:r>
      <w:r w:rsidRPr="00D76112">
        <w:t>et up for the purpose of assessment.</w:t>
      </w:r>
    </w:p>
    <w:p w:rsidR="00000000" w:rsidRPr="00D76112" w:rsidP="00D76112">
      <w:pPr>
        <w:pStyle w:val="BodyText"/>
      </w:pPr>
    </w:p>
    <w:p w:rsidR="00000000" w:rsidRPr="00D76112" w:rsidP="00E00F6D">
      <w:pPr>
        <w:pStyle w:val="BodyText"/>
      </w:pPr>
      <w:r w:rsidRPr="00D76112">
        <w:t>Assessment must ensure access to:</w:t>
      </w:r>
    </w:p>
    <w:p w:rsidR="00000000" w:rsidRPr="00D76112" w:rsidP="00D76112">
      <w:pPr>
        <w:pStyle w:val="ListBullet"/>
      </w:pPr>
      <w:r w:rsidRPr="00D76112">
        <w:t>computers and software programs currently used in the tourism or travel industry to control the administration of billing and settlement plans</w:t>
      </w:r>
    </w:p>
    <w:p w:rsidR="00000000" w:rsidRPr="00D76112" w:rsidP="00D76112">
      <w:pPr>
        <w:pStyle w:val="ListBullet"/>
      </w:pPr>
      <w:r w:rsidRPr="00D76112">
        <w:t>current actual or training facsimile IAT</w:t>
      </w:r>
      <w:r w:rsidRPr="00D76112">
        <w:t>A BSP documentation, and agency billing analysis reports</w:t>
      </w:r>
    </w:p>
    <w:p w:rsidR="00000000" w:rsidRPr="00D76112" w:rsidP="00D76112">
      <w:pPr>
        <w:pStyle w:val="ListBullet"/>
      </w:pPr>
      <w:r w:rsidRPr="00D76112">
        <w:t>internet and email</w:t>
      </w:r>
    </w:p>
    <w:p w:rsidR="00000000" w:rsidRPr="00D76112" w:rsidP="00D76112">
      <w:pPr>
        <w:pStyle w:val="ListBullet"/>
      </w:pPr>
      <w:r w:rsidRPr="00D76112">
        <w:t>printers and scanners</w:t>
      </w:r>
    </w:p>
    <w:p w:rsidR="00000000" w:rsidRPr="00D76112" w:rsidP="00D76112">
      <w:pPr>
        <w:pStyle w:val="ListBullet"/>
      </w:pPr>
      <w:r w:rsidRPr="00D76112">
        <w:t>storage for computer data.</w:t>
      </w:r>
    </w:p>
    <w:p w:rsidR="00000000" w:rsidRPr="00D76112" w:rsidP="00D76112">
      <w:pPr>
        <w:pStyle w:val="BodyText"/>
      </w:pPr>
    </w:p>
    <w:p w:rsidR="00000000" w:rsidRPr="00D76112" w:rsidP="00E00F6D">
      <w:pPr>
        <w:pStyle w:val="BodyText"/>
      </w:pPr>
      <w:r w:rsidRPr="00D76112">
        <w:t>Assessors must satisfy the Standards for Registered Training Organisations’ requirements for assessors; and:</w:t>
      </w:r>
    </w:p>
    <w:p w:rsidR="00000000" w:rsidRPr="00D76112" w:rsidP="00D76112">
      <w:pPr>
        <w:pStyle w:val="ListBullet"/>
      </w:pPr>
      <w:r w:rsidRPr="00D76112">
        <w:t>have worked in indus</w:t>
      </w:r>
      <w:r w:rsidRPr="00D76112">
        <w:t>try for at least three years where they have applied the skills and knowledge of this unit of competency.</w:t>
      </w:r>
    </w:p>
    <w:p w:rsidR="00000000" w:rsidRPr="00D76112" w:rsidP="00D76112">
      <w:pPr>
        <w:pStyle w:val="AllowPageBreak"/>
      </w:pPr>
    </w:p>
    <w:p w:rsidR="00000000" w:rsidRPr="00D76112" w:rsidP="00D76112">
      <w:pPr>
        <w:pStyle w:val="Heading1"/>
      </w:pPr>
      <w:bookmarkStart w:id="5" w:name="O_768789"/>
      <w:bookmarkEnd w:id="5"/>
      <w:r w:rsidRPr="00D76112">
        <w:t>Links</w:t>
      </w:r>
    </w:p>
    <w:p w:rsidR="00000000" w:rsidRPr="00D76112" w:rsidP="00E00F6D">
      <w:pPr>
        <w:pStyle w:val="BodyText"/>
      </w:pPr>
      <w:r w:rsidRPr="00D76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A3FE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76112" w:rsidP="00D76112"/>
    <w:sectPr w:rsidSect="00D761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2" w:rsidRPr="00E00F6D" w:rsidP="00E00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6D" w:rsidP="00D76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F6D" w:rsidP="00D76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0F6D" w:rsidP="00D76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112" w:rsidRPr="00E00F6D" w:rsidP="00E00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6D" w:rsidRPr="002D2AF8" w:rsidP="00D76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SITTTSL015 Administer billing and settlement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00F6D" w:rsidP="00D76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D0F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8C3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6A7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112"/>
  </w:style>
  <w:style w:type="character" w:customStyle="1" w:styleId="Heading1Char">
    <w:name w:val="Heading 1 Char"/>
    <w:basedOn w:val="DefaultParagraphFont"/>
    <w:link w:val="Heading1"/>
    <w:rsid w:val="00D76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1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1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6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112"/>
    <w:rPr>
      <w:b/>
      <w:spacing w:val="0"/>
    </w:rPr>
  </w:style>
  <w:style w:type="paragraph" w:customStyle="1" w:styleId="SuperTitle">
    <w:name w:val="SuperTitle"/>
    <w:basedOn w:val="Title"/>
    <w:rsid w:val="00D76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1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112"/>
    <w:rPr>
      <w:i/>
    </w:rPr>
  </w:style>
  <w:style w:type="paragraph" w:styleId="Caption">
    <w:name w:val="caption"/>
    <w:basedOn w:val="BodyText"/>
    <w:next w:val="Normal"/>
    <w:qFormat/>
    <w:rsid w:val="00D76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112"/>
  </w:style>
  <w:style w:type="paragraph" w:styleId="TableofFigures">
    <w:name w:val="table of figures"/>
    <w:basedOn w:val="Normal"/>
    <w:next w:val="Normal"/>
    <w:semiHidden/>
    <w:rsid w:val="00D76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1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112"/>
    <w:rPr>
      <w:rFonts w:ascii="Wingdings" w:hAnsi="Wingdings"/>
    </w:rPr>
  </w:style>
  <w:style w:type="paragraph" w:customStyle="1" w:styleId="TableHeading">
    <w:name w:val="Table Heading"/>
    <w:basedOn w:val="HeadingBase"/>
    <w:rsid w:val="00D76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112"/>
    <w:rPr>
      <w:color w:val="0033CC"/>
      <w:u w:val="none"/>
    </w:rPr>
  </w:style>
  <w:style w:type="paragraph" w:customStyle="1" w:styleId="BodyTextRight">
    <w:name w:val="Body Text Right"/>
    <w:basedOn w:val="BodyText"/>
    <w:rsid w:val="00D76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1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112"/>
    <w:rPr>
      <w:sz w:val="32"/>
    </w:rPr>
  </w:style>
  <w:style w:type="paragraph" w:customStyle="1" w:styleId="HeadingProcedure">
    <w:name w:val="Heading Procedure"/>
    <w:basedOn w:val="HeadingBase"/>
    <w:next w:val="Normal"/>
    <w:rsid w:val="00D76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112"/>
    <w:pPr>
      <w:spacing w:before="60" w:after="60"/>
    </w:pPr>
  </w:style>
  <w:style w:type="paragraph" w:styleId="ListContinue">
    <w:name w:val="List Continue"/>
    <w:basedOn w:val="List"/>
    <w:rsid w:val="00D76112"/>
    <w:pPr>
      <w:ind w:firstLine="0"/>
    </w:pPr>
  </w:style>
  <w:style w:type="paragraph" w:customStyle="1" w:styleId="ListNote">
    <w:name w:val="List Note"/>
    <w:basedOn w:val="List"/>
    <w:rsid w:val="00D76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112"/>
    <w:rPr>
      <w:rFonts w:ascii="Courier New" w:hAnsi="Courier New"/>
    </w:rPr>
  </w:style>
  <w:style w:type="paragraph" w:customStyle="1" w:styleId="NoteBullet">
    <w:name w:val="Note Bullet"/>
    <w:basedOn w:val="Note"/>
    <w:rsid w:val="00D76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1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112"/>
    <w:rPr>
      <w:b/>
      <w:smallCaps/>
    </w:rPr>
  </w:style>
  <w:style w:type="paragraph" w:customStyle="1" w:styleId="TableListNumber">
    <w:name w:val="Table List Number"/>
    <w:basedOn w:val="ListNumber"/>
    <w:rsid w:val="00D76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112"/>
    <w:pPr>
      <w:numPr>
        <w:numId w:val="9"/>
      </w:numPr>
    </w:pPr>
  </w:style>
  <w:style w:type="paragraph" w:customStyle="1" w:styleId="ListAlpha2">
    <w:name w:val="List Alpha 2"/>
    <w:basedOn w:val="List2"/>
    <w:rsid w:val="00D76112"/>
    <w:pPr>
      <w:numPr>
        <w:numId w:val="8"/>
      </w:numPr>
    </w:pPr>
  </w:style>
  <w:style w:type="paragraph" w:styleId="List2">
    <w:name w:val="List 2"/>
    <w:basedOn w:val="BodyText"/>
    <w:rsid w:val="00D76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1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1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112"/>
    <w:pPr>
      <w:numPr>
        <w:numId w:val="4"/>
      </w:numPr>
    </w:pPr>
  </w:style>
  <w:style w:type="paragraph" w:styleId="ListContinue2">
    <w:name w:val="List Continue 2"/>
    <w:basedOn w:val="List2"/>
    <w:rsid w:val="00D76112"/>
    <w:pPr>
      <w:ind w:firstLine="0"/>
    </w:pPr>
  </w:style>
  <w:style w:type="paragraph" w:styleId="ListContinue3">
    <w:name w:val="List Continue 3"/>
    <w:basedOn w:val="List3"/>
    <w:rsid w:val="00D76112"/>
    <w:pPr>
      <w:ind w:left="1021" w:firstLine="0"/>
    </w:pPr>
  </w:style>
  <w:style w:type="paragraph" w:styleId="ListContinue4">
    <w:name w:val="List Continue 4"/>
    <w:basedOn w:val="List4"/>
    <w:rsid w:val="00D76112"/>
    <w:pPr>
      <w:ind w:firstLine="0"/>
    </w:pPr>
  </w:style>
  <w:style w:type="paragraph" w:styleId="ListContinue5">
    <w:name w:val="List Continue 5"/>
    <w:basedOn w:val="List5"/>
    <w:rsid w:val="00D76112"/>
    <w:pPr>
      <w:ind w:firstLine="0"/>
    </w:pPr>
  </w:style>
  <w:style w:type="paragraph" w:styleId="ListNumber3">
    <w:name w:val="List Number 3"/>
    <w:basedOn w:val="List3"/>
    <w:rsid w:val="00D76112"/>
    <w:pPr>
      <w:numPr>
        <w:numId w:val="5"/>
      </w:numPr>
    </w:pPr>
  </w:style>
  <w:style w:type="paragraph" w:styleId="ListNumber4">
    <w:name w:val="List Number 4"/>
    <w:basedOn w:val="List4"/>
    <w:rsid w:val="00D76112"/>
    <w:pPr>
      <w:numPr>
        <w:numId w:val="6"/>
      </w:numPr>
    </w:pPr>
  </w:style>
  <w:style w:type="paragraph" w:styleId="ListNumber5">
    <w:name w:val="List Number 5"/>
    <w:basedOn w:val="List5"/>
    <w:rsid w:val="00D76112"/>
    <w:pPr>
      <w:numPr>
        <w:numId w:val="7"/>
      </w:numPr>
    </w:pPr>
  </w:style>
  <w:style w:type="paragraph" w:styleId="BlockText">
    <w:name w:val="Block Text"/>
    <w:basedOn w:val="Normal"/>
    <w:rsid w:val="00D76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112"/>
    <w:rPr>
      <w:sz w:val="16"/>
      <w:vertAlign w:val="superscript"/>
    </w:rPr>
  </w:style>
  <w:style w:type="character" w:customStyle="1" w:styleId="Symbols">
    <w:name w:val="Symbols"/>
    <w:basedOn w:val="DefaultParagraphFont"/>
    <w:rsid w:val="00D76112"/>
    <w:rPr>
      <w:rFonts w:ascii="Symbol" w:hAnsi="Symbol"/>
    </w:rPr>
  </w:style>
  <w:style w:type="character" w:customStyle="1" w:styleId="MenuOptions">
    <w:name w:val="Menu Options"/>
    <w:basedOn w:val="DefaultParagraphFont"/>
    <w:rsid w:val="00D76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112"/>
    <w:rPr>
      <w:b/>
    </w:rPr>
  </w:style>
  <w:style w:type="character" w:customStyle="1" w:styleId="Underlined">
    <w:name w:val="Underlined"/>
    <w:basedOn w:val="DefaultParagraphFont"/>
    <w:rsid w:val="00D76112"/>
    <w:rPr>
      <w:u w:val="single"/>
    </w:rPr>
  </w:style>
  <w:style w:type="paragraph" w:customStyle="1" w:styleId="TableBodyTextRight">
    <w:name w:val="Table Body Text Right"/>
    <w:basedOn w:val="TableBodyText"/>
    <w:rsid w:val="00D76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112"/>
    <w:rPr>
      <w:sz w:val="18"/>
    </w:rPr>
  </w:style>
  <w:style w:type="paragraph" w:customStyle="1" w:styleId="BodySmallRight">
    <w:name w:val="Body Small Right"/>
    <w:basedOn w:val="BodyTextRight"/>
    <w:rsid w:val="00D76112"/>
    <w:rPr>
      <w:sz w:val="18"/>
      <w:szCs w:val="18"/>
    </w:rPr>
  </w:style>
  <w:style w:type="paragraph" w:customStyle="1" w:styleId="MarginEdition">
    <w:name w:val="Margin Edition"/>
    <w:basedOn w:val="MarginNote"/>
    <w:rsid w:val="00D76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112"/>
    <w:rPr>
      <w:sz w:val="2"/>
      <w:szCs w:val="2"/>
    </w:rPr>
  </w:style>
  <w:style w:type="character" w:customStyle="1" w:styleId="Small">
    <w:name w:val="Small"/>
    <w:basedOn w:val="DefaultParagraphFont"/>
    <w:rsid w:val="00D76112"/>
    <w:rPr>
      <w:sz w:val="16"/>
    </w:rPr>
  </w:style>
  <w:style w:type="paragraph" w:customStyle="1" w:styleId="WideTable">
    <w:name w:val="Wide Table"/>
    <w:basedOn w:val="Normal"/>
    <w:rsid w:val="00D76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112"/>
  </w:style>
  <w:style w:type="paragraph" w:styleId="Quote">
    <w:name w:val="Quote"/>
    <w:basedOn w:val="Heading1"/>
    <w:link w:val="QuoteChar"/>
    <w:qFormat/>
    <w:rsid w:val="00D76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112"/>
    <w:pPr>
      <w:pageBreakBefore/>
    </w:pPr>
  </w:style>
  <w:style w:type="paragraph" w:customStyle="1" w:styleId="Border">
    <w:name w:val="Border"/>
    <w:basedOn w:val="Normal"/>
    <w:qFormat/>
    <w:rsid w:val="00D76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112"/>
    <w:rPr>
      <w:u w:val="single"/>
    </w:rPr>
  </w:style>
  <w:style w:type="character" w:customStyle="1" w:styleId="BoldandItalics">
    <w:name w:val="Bold and Italics"/>
    <w:qFormat/>
    <w:rsid w:val="00D76112"/>
    <w:rPr>
      <w:b/>
      <w:i/>
      <w:u w:val="none"/>
    </w:rPr>
  </w:style>
  <w:style w:type="paragraph" w:styleId="BalloonText">
    <w:name w:val="Balloon Text"/>
    <w:basedOn w:val="Normal"/>
    <w:link w:val="BalloonTextChar"/>
    <w:rsid w:val="00D76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112"/>
    <w:pPr>
      <w:spacing w:before="0" w:after="0"/>
    </w:pPr>
  </w:style>
  <w:style w:type="paragraph" w:customStyle="1" w:styleId="BodyTextBold">
    <w:name w:val="Body Text Bold"/>
    <w:basedOn w:val="BodyText"/>
    <w:qFormat/>
    <w:rsid w:val="00D76112"/>
    <w:rPr>
      <w:b/>
    </w:rPr>
  </w:style>
  <w:style w:type="character" w:styleId="Hyperlink">
    <w:name w:val="Hyperlink"/>
    <w:basedOn w:val="DefaultParagraphFont"/>
    <w:uiPriority w:val="99"/>
    <w:unhideWhenUsed/>
    <w:rsid w:val="00E00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2730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SITTTSL015 Administer billing and settlement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