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178F" w:rsidP="00AB17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SITTGDE022 Prepare specialised interpretive content on cultural and heritage environments</w:t>
      </w:r>
      <w:r>
        <w:fldChar w:fldCharType="end"/>
      </w:r>
    </w:p>
    <w:p w:rsidR="00AB178F" w:rsidP="00AB178F">
      <w:pPr>
        <w:pStyle w:val="Version"/>
        <w:sectPr w:rsidSect="00A634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342D" w:rsidP="00A6342D">
      <w:pPr>
        <w:pStyle w:val="SuperHeading"/>
      </w:pPr>
      <w:r w:rsidRPr="00A6342D">
        <w:t>Assessment Requirements for SITTGDE022 Prepare specialised interpretive content on cultural and heritage environments</w:t>
      </w:r>
    </w:p>
    <w:p w:rsidR="00000000" w:rsidRPr="00A6342D" w:rsidP="00A6342D">
      <w:pPr>
        <w:pStyle w:val="Heading1"/>
      </w:pPr>
      <w:bookmarkStart w:id="1" w:name="O_1230250"/>
      <w:bookmarkEnd w:id="1"/>
      <w:r w:rsidRPr="00A6342D">
        <w:t>Modification History</w:t>
      </w:r>
    </w:p>
    <w:p w:rsidR="00000000" w:rsidRPr="00A6342D" w:rsidP="00AB178F">
      <w:pPr>
        <w:pStyle w:val="BodyText"/>
      </w:pPr>
      <w:r w:rsidRPr="00A6342D">
        <w:t>Not applicable.</w:t>
      </w:r>
    </w:p>
    <w:p w:rsidR="00000000" w:rsidRPr="00A6342D" w:rsidP="00A6342D">
      <w:pPr>
        <w:pStyle w:val="Heading1"/>
      </w:pPr>
      <w:bookmarkStart w:id="2" w:name="O_1230253"/>
      <w:bookmarkEnd w:id="2"/>
      <w:r w:rsidRPr="00A6342D">
        <w:t>Performance Evidence</w:t>
      </w:r>
    </w:p>
    <w:p w:rsidR="00000000" w:rsidRPr="00A6342D" w:rsidP="00AB178F">
      <w:pPr>
        <w:pStyle w:val="BodyText"/>
      </w:pPr>
      <w:r w:rsidRPr="00A6342D">
        <w:t>Evidence of the ability to complete tasks outlined in elements and performance criteria of this unit in the context of the job role, and:</w:t>
      </w:r>
    </w:p>
    <w:p w:rsidR="00000000" w:rsidRPr="00A6342D" w:rsidP="00A6342D">
      <w:pPr>
        <w:pStyle w:val="ListBullet"/>
      </w:pPr>
      <w:r w:rsidRPr="00A6342D">
        <w:t>prepare three different presentations and with each presentation:</w:t>
      </w:r>
    </w:p>
    <w:p w:rsidR="00000000" w:rsidRPr="00A6342D" w:rsidP="00A6342D">
      <w:pPr>
        <w:pStyle w:val="ListBullet2"/>
      </w:pPr>
      <w:r w:rsidRPr="00A6342D">
        <w:t>use at least four credible and reliable sources of</w:t>
      </w:r>
      <w:r w:rsidRPr="00A6342D">
        <w:t xml:space="preserve"> information</w:t>
      </w:r>
    </w:p>
    <w:p w:rsidR="00000000" w:rsidRPr="00A6342D" w:rsidP="00A6342D">
      <w:pPr>
        <w:pStyle w:val="ListBullet2"/>
      </w:pPr>
      <w:r w:rsidRPr="00A6342D">
        <w:t>include information about cultural and heritage environments as listed in the knowledge evidence</w:t>
      </w:r>
    </w:p>
    <w:p w:rsidR="00000000" w:rsidRPr="00A6342D" w:rsidP="00A6342D">
      <w:pPr>
        <w:pStyle w:val="ListBullet2"/>
      </w:pPr>
      <w:r w:rsidRPr="00A6342D">
        <w:t>use appropriate cultural and heritage terminology and concepts</w:t>
      </w:r>
    </w:p>
    <w:p w:rsidR="00000000" w:rsidRPr="00A6342D" w:rsidP="00A6342D">
      <w:pPr>
        <w:pStyle w:val="ListBullet2"/>
      </w:pPr>
      <w:r w:rsidRPr="00A6342D">
        <w:t>incorporate interpretive themes and messages</w:t>
      </w:r>
    </w:p>
    <w:p w:rsidR="00000000" w:rsidRPr="00A6342D" w:rsidP="00A6342D">
      <w:pPr>
        <w:pStyle w:val="ListBullet2"/>
      </w:pPr>
      <w:r w:rsidRPr="00A6342D">
        <w:t xml:space="preserve">organise information in a logical and </w:t>
      </w:r>
      <w:r w:rsidRPr="00A6342D">
        <w:t>suitable manner for presentation.</w:t>
      </w:r>
    </w:p>
    <w:p w:rsidR="00000000" w:rsidRPr="00A6342D" w:rsidP="00A6342D">
      <w:pPr>
        <w:pStyle w:val="AllowPageBreak"/>
      </w:pPr>
    </w:p>
    <w:p w:rsidR="00000000" w:rsidRPr="00A6342D" w:rsidP="00A6342D">
      <w:pPr>
        <w:pStyle w:val="Heading1"/>
      </w:pPr>
      <w:bookmarkStart w:id="3" w:name="O_1230252"/>
      <w:bookmarkEnd w:id="3"/>
      <w:r w:rsidRPr="00A6342D">
        <w:t>Knowledge Evidence</w:t>
      </w:r>
    </w:p>
    <w:p w:rsidR="00000000" w:rsidRPr="00A6342D" w:rsidP="00AB178F">
      <w:pPr>
        <w:pStyle w:val="BodyText"/>
      </w:pPr>
      <w:r w:rsidRPr="00A6342D">
        <w:t>Demonstrated knowledge required to complete the tasks outlined in elements and performance criteria of this unit:</w:t>
      </w:r>
    </w:p>
    <w:p w:rsidR="00000000" w:rsidRPr="00A6342D" w:rsidP="00A6342D">
      <w:pPr>
        <w:pStyle w:val="ListBullet"/>
      </w:pPr>
      <w:r w:rsidRPr="00A6342D">
        <w:t>the role of interpretation in creating a powerful customer experience</w:t>
      </w:r>
    </w:p>
    <w:p w:rsidR="00000000" w:rsidRPr="00A6342D" w:rsidP="00A6342D">
      <w:pPr>
        <w:pStyle w:val="ListBullet"/>
      </w:pPr>
      <w:r w:rsidRPr="00A6342D">
        <w:t>current interpretive theory, methods and media</w:t>
      </w:r>
    </w:p>
    <w:p w:rsidR="00000000" w:rsidRPr="00A6342D" w:rsidP="00A6342D">
      <w:pPr>
        <w:pStyle w:val="ListBullet"/>
      </w:pPr>
      <w:r w:rsidRPr="00A6342D">
        <w:t>key methods to structure information for different audiences</w:t>
      </w:r>
    </w:p>
    <w:p w:rsidR="00000000" w:rsidRPr="00A6342D" w:rsidP="00A6342D">
      <w:pPr>
        <w:pStyle w:val="ListBullet"/>
      </w:pPr>
      <w:r w:rsidRPr="00A6342D">
        <w:t>sources of information on cultural and heritage environments</w:t>
      </w:r>
    </w:p>
    <w:p w:rsidR="00000000" w:rsidRPr="00A6342D" w:rsidP="00A6342D">
      <w:pPr>
        <w:pStyle w:val="ListBullet"/>
      </w:pPr>
      <w:r w:rsidRPr="00A6342D">
        <w:t>cultural and heritage environments, natural and built:</w:t>
      </w:r>
    </w:p>
    <w:p w:rsidR="00000000" w:rsidRPr="00A6342D" w:rsidP="00A6342D">
      <w:pPr>
        <w:pStyle w:val="ListBullet2"/>
      </w:pPr>
      <w:r w:rsidRPr="00A6342D">
        <w:t>art galleries</w:t>
      </w:r>
    </w:p>
    <w:p w:rsidR="00000000" w:rsidRPr="00A6342D" w:rsidP="00A6342D">
      <w:pPr>
        <w:pStyle w:val="ListBullet2"/>
      </w:pPr>
      <w:r w:rsidRPr="00A6342D">
        <w:t>cultural centres</w:t>
      </w:r>
    </w:p>
    <w:p w:rsidR="00000000" w:rsidRPr="00A6342D" w:rsidP="00A6342D">
      <w:pPr>
        <w:pStyle w:val="ListBullet2"/>
      </w:pPr>
      <w:r w:rsidRPr="00A6342D">
        <w:t>heritage trails</w:t>
      </w:r>
    </w:p>
    <w:p w:rsidR="00000000" w:rsidRPr="00A6342D" w:rsidP="00A6342D">
      <w:pPr>
        <w:pStyle w:val="ListBullet2"/>
      </w:pPr>
      <w:r w:rsidRPr="00A6342D">
        <w:t>historic localities or regions</w:t>
      </w:r>
    </w:p>
    <w:p w:rsidR="00000000" w:rsidRPr="00A6342D" w:rsidP="00A6342D">
      <w:pPr>
        <w:pStyle w:val="ListBullet2"/>
      </w:pPr>
      <w:r w:rsidRPr="00A6342D">
        <w:t>historic theme parks</w:t>
      </w:r>
    </w:p>
    <w:p w:rsidR="00000000" w:rsidRPr="00A6342D" w:rsidP="00A6342D">
      <w:pPr>
        <w:pStyle w:val="ListBullet2"/>
      </w:pPr>
      <w:r w:rsidRPr="00A6342D">
        <w:t>Indigenous art or occupation sites</w:t>
      </w:r>
    </w:p>
    <w:p w:rsidR="00000000" w:rsidRPr="00A6342D" w:rsidP="00A6342D">
      <w:pPr>
        <w:pStyle w:val="ListBullet2"/>
      </w:pPr>
      <w:r w:rsidRPr="00A6342D">
        <w:t>museums</w:t>
      </w:r>
    </w:p>
    <w:p w:rsidR="00000000" w:rsidRPr="00A6342D" w:rsidP="00A6342D">
      <w:pPr>
        <w:pStyle w:val="ListBullet2"/>
      </w:pPr>
      <w:r w:rsidRPr="00A6342D">
        <w:t>prehistoric and fossil sites</w:t>
      </w:r>
    </w:p>
    <w:p w:rsidR="00000000" w:rsidRPr="00A6342D" w:rsidP="00A6342D">
      <w:pPr>
        <w:pStyle w:val="ListBullet"/>
      </w:pPr>
      <w:r w:rsidRPr="00A6342D">
        <w:t>nature and significance of each cultural or heritage environment:</w:t>
      </w:r>
    </w:p>
    <w:p w:rsidR="00000000" w:rsidRPr="00A6342D" w:rsidP="00A6342D">
      <w:pPr>
        <w:pStyle w:val="ListBullet2"/>
      </w:pPr>
      <w:r w:rsidRPr="00A6342D">
        <w:t>how the environment developed and evolved</w:t>
      </w:r>
    </w:p>
    <w:p w:rsidR="00000000" w:rsidRPr="00A6342D" w:rsidP="00A6342D">
      <w:pPr>
        <w:pStyle w:val="ListBullet2"/>
      </w:pPr>
      <w:r w:rsidRPr="00A6342D">
        <w:t>historically and culturally significant features, details of any exhibits, displays or performances</w:t>
      </w:r>
    </w:p>
    <w:p w:rsidR="00000000" w:rsidRPr="00A6342D" w:rsidP="00A6342D">
      <w:pPr>
        <w:pStyle w:val="ListBullet2"/>
      </w:pPr>
      <w:r w:rsidRPr="00A6342D">
        <w:t>individuals associated with the environment, their roles and impacts</w:t>
      </w:r>
    </w:p>
    <w:p w:rsidR="00000000" w:rsidRPr="00A6342D" w:rsidP="00A6342D">
      <w:pPr>
        <w:pStyle w:val="ListBullet2"/>
      </w:pPr>
      <w:r w:rsidRPr="00A6342D">
        <w:t>role of the environment in the local community, both past and present</w:t>
      </w:r>
    </w:p>
    <w:p w:rsidR="00000000" w:rsidRPr="00A6342D" w:rsidP="00A6342D">
      <w:pPr>
        <w:pStyle w:val="ListBullet"/>
      </w:pPr>
      <w:r w:rsidRPr="00A6342D">
        <w:t xml:space="preserve">relationship of </w:t>
      </w:r>
      <w:r w:rsidRPr="00A6342D">
        <w:t>the environment to past and current Australian culture and history</w:t>
      </w:r>
    </w:p>
    <w:p w:rsidR="00000000" w:rsidRPr="00A6342D" w:rsidP="00A6342D">
      <w:pPr>
        <w:pStyle w:val="ListBullet"/>
      </w:pPr>
      <w:r w:rsidRPr="00A6342D">
        <w:t>information sources frequently used by guides.</w:t>
      </w:r>
    </w:p>
    <w:p w:rsidR="00000000" w:rsidRPr="00A6342D" w:rsidP="00A6342D">
      <w:pPr>
        <w:pStyle w:val="AllowPageBreak"/>
      </w:pPr>
    </w:p>
    <w:p w:rsidR="00000000" w:rsidRPr="00A6342D" w:rsidP="00A6342D">
      <w:pPr>
        <w:pStyle w:val="Heading1"/>
      </w:pPr>
      <w:bookmarkStart w:id="4" w:name="O_1230251"/>
      <w:bookmarkEnd w:id="4"/>
      <w:r w:rsidRPr="00A6342D">
        <w:t>Assessment Conditions</w:t>
      </w:r>
    </w:p>
    <w:p w:rsidR="00000000" w:rsidRPr="00A6342D" w:rsidP="00AB178F">
      <w:pPr>
        <w:pStyle w:val="BodyText"/>
      </w:pPr>
      <w:r w:rsidRPr="00A6342D">
        <w:t>Skills must be demonstrated in an operational guiding environment. This can be:</w:t>
      </w:r>
    </w:p>
    <w:p w:rsidR="00000000" w:rsidRPr="00A6342D" w:rsidP="00A6342D">
      <w:pPr>
        <w:pStyle w:val="ListBullet"/>
      </w:pPr>
      <w:r w:rsidRPr="00A6342D">
        <w:t xml:space="preserve">an industry workplace; or </w:t>
      </w:r>
    </w:p>
    <w:p w:rsidR="00000000" w:rsidRPr="00A6342D" w:rsidP="00A6342D">
      <w:pPr>
        <w:pStyle w:val="ListBullet"/>
      </w:pPr>
      <w:r w:rsidRPr="00A6342D">
        <w:t>a simulated industry environment or activity, set up for the purposes of assessment.</w:t>
      </w:r>
    </w:p>
    <w:p w:rsidR="00000000" w:rsidRPr="00A6342D" w:rsidP="00AB178F">
      <w:pPr>
        <w:pStyle w:val="BodyText"/>
      </w:pPr>
      <w:r w:rsidRPr="00A6342D">
        <w:t>Assessment must ensure access to:</w:t>
      </w:r>
    </w:p>
    <w:p w:rsidR="00000000" w:rsidRPr="00A6342D" w:rsidP="00A6342D">
      <w:pPr>
        <w:pStyle w:val="ListBullet"/>
      </w:pPr>
      <w:r w:rsidRPr="00A6342D">
        <w:t xml:space="preserve">sources of information used by guides </w:t>
      </w:r>
    </w:p>
    <w:p w:rsidR="00000000" w:rsidRPr="00A6342D" w:rsidP="00A6342D">
      <w:pPr>
        <w:pStyle w:val="ListBullet"/>
      </w:pPr>
      <w:r w:rsidRPr="00A6342D">
        <w:t>interpretive resources</w:t>
      </w:r>
    </w:p>
    <w:p w:rsidR="00000000" w:rsidRPr="00A6342D" w:rsidP="00A6342D">
      <w:pPr>
        <w:pStyle w:val="ListBullet"/>
      </w:pPr>
      <w:r w:rsidRPr="00A6342D">
        <w:t>equipment used to source, record and store info</w:t>
      </w:r>
      <w:r w:rsidRPr="00A6342D">
        <w:t>rmation:</w:t>
      </w:r>
    </w:p>
    <w:p w:rsidR="00000000" w:rsidRPr="00A6342D" w:rsidP="00A6342D">
      <w:pPr>
        <w:pStyle w:val="ListBullet2"/>
      </w:pPr>
      <w:r w:rsidRPr="00A6342D">
        <w:t>computer and software</w:t>
      </w:r>
    </w:p>
    <w:p w:rsidR="00000000" w:rsidRPr="00A6342D" w:rsidP="00A6342D">
      <w:pPr>
        <w:pStyle w:val="ListBullet2"/>
      </w:pPr>
      <w:r w:rsidRPr="00A6342D">
        <w:t>internet</w:t>
      </w:r>
    </w:p>
    <w:p w:rsidR="00000000" w:rsidRPr="00A6342D" w:rsidP="00A6342D">
      <w:pPr>
        <w:pStyle w:val="ListBullet2"/>
      </w:pPr>
      <w:r w:rsidRPr="00A6342D">
        <w:t>data storage equipment.</w:t>
      </w:r>
    </w:p>
    <w:p w:rsidR="00000000" w:rsidRPr="00A6342D" w:rsidP="00AB178F">
      <w:pPr>
        <w:pStyle w:val="BodyText"/>
      </w:pPr>
      <w:r w:rsidRPr="00A6342D">
        <w:t xml:space="preserve">Assessors must satisfy the Standards for Registered Training Organisations’ requirements for assessors and have worked in industry for at least three years where they have applied the skills </w:t>
      </w:r>
      <w:r w:rsidRPr="00A6342D">
        <w:t>and knowledge of this unit of competency.</w:t>
      </w:r>
    </w:p>
    <w:p w:rsidR="00000000" w:rsidRPr="00A6342D" w:rsidP="00A6342D">
      <w:pPr>
        <w:pStyle w:val="Heading1"/>
      </w:pPr>
      <w:bookmarkStart w:id="5" w:name="O_1230249"/>
      <w:bookmarkEnd w:id="5"/>
      <w:r w:rsidRPr="00A6342D">
        <w:t>Links</w:t>
      </w:r>
    </w:p>
    <w:p w:rsidR="00000000" w:rsidRPr="00A6342D" w:rsidP="00AB178F">
      <w:pPr>
        <w:pStyle w:val="BodyText"/>
      </w:pPr>
      <w:r w:rsidRPr="00A634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422E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6342D" w:rsidP="00A6342D"/>
    <w:sectPr w:rsidSect="00A634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4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42D" w:rsidRPr="00AB178F" w:rsidP="00AB17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4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78F" w:rsidP="00A634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178F" w:rsidP="00A634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B178F" w:rsidP="00A634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4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7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342D" w:rsidRPr="00AB178F" w:rsidP="00AB17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4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78F" w:rsidRPr="002D2AF8" w:rsidP="00A634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SITTGDE022 Prepare specialised interpretive content on cultural and heritage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B178F" w:rsidP="00A634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E8BB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1A9A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96EE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4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34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4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4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4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4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4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4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4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4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4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42D"/>
  </w:style>
  <w:style w:type="character" w:customStyle="1" w:styleId="Heading1Char">
    <w:name w:val="Heading 1 Char"/>
    <w:basedOn w:val="DefaultParagraphFont"/>
    <w:link w:val="Heading1"/>
    <w:rsid w:val="00A634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34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4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34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34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34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34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34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4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4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3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34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34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4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4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4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4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34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4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34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4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4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34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34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342D"/>
    <w:rPr>
      <w:b/>
      <w:spacing w:val="0"/>
    </w:rPr>
  </w:style>
  <w:style w:type="paragraph" w:customStyle="1" w:styleId="SuperTitle">
    <w:name w:val="SuperTitle"/>
    <w:basedOn w:val="Title"/>
    <w:rsid w:val="00A634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4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4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34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4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34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4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34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4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4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4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4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342D"/>
    <w:rPr>
      <w:i/>
    </w:rPr>
  </w:style>
  <w:style w:type="paragraph" w:styleId="Caption">
    <w:name w:val="caption"/>
    <w:basedOn w:val="BodyText"/>
    <w:next w:val="Normal"/>
    <w:qFormat/>
    <w:rsid w:val="00A634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4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4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42D"/>
  </w:style>
  <w:style w:type="paragraph" w:styleId="TableofFigures">
    <w:name w:val="table of figures"/>
    <w:basedOn w:val="Normal"/>
    <w:next w:val="Normal"/>
    <w:semiHidden/>
    <w:rsid w:val="00A634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4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342D"/>
    <w:rPr>
      <w:rFonts w:ascii="Wingdings" w:hAnsi="Wingdings"/>
    </w:rPr>
  </w:style>
  <w:style w:type="paragraph" w:customStyle="1" w:styleId="TableHeading">
    <w:name w:val="Table Heading"/>
    <w:basedOn w:val="HeadingBase"/>
    <w:rsid w:val="00A634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342D"/>
    <w:rPr>
      <w:color w:val="0033CC"/>
      <w:u w:val="none"/>
    </w:rPr>
  </w:style>
  <w:style w:type="paragraph" w:customStyle="1" w:styleId="BodyTextRight">
    <w:name w:val="Body Text Right"/>
    <w:basedOn w:val="BodyText"/>
    <w:rsid w:val="00A634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4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4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4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4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4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342D"/>
    <w:rPr>
      <w:sz w:val="32"/>
    </w:rPr>
  </w:style>
  <w:style w:type="paragraph" w:customStyle="1" w:styleId="HeadingProcedure">
    <w:name w:val="Heading Procedure"/>
    <w:basedOn w:val="HeadingBase"/>
    <w:next w:val="Normal"/>
    <w:rsid w:val="00A634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342D"/>
    <w:pPr>
      <w:spacing w:before="60" w:after="60"/>
    </w:pPr>
  </w:style>
  <w:style w:type="paragraph" w:styleId="ListContinue">
    <w:name w:val="List Continue"/>
    <w:basedOn w:val="List"/>
    <w:rsid w:val="00A6342D"/>
    <w:pPr>
      <w:ind w:firstLine="0"/>
    </w:pPr>
  </w:style>
  <w:style w:type="paragraph" w:customStyle="1" w:styleId="ListNote">
    <w:name w:val="List Note"/>
    <w:basedOn w:val="List"/>
    <w:rsid w:val="00A634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4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4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42D"/>
    <w:rPr>
      <w:rFonts w:ascii="Courier New" w:hAnsi="Courier New"/>
    </w:rPr>
  </w:style>
  <w:style w:type="paragraph" w:customStyle="1" w:styleId="NoteBullet">
    <w:name w:val="Note Bullet"/>
    <w:basedOn w:val="Note"/>
    <w:rsid w:val="00A634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4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4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4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4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34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4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342D"/>
    <w:rPr>
      <w:b/>
      <w:smallCaps/>
    </w:rPr>
  </w:style>
  <w:style w:type="paragraph" w:customStyle="1" w:styleId="TableListNumber">
    <w:name w:val="Table List Number"/>
    <w:basedOn w:val="ListNumber"/>
    <w:rsid w:val="00A634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4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42D"/>
    <w:pPr>
      <w:numPr>
        <w:numId w:val="9"/>
      </w:numPr>
    </w:pPr>
  </w:style>
  <w:style w:type="paragraph" w:customStyle="1" w:styleId="ListAlpha2">
    <w:name w:val="List Alpha 2"/>
    <w:basedOn w:val="List2"/>
    <w:rsid w:val="00A6342D"/>
    <w:pPr>
      <w:numPr>
        <w:numId w:val="8"/>
      </w:numPr>
    </w:pPr>
  </w:style>
  <w:style w:type="paragraph" w:styleId="List2">
    <w:name w:val="List 2"/>
    <w:basedOn w:val="BodyText"/>
    <w:rsid w:val="00A634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4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4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4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4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4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342D"/>
    <w:pPr>
      <w:numPr>
        <w:numId w:val="4"/>
      </w:numPr>
    </w:pPr>
  </w:style>
  <w:style w:type="paragraph" w:styleId="ListContinue2">
    <w:name w:val="List Continue 2"/>
    <w:basedOn w:val="List2"/>
    <w:rsid w:val="00A6342D"/>
    <w:pPr>
      <w:ind w:firstLine="0"/>
    </w:pPr>
  </w:style>
  <w:style w:type="paragraph" w:styleId="ListContinue3">
    <w:name w:val="List Continue 3"/>
    <w:basedOn w:val="List3"/>
    <w:rsid w:val="00A6342D"/>
    <w:pPr>
      <w:ind w:left="1021" w:firstLine="0"/>
    </w:pPr>
  </w:style>
  <w:style w:type="paragraph" w:styleId="ListContinue4">
    <w:name w:val="List Continue 4"/>
    <w:basedOn w:val="List4"/>
    <w:rsid w:val="00A6342D"/>
    <w:pPr>
      <w:ind w:firstLine="0"/>
    </w:pPr>
  </w:style>
  <w:style w:type="paragraph" w:styleId="ListContinue5">
    <w:name w:val="List Continue 5"/>
    <w:basedOn w:val="List5"/>
    <w:rsid w:val="00A6342D"/>
    <w:pPr>
      <w:ind w:firstLine="0"/>
    </w:pPr>
  </w:style>
  <w:style w:type="paragraph" w:styleId="ListNumber3">
    <w:name w:val="List Number 3"/>
    <w:basedOn w:val="List3"/>
    <w:rsid w:val="00A6342D"/>
    <w:pPr>
      <w:numPr>
        <w:numId w:val="5"/>
      </w:numPr>
    </w:pPr>
  </w:style>
  <w:style w:type="paragraph" w:styleId="ListNumber4">
    <w:name w:val="List Number 4"/>
    <w:basedOn w:val="List4"/>
    <w:rsid w:val="00A6342D"/>
    <w:pPr>
      <w:numPr>
        <w:numId w:val="6"/>
      </w:numPr>
    </w:pPr>
  </w:style>
  <w:style w:type="paragraph" w:styleId="ListNumber5">
    <w:name w:val="List Number 5"/>
    <w:basedOn w:val="List5"/>
    <w:rsid w:val="00A6342D"/>
    <w:pPr>
      <w:numPr>
        <w:numId w:val="7"/>
      </w:numPr>
    </w:pPr>
  </w:style>
  <w:style w:type="paragraph" w:styleId="BlockText">
    <w:name w:val="Block Text"/>
    <w:basedOn w:val="Normal"/>
    <w:rsid w:val="00A634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4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42D"/>
    <w:rPr>
      <w:sz w:val="16"/>
      <w:vertAlign w:val="superscript"/>
    </w:rPr>
  </w:style>
  <w:style w:type="character" w:customStyle="1" w:styleId="Symbols">
    <w:name w:val="Symbols"/>
    <w:basedOn w:val="DefaultParagraphFont"/>
    <w:rsid w:val="00A6342D"/>
    <w:rPr>
      <w:rFonts w:ascii="Symbol" w:hAnsi="Symbol"/>
    </w:rPr>
  </w:style>
  <w:style w:type="character" w:customStyle="1" w:styleId="MenuOptions">
    <w:name w:val="Menu Options"/>
    <w:basedOn w:val="DefaultParagraphFont"/>
    <w:rsid w:val="00A634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42D"/>
    <w:rPr>
      <w:b/>
    </w:rPr>
  </w:style>
  <w:style w:type="character" w:customStyle="1" w:styleId="Underlined">
    <w:name w:val="Underlined"/>
    <w:basedOn w:val="DefaultParagraphFont"/>
    <w:rsid w:val="00A6342D"/>
    <w:rPr>
      <w:u w:val="single"/>
    </w:rPr>
  </w:style>
  <w:style w:type="paragraph" w:customStyle="1" w:styleId="TableBodyTextRight">
    <w:name w:val="Table Body Text Right"/>
    <w:basedOn w:val="TableBodyText"/>
    <w:rsid w:val="00A634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42D"/>
    <w:rPr>
      <w:sz w:val="18"/>
    </w:rPr>
  </w:style>
  <w:style w:type="paragraph" w:customStyle="1" w:styleId="BodySmallRight">
    <w:name w:val="Body Small Right"/>
    <w:basedOn w:val="BodyTextRight"/>
    <w:rsid w:val="00A6342D"/>
    <w:rPr>
      <w:sz w:val="18"/>
      <w:szCs w:val="18"/>
    </w:rPr>
  </w:style>
  <w:style w:type="paragraph" w:customStyle="1" w:styleId="MarginEdition">
    <w:name w:val="Margin Edition"/>
    <w:basedOn w:val="MarginNote"/>
    <w:rsid w:val="00A634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42D"/>
    <w:rPr>
      <w:sz w:val="2"/>
      <w:szCs w:val="2"/>
    </w:rPr>
  </w:style>
  <w:style w:type="character" w:customStyle="1" w:styleId="Small">
    <w:name w:val="Small"/>
    <w:basedOn w:val="DefaultParagraphFont"/>
    <w:rsid w:val="00A6342D"/>
    <w:rPr>
      <w:sz w:val="16"/>
    </w:rPr>
  </w:style>
  <w:style w:type="paragraph" w:customStyle="1" w:styleId="WideTable">
    <w:name w:val="Wide Table"/>
    <w:basedOn w:val="Normal"/>
    <w:rsid w:val="00A634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42D"/>
  </w:style>
  <w:style w:type="paragraph" w:styleId="Quote">
    <w:name w:val="Quote"/>
    <w:basedOn w:val="Heading1"/>
    <w:link w:val="QuoteChar"/>
    <w:qFormat/>
    <w:rsid w:val="00A634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4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42D"/>
    <w:pPr>
      <w:pageBreakBefore/>
    </w:pPr>
  </w:style>
  <w:style w:type="paragraph" w:customStyle="1" w:styleId="Border">
    <w:name w:val="Border"/>
    <w:basedOn w:val="Normal"/>
    <w:qFormat/>
    <w:rsid w:val="00A634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4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4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4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34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4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4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4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4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42D"/>
    <w:rPr>
      <w:u w:val="single"/>
    </w:rPr>
  </w:style>
  <w:style w:type="character" w:customStyle="1" w:styleId="BoldandItalics">
    <w:name w:val="Bold and Italics"/>
    <w:qFormat/>
    <w:rsid w:val="00A6342D"/>
    <w:rPr>
      <w:b/>
      <w:i/>
      <w:u w:val="none"/>
    </w:rPr>
  </w:style>
  <w:style w:type="paragraph" w:styleId="BalloonText">
    <w:name w:val="Balloon Text"/>
    <w:basedOn w:val="Normal"/>
    <w:link w:val="BalloonTextChar"/>
    <w:rsid w:val="00A634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4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34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4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34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34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342D"/>
    <w:pPr>
      <w:spacing w:before="0" w:after="0"/>
    </w:pPr>
  </w:style>
  <w:style w:type="paragraph" w:customStyle="1" w:styleId="BodyTextBold">
    <w:name w:val="Body Text Bold"/>
    <w:basedOn w:val="BodyText"/>
    <w:qFormat/>
    <w:rsid w:val="00A6342D"/>
    <w:rPr>
      <w:b/>
    </w:rPr>
  </w:style>
  <w:style w:type="character" w:styleId="Hyperlink">
    <w:name w:val="Hyperlink"/>
    <w:basedOn w:val="DefaultParagraphFont"/>
    <w:uiPriority w:val="99"/>
    <w:unhideWhenUsed/>
    <w:rsid w:val="00AB17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381</Words>
  <Characters>2522</Characters>
  <Application>Microsoft Office Word</Application>
  <DocSecurity>0</DocSecurity>
  <Lines>68</Lines>
  <Paragraphs>59</Paragraphs>
  <ScaleCrop>false</ScaleCrop>
  <Company>Author-it Software Corporation Ltd.</Company>
  <LinksUpToDate>false</LinksUpToDate>
  <CharactersWithSpaces>2844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SITTGDE022 Prepare specialised interpretive content on cultural and heritage environments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2025-02-11T06:38:00Z</dcterms:created>
  <dcterms:modified xsi:type="dcterms:W3CDTF">2025-02-11T06:38:00Z</dcterms:modified>
</cp:coreProperties>
</file>