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0FD" w:rsidP="006540FD">
      <w:pPr>
        <w:pStyle w:val="Title"/>
      </w:pPr>
      <w:r>
        <w:fldChar w:fldCharType="begin"/>
      </w:r>
      <w:r>
        <w:instrText xml:space="preserve"> TITLE   \* MERGEFORMAT </w:instrText>
      </w:r>
      <w:r>
        <w:fldChar w:fldCharType="separate"/>
      </w:r>
      <w:r>
        <w:t>SITTGDE013 Interpret aspects of local Australian Indigenous culture</w:t>
      </w:r>
      <w:r>
        <w:fldChar w:fldCharType="end"/>
      </w:r>
    </w:p>
    <w:p w:rsidR="006540FD" w:rsidP="006540FD">
      <w:pPr>
        <w:pStyle w:val="Version"/>
        <w:sectPr w:rsidSect="00EC4B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B38" w:rsidP="00EC4B38">
      <w:pPr>
        <w:pStyle w:val="SuperHeading"/>
      </w:pPr>
      <w:r w:rsidRPr="00EC4B38">
        <w:t>SITTGDE013 Interpret aspects of local Australian Indigenous culture</w:t>
      </w:r>
    </w:p>
    <w:p w:rsidR="00000000" w:rsidRPr="00EC4B38" w:rsidP="00EC4B38">
      <w:pPr>
        <w:pStyle w:val="Heading1"/>
      </w:pPr>
      <w:bookmarkStart w:id="1" w:name="O_1230092"/>
      <w:bookmarkEnd w:id="1"/>
      <w:r w:rsidRPr="00EC4B38">
        <w:t>Modification History</w:t>
      </w:r>
    </w:p>
    <w:p w:rsidR="00000000" w:rsidRPr="00EC4B38" w:rsidP="006540FD">
      <w:pPr>
        <w:pStyle w:val="BodyText"/>
      </w:pPr>
      <w:r w:rsidRPr="00EC4B38">
        <w:t>Not applicable.</w:t>
      </w:r>
    </w:p>
    <w:p w:rsidR="00000000" w:rsidRPr="00EC4B38" w:rsidP="00EC4B38">
      <w:pPr>
        <w:pStyle w:val="Heading1"/>
      </w:pPr>
      <w:bookmarkStart w:id="2" w:name="O_1230099"/>
      <w:bookmarkEnd w:id="2"/>
      <w:r w:rsidRPr="00EC4B38">
        <w:t>Application</w:t>
      </w:r>
    </w:p>
    <w:p w:rsidR="00000000" w:rsidRPr="00EC4B38" w:rsidP="006540FD">
      <w:pPr>
        <w:pStyle w:val="BodyText"/>
      </w:pPr>
      <w:r w:rsidRPr="00EC4B38">
        <w:t>This unit describes the performance outcomes, skills and knowledge required to share information about a specific local Australian Indigenous culture. It is this localised focus that distinguishes this unit from SITTGDE019 Research and share information on</w:t>
      </w:r>
      <w:r w:rsidRPr="00EC4B38">
        <w:t xml:space="preserve"> Australian Indigenous cultures.</w:t>
      </w:r>
    </w:p>
    <w:p w:rsidR="00000000" w:rsidRPr="00EC4B38" w:rsidP="006540FD">
      <w:pPr>
        <w:pStyle w:val="BodyText"/>
      </w:pPr>
      <w:r w:rsidRPr="00EC4B38">
        <w:t>The unit recognises that there is no single Australian Indigenous culture and emphasises the importance of local cultural knowledge, appropriate behaviour and local community consultation.</w:t>
      </w:r>
    </w:p>
    <w:p w:rsidR="00000000" w:rsidRPr="00EC4B38" w:rsidP="006540FD">
      <w:pPr>
        <w:pStyle w:val="BodyText"/>
      </w:pPr>
      <w:r w:rsidRPr="00EC4B38">
        <w:t xml:space="preserve">This unit applies to those people </w:t>
      </w:r>
      <w:r w:rsidRPr="00EC4B38">
        <w:t>who are able to share local Australian Indigenous cultural knowledge with others. They may work at many different levels, as cultural knowledge has no direct relationship with organisational levels of responsibility.</w:t>
      </w:r>
    </w:p>
    <w:p w:rsidR="00000000" w:rsidRPr="00EC4B38" w:rsidP="006540FD">
      <w:pPr>
        <w:pStyle w:val="BodyText"/>
      </w:pPr>
      <w:r w:rsidRPr="00EC4B38">
        <w:t>The local Australian Indigenous cultura</w:t>
      </w:r>
      <w:r w:rsidRPr="00EC4B38">
        <w:t xml:space="preserve">l knowledge necessary to achieve competency in this unit may only be accessible to those individuals who identify as elders or who are authorised by local elders on behalf of their communities. </w:t>
      </w:r>
    </w:p>
    <w:p w:rsidR="00000000" w:rsidRPr="00EC4B38" w:rsidP="006540FD">
      <w:pPr>
        <w:pStyle w:val="BodyText"/>
      </w:pPr>
      <w:r w:rsidRPr="00EC4B38">
        <w:t>There are many different Australian Indigenous language group</w:t>
      </w:r>
      <w:r w:rsidRPr="00EC4B38">
        <w:t>s in Australia, therefore the focus of cultural interpretation will vary and should ultimately be decided in consultation with elders on behalf of the local community.</w:t>
      </w:r>
    </w:p>
    <w:p w:rsidR="00000000" w:rsidRPr="00EC4B38" w:rsidP="006540FD">
      <w:pPr>
        <w:pStyle w:val="BodyText"/>
      </w:pPr>
      <w:r w:rsidRPr="00EC4B38">
        <w:t>Tour guides, residing anywhere in Australia, are required to undertake training and asse</w:t>
      </w:r>
      <w:r w:rsidRPr="00EC4B38">
        <w:t>ssment prescribed by Parks Australia to guide within Kakadu and Uluru-Kata Tjuta National Parks in the Northern Territory.</w:t>
      </w:r>
    </w:p>
    <w:p w:rsidR="00000000" w:rsidRPr="00EC4B38" w:rsidP="006540FD">
      <w:pPr>
        <w:pStyle w:val="BodyText"/>
      </w:pPr>
      <w:r w:rsidRPr="00EC4B38">
        <w:t>The skills in this unit must be applied in accordance with Commonwealth and State/Territory legislation, Australian/New Zealand stand</w:t>
      </w:r>
      <w:r w:rsidRPr="00EC4B38">
        <w:t>ards and industry codes of practice.</w:t>
      </w:r>
    </w:p>
    <w:p w:rsidR="00000000" w:rsidRPr="00EC4B38" w:rsidP="006540FD">
      <w:pPr>
        <w:pStyle w:val="BodyText"/>
      </w:pPr>
      <w:r w:rsidRPr="00EC4B38">
        <w:t>When working in Queensland, all guides, regardless of their place of residence, are subject to the Queensland Tourism Services Act 2003.</w:t>
      </w:r>
    </w:p>
    <w:p w:rsidR="00000000" w:rsidRPr="00EC4B38" w:rsidP="006540FD">
      <w:pPr>
        <w:pStyle w:val="BodyText"/>
      </w:pPr>
      <w:r w:rsidRPr="00EC4B38">
        <w:t>No other occupational licensing, certification or specific legislative requirement</w:t>
      </w:r>
      <w:r w:rsidRPr="00EC4B38">
        <w:t>s apply to this unit at the time of publication.</w:t>
      </w:r>
    </w:p>
    <w:p w:rsidR="00000000" w:rsidRPr="00EC4B38" w:rsidP="00EC4B38">
      <w:pPr>
        <w:pStyle w:val="Heading1"/>
      </w:pPr>
      <w:bookmarkStart w:id="3" w:name="O_1230098"/>
      <w:bookmarkEnd w:id="3"/>
      <w:r w:rsidRPr="00EC4B38">
        <w:t>Pre-requisite Unit</w:t>
      </w:r>
    </w:p>
    <w:p w:rsidR="00000000" w:rsidRPr="00EC4B38" w:rsidP="006540FD">
      <w:pPr>
        <w:pStyle w:val="BodyText"/>
      </w:pPr>
      <w:r w:rsidRPr="00EC4B38">
        <w:t>Nil</w:t>
      </w:r>
    </w:p>
    <w:p w:rsidR="00000000" w:rsidRPr="00EC4B38" w:rsidP="00EC4B38">
      <w:pPr>
        <w:pStyle w:val="Heading1"/>
      </w:pPr>
      <w:bookmarkStart w:id="4" w:name="O_1230097"/>
      <w:bookmarkEnd w:id="4"/>
      <w:r w:rsidRPr="00EC4B38">
        <w:t>Competency Field</w:t>
      </w:r>
    </w:p>
    <w:p w:rsidR="00000000" w:rsidRPr="00EC4B38" w:rsidP="006540FD">
      <w:pPr>
        <w:pStyle w:val="BodyText"/>
      </w:pPr>
      <w:r w:rsidRPr="00EC4B38">
        <w:t>Guiding</w:t>
      </w:r>
    </w:p>
    <w:p w:rsidR="00000000" w:rsidRPr="00EC4B38" w:rsidP="00EC4B38">
      <w:pPr>
        <w:pStyle w:val="Heading1"/>
      </w:pPr>
      <w:bookmarkStart w:id="5" w:name="O_1230096"/>
      <w:bookmarkEnd w:id="5"/>
      <w:r w:rsidRPr="00EC4B38">
        <w:t>Unit Sector</w:t>
      </w:r>
    </w:p>
    <w:p w:rsidR="00000000" w:rsidRPr="00EC4B38" w:rsidP="006540FD">
      <w:pPr>
        <w:pStyle w:val="BodyText"/>
      </w:pPr>
      <w:r w:rsidRPr="00EC4B38">
        <w:t>Tourism</w:t>
      </w:r>
    </w:p>
    <w:p w:rsidR="00000000" w:rsidRPr="00EC4B38" w:rsidP="00EC4B38">
      <w:pPr>
        <w:pStyle w:val="Heading1"/>
      </w:pPr>
      <w:bookmarkStart w:id="6" w:name="O_1230095"/>
      <w:bookmarkEnd w:id="6"/>
      <w:r w:rsidRPr="00EC4B38">
        <w:t>Elements and Performance Criteria</w:t>
      </w:r>
    </w:p>
    <w:tbl>
      <w:tblPr>
        <w:tblW w:w="0" w:type="auto"/>
        <w:tblLayout w:type="fixed"/>
        <w:tblCellMar>
          <w:left w:w="62" w:type="dxa"/>
          <w:right w:w="62" w:type="dxa"/>
        </w:tblCellMar>
        <w:tblLook w:val="0000"/>
      </w:tblPr>
      <w:tblGrid>
        <w:gridCol w:w="2694"/>
        <w:gridCol w:w="6350"/>
      </w:tblGrid>
      <w:tr w:rsidTr="00EC4B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C4B38" w:rsidP="00EC4B38">
            <w:pPr>
              <w:pStyle w:val="BodyText"/>
            </w:pPr>
            <w:r w:rsidRPr="00EC4B3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C4B38">
            <w:pPr>
              <w:pStyle w:val="BodyText"/>
              <w:rPr>
                <w:lang w:val="en-NZ"/>
              </w:rPr>
            </w:pPr>
            <w:r w:rsidRPr="00EC4B38">
              <w:rPr>
                <w:rStyle w:val="SpecialBold"/>
              </w:rPr>
              <w:t>PERFORMANCE</w:t>
            </w:r>
            <w:r w:rsidRPr="00EC4B38">
              <w:t xml:space="preserve"> </w:t>
            </w:r>
            <w:r w:rsidRPr="00EC4B38">
              <w:rPr>
                <w:rStyle w:val="SpecialBold"/>
              </w:rPr>
              <w:t>CRITERIA</w:t>
            </w:r>
          </w:p>
        </w:tc>
      </w:tr>
      <w:tr w:rsidTr="00EC4B3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C4B38" w:rsidP="00EC4B38">
            <w:pPr>
              <w:pStyle w:val="BodyText"/>
            </w:pPr>
            <w:r w:rsidRPr="00EC4B3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C4B38">
            <w:pPr>
              <w:pStyle w:val="BodyText"/>
              <w:rPr>
                <w:lang w:val="en-NZ"/>
              </w:rPr>
            </w:pPr>
            <w:r w:rsidRPr="00EC4B38">
              <w:rPr>
                <w:rStyle w:val="Emphasis"/>
              </w:rPr>
              <w:t>Performance criteria describe the performance needed to demonstrate achievement of the element.</w:t>
            </w:r>
          </w:p>
        </w:tc>
      </w:tr>
      <w:tr w:rsidTr="00EC4B3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C4B38">
            <w:pPr>
              <w:pStyle w:val="List"/>
              <w:rPr>
                <w:lang w:val="en-NZ"/>
              </w:rPr>
            </w:pPr>
            <w:r w:rsidRPr="00EC4B38">
              <w:t>1.  Source information about the local Australian Indigenous community.</w:t>
            </w:r>
          </w:p>
        </w:tc>
        <w:tc>
          <w:tcPr>
            <w:tcW w:w="6350" w:type="dxa"/>
            <w:tcBorders>
              <w:top w:val="nil"/>
              <w:left w:val="nil"/>
              <w:bottom w:val="nil"/>
              <w:right w:val="nil"/>
            </w:tcBorders>
            <w:tcMar>
              <w:top w:w="0" w:type="dxa"/>
              <w:left w:w="62" w:type="dxa"/>
              <w:bottom w:w="0" w:type="dxa"/>
              <w:right w:w="62" w:type="dxa"/>
            </w:tcMar>
          </w:tcPr>
          <w:p w:rsidR="00000000" w:rsidRPr="00EC4B38" w:rsidP="00EC4B38">
            <w:pPr>
              <w:pStyle w:val="List"/>
            </w:pPr>
            <w:r w:rsidRPr="00EC4B38">
              <w:t>1.1. Identify relevant stakeholders in the local Australian Indigenous community.</w:t>
            </w:r>
          </w:p>
          <w:p w:rsidR="00000000" w:rsidRPr="00EC4B38" w:rsidP="00EC4B38">
            <w:pPr>
              <w:pStyle w:val="List"/>
            </w:pPr>
            <w:r w:rsidRPr="00EC4B38">
              <w:t>1.2. Research ways in which cultural information can be used to make tour activities authentic to the local area.</w:t>
            </w:r>
          </w:p>
          <w:p w:rsidR="00000000" w:rsidRPr="00EC4B38" w:rsidP="00EC4B38">
            <w:pPr>
              <w:pStyle w:val="List"/>
            </w:pPr>
            <w:r w:rsidRPr="00EC4B38">
              <w:t>1.3. Prepare for tour activities taking into consideration o</w:t>
            </w:r>
            <w:r w:rsidRPr="00EC4B38">
              <w:t>bligations to the local Australian Indigenous community.</w:t>
            </w:r>
          </w:p>
          <w:p w:rsidR="00000000" w:rsidP="00EC4B38">
            <w:pPr>
              <w:pStyle w:val="List"/>
              <w:rPr>
                <w:lang w:val="en-NZ"/>
              </w:rPr>
            </w:pPr>
            <w:r w:rsidRPr="00EC4B38">
              <w:t>1.4. Recognise potential conflicts of tour content with the local Australian Indigenous community and identify solutions.</w:t>
            </w:r>
          </w:p>
        </w:tc>
      </w:tr>
      <w:tr w:rsidTr="00EC4B38">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C4B38">
            <w:pPr>
              <w:pStyle w:val="List"/>
              <w:rPr>
                <w:lang w:val="en-NZ"/>
              </w:rPr>
            </w:pPr>
            <w:r w:rsidRPr="00EC4B38">
              <w:t>2.  Share information about local Australian Indigenous culture.</w:t>
            </w:r>
          </w:p>
        </w:tc>
        <w:tc>
          <w:tcPr>
            <w:tcW w:w="6350" w:type="dxa"/>
            <w:tcBorders>
              <w:top w:val="nil"/>
              <w:left w:val="nil"/>
              <w:bottom w:val="nil"/>
              <w:right w:val="nil"/>
            </w:tcBorders>
            <w:tcMar>
              <w:top w:w="0" w:type="dxa"/>
              <w:left w:w="62" w:type="dxa"/>
              <w:bottom w:w="0" w:type="dxa"/>
              <w:right w:w="62" w:type="dxa"/>
            </w:tcMar>
          </w:tcPr>
          <w:p w:rsidR="00000000" w:rsidRPr="00EC4B38" w:rsidP="00EC4B38">
            <w:pPr>
              <w:pStyle w:val="List"/>
            </w:pPr>
            <w:r w:rsidRPr="00EC4B38">
              <w:t>2.1. Seek consent from relevant stakeholders to share information about the local Australian Indigenous community.</w:t>
            </w:r>
          </w:p>
          <w:p w:rsidR="00000000" w:rsidRPr="00EC4B38" w:rsidP="00EC4B38">
            <w:pPr>
              <w:pStyle w:val="List"/>
            </w:pPr>
            <w:r w:rsidRPr="00EC4B38">
              <w:t>2.2. Share accurate information about aspects of Australian Indigenous culture with customers.</w:t>
            </w:r>
          </w:p>
          <w:p w:rsidR="00000000" w:rsidRPr="00EC4B38" w:rsidP="00EC4B38">
            <w:pPr>
              <w:pStyle w:val="List"/>
            </w:pPr>
            <w:r w:rsidRPr="00EC4B38">
              <w:t>2.3. Advise customers about culturally appropr</w:t>
            </w:r>
            <w:r w:rsidRPr="00EC4B38">
              <w:t>iate behaviour.</w:t>
            </w:r>
          </w:p>
          <w:p w:rsidR="00000000" w:rsidRPr="00EC4B38" w:rsidP="00EC4B38">
            <w:pPr>
              <w:pStyle w:val="List"/>
            </w:pPr>
            <w:r w:rsidRPr="00EC4B38">
              <w:t>2.4. Show respect for Australian Indigenous cultures and values through promoting culturally sensitive behaviour during activities.</w:t>
            </w:r>
          </w:p>
          <w:p w:rsidR="00000000" w:rsidRPr="00EC4B38" w:rsidP="00EC4B38">
            <w:pPr>
              <w:pStyle w:val="List"/>
            </w:pPr>
            <w:r w:rsidRPr="00EC4B38">
              <w:t>2.5. Provide information about traditional and contemporary practices to customers.</w:t>
            </w:r>
          </w:p>
          <w:p w:rsidR="00000000" w:rsidRPr="00EC4B38" w:rsidP="00EC4B38">
            <w:pPr>
              <w:pStyle w:val="List"/>
            </w:pPr>
            <w:r w:rsidRPr="00EC4B38">
              <w:t>2.6. Use local Australia</w:t>
            </w:r>
            <w:r w:rsidRPr="00EC4B38">
              <w:t>n Indigenous language and share with customers.</w:t>
            </w:r>
          </w:p>
          <w:p w:rsidR="00000000" w:rsidRPr="00EC4B38" w:rsidP="00EC4B38">
            <w:pPr>
              <w:pStyle w:val="List"/>
            </w:pPr>
            <w:r w:rsidRPr="00EC4B38">
              <w:t>2.7. Invite customers to participate and share in Australian Indigenous cultural experiences respecting cultural guidelines.</w:t>
            </w:r>
          </w:p>
        </w:tc>
      </w:tr>
    </w:tbl>
    <w:p w:rsidR="00000000" w:rsidRPr="00EC4B38" w:rsidP="00EC4B38">
      <w:pPr>
        <w:pStyle w:val="BodyText"/>
      </w:pPr>
    </w:p>
    <w:p w:rsidR="00000000" w:rsidRPr="00EC4B38" w:rsidP="00EC4B38">
      <w:pPr>
        <w:pStyle w:val="AllowPageBreak"/>
      </w:pPr>
    </w:p>
    <w:p w:rsidR="00000000" w:rsidRPr="00EC4B38" w:rsidP="00EC4B38">
      <w:pPr>
        <w:pStyle w:val="Heading1"/>
      </w:pPr>
      <w:bookmarkStart w:id="7" w:name="O_1230094"/>
      <w:bookmarkEnd w:id="7"/>
      <w:r w:rsidRPr="00EC4B38">
        <w:t>Foundation Skills</w:t>
      </w:r>
    </w:p>
    <w:tbl>
      <w:tblPr>
        <w:tblW w:w="0" w:type="auto"/>
        <w:tblLayout w:type="fixed"/>
        <w:tblCellMar>
          <w:left w:w="62" w:type="dxa"/>
          <w:right w:w="62" w:type="dxa"/>
        </w:tblCellMar>
        <w:tblLook w:val="0000"/>
      </w:tblPr>
      <w:tblGrid>
        <w:gridCol w:w="2694"/>
        <w:gridCol w:w="6350"/>
      </w:tblGrid>
      <w:tr w:rsidTr="00EC4B3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C4B38">
            <w:pPr>
              <w:pStyle w:val="BodyText"/>
              <w:rPr>
                <w:lang w:val="en-NZ"/>
              </w:rPr>
            </w:pPr>
            <w:r w:rsidRPr="00EC4B38">
              <w:rPr>
                <w:rStyle w:val="Emphasis"/>
              </w:rPr>
              <w:t>Foundation skills essential to performance i</w:t>
            </w:r>
            <w:r w:rsidRPr="00EC4B38">
              <w:rPr>
                <w:rStyle w:val="Emphasis"/>
              </w:rPr>
              <w:t xml:space="preserve">n this unit, but not explicit in the performance </w:t>
            </w:r>
            <w:r w:rsidRPr="00EC4B38">
              <w:rPr>
                <w:rStyle w:val="Emphasis"/>
              </w:rPr>
              <w:t>criteria are listed here, along with a brief context statement.</w:t>
            </w:r>
          </w:p>
        </w:tc>
      </w:tr>
      <w:tr w:rsidTr="00EC4B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C4B38" w:rsidP="00EC4B38">
            <w:pPr>
              <w:pStyle w:val="BodyText"/>
            </w:pPr>
            <w:r w:rsidRPr="00EC4B3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C4B38">
            <w:pPr>
              <w:pStyle w:val="BodyText"/>
              <w:rPr>
                <w:lang w:val="en-NZ"/>
              </w:rPr>
            </w:pPr>
            <w:r w:rsidRPr="00EC4B38">
              <w:rPr>
                <w:rStyle w:val="SpecialBold"/>
              </w:rPr>
              <w:t>DESCRIPTION</w:t>
            </w:r>
          </w:p>
        </w:tc>
      </w:tr>
      <w:tr w:rsidTr="00EC4B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4B38">
            <w:pPr>
              <w:pStyle w:val="BodyText"/>
              <w:rPr>
                <w:lang w:val="en-NZ"/>
              </w:rPr>
            </w:pPr>
            <w:r w:rsidRPr="00EC4B38">
              <w:t>Writing skills to:</w:t>
            </w:r>
          </w:p>
        </w:tc>
        <w:tc>
          <w:tcPr>
            <w:tcW w:w="6350" w:type="dxa"/>
            <w:tcBorders>
              <w:top w:val="nil"/>
              <w:left w:val="nil"/>
              <w:bottom w:val="nil"/>
              <w:right w:val="nil"/>
            </w:tcBorders>
            <w:tcMar>
              <w:top w:w="0" w:type="dxa"/>
              <w:left w:w="62" w:type="dxa"/>
              <w:bottom w:w="0" w:type="dxa"/>
              <w:right w:w="62" w:type="dxa"/>
            </w:tcMar>
            <w:vAlign w:val="center"/>
          </w:tcPr>
          <w:p w:rsidR="00000000" w:rsidP="00EC4B38">
            <w:pPr>
              <w:pStyle w:val="ListBullet"/>
              <w:rPr>
                <w:lang w:val="en-NZ"/>
              </w:rPr>
            </w:pPr>
            <w:r w:rsidRPr="00EC4B38">
              <w:t>make notes about Australian Indigenous culture to share with others.</w:t>
            </w:r>
          </w:p>
        </w:tc>
      </w:tr>
      <w:tr w:rsidTr="00EC4B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4B38">
            <w:pPr>
              <w:pStyle w:val="BodyText"/>
              <w:rPr>
                <w:lang w:val="en-NZ"/>
              </w:rPr>
            </w:pPr>
            <w:r w:rsidRPr="00EC4B38">
              <w:t>Oral communication skills to:</w:t>
            </w:r>
          </w:p>
        </w:tc>
        <w:tc>
          <w:tcPr>
            <w:tcW w:w="6350" w:type="dxa"/>
            <w:tcBorders>
              <w:top w:val="nil"/>
              <w:left w:val="nil"/>
              <w:bottom w:val="nil"/>
              <w:right w:val="nil"/>
            </w:tcBorders>
            <w:tcMar>
              <w:top w:w="0" w:type="dxa"/>
              <w:left w:w="62" w:type="dxa"/>
              <w:bottom w:w="0" w:type="dxa"/>
              <w:right w:w="62" w:type="dxa"/>
            </w:tcMar>
            <w:vAlign w:val="center"/>
          </w:tcPr>
          <w:p w:rsidR="00000000" w:rsidP="00EC4B38">
            <w:pPr>
              <w:pStyle w:val="ListBullet"/>
              <w:rPr>
                <w:lang w:val="en-NZ"/>
              </w:rPr>
            </w:pPr>
            <w:r w:rsidRPr="00EC4B38">
              <w:t>liaise with customers and local Australian Indigenous community members.</w:t>
            </w:r>
          </w:p>
        </w:tc>
      </w:tr>
      <w:tr w:rsidTr="00EC4B3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4B38">
            <w:pPr>
              <w:pStyle w:val="BodyText"/>
              <w:rPr>
                <w:lang w:val="en-NZ"/>
              </w:rPr>
            </w:pPr>
            <w:r w:rsidRPr="00EC4B38">
              <w:t>Teamwork skills to:</w:t>
            </w:r>
          </w:p>
        </w:tc>
        <w:tc>
          <w:tcPr>
            <w:tcW w:w="6350" w:type="dxa"/>
            <w:tcBorders>
              <w:top w:val="nil"/>
              <w:left w:val="nil"/>
              <w:bottom w:val="nil"/>
              <w:right w:val="nil"/>
            </w:tcBorders>
            <w:tcMar>
              <w:top w:w="0" w:type="dxa"/>
              <w:left w:w="62" w:type="dxa"/>
              <w:bottom w:w="0" w:type="dxa"/>
              <w:right w:w="62" w:type="dxa"/>
            </w:tcMar>
            <w:vAlign w:val="center"/>
          </w:tcPr>
          <w:p w:rsidR="00000000" w:rsidRPr="00EC4B38" w:rsidP="00EC4B38">
            <w:pPr>
              <w:pStyle w:val="ListBullet"/>
            </w:pPr>
            <w:r w:rsidRPr="00EC4B38">
              <w:t>work effectively with the local Australian Indigenous community or with those who are authorised by elders on behalf of the community with regard to the preparat</w:t>
            </w:r>
            <w:r w:rsidRPr="00EC4B38">
              <w:t>ion of appropriate information and activities.</w:t>
            </w:r>
          </w:p>
        </w:tc>
      </w:tr>
    </w:tbl>
    <w:p w:rsidR="00000000" w:rsidRPr="00EC4B38" w:rsidP="00EC4B38">
      <w:pPr>
        <w:pStyle w:val="BodyText"/>
      </w:pPr>
    </w:p>
    <w:p w:rsidR="00000000" w:rsidRPr="00EC4B38" w:rsidP="00EC4B38">
      <w:pPr>
        <w:pStyle w:val="AllowPageBreak"/>
      </w:pPr>
    </w:p>
    <w:p w:rsidR="00000000" w:rsidRPr="00EC4B38" w:rsidP="00EC4B38">
      <w:pPr>
        <w:pStyle w:val="Heading1"/>
      </w:pPr>
      <w:bookmarkStart w:id="8" w:name="O_1230093"/>
      <w:bookmarkEnd w:id="8"/>
      <w:r w:rsidRPr="00EC4B38">
        <w:t>Unit Mapping Information</w:t>
      </w:r>
    </w:p>
    <w:p w:rsidR="00000000" w:rsidRPr="00EC4B38" w:rsidP="006540FD">
      <w:pPr>
        <w:pStyle w:val="BodyText"/>
      </w:pPr>
      <w:r w:rsidRPr="00EC4B38">
        <w:t>Supersedes and is equivalent to SITTGDE001 Interpret aspects of local Australian Indigenous culture.</w:t>
      </w:r>
    </w:p>
    <w:p w:rsidR="00000000" w:rsidRPr="00EC4B38" w:rsidP="00EC4B38">
      <w:pPr>
        <w:pStyle w:val="Heading1"/>
      </w:pPr>
      <w:bookmarkStart w:id="9" w:name="O_1230086"/>
      <w:bookmarkEnd w:id="9"/>
      <w:r w:rsidRPr="00EC4B38">
        <w:t>Links</w:t>
      </w:r>
    </w:p>
    <w:p w:rsidR="00000000" w:rsidRPr="00EC4B38" w:rsidP="006540FD">
      <w:pPr>
        <w:pStyle w:val="BodyText"/>
      </w:pPr>
      <w:r w:rsidRPr="00EC4B3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67EAD">
        <w:rPr>
          <w:rStyle w:val="Hyperlink"/>
        </w:rPr>
        <w:t>https://vetnet.gov.au/Pages/TrainingDocs.aspx?q=68c40a93-e51d-4e0f-bc06-899dff092694</w:t>
      </w:r>
      <w:r>
        <w:fldChar w:fldCharType="end"/>
      </w:r>
    </w:p>
    <w:p w:rsidR="00000000" w:rsidRPr="00EC4B38" w:rsidP="00EC4B38"/>
    <w:sectPr w:rsidSect="00EC4B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38" w:rsidRPr="006540FD" w:rsidP="00654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FD" w:rsidP="00EC4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40FD" w:rsidP="00EC4B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540FD" w:rsidP="00EC4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B38" w:rsidRPr="006540FD" w:rsidP="006540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0FD" w:rsidRPr="002D2AF8" w:rsidP="00EC4B38">
    <w:pPr>
      <w:pStyle w:val="Header"/>
      <w:framePr w:wrap="around"/>
    </w:pPr>
    <w:r>
      <w:fldChar w:fldCharType="begin"/>
    </w:r>
    <w:r>
      <w:instrText xml:space="preserve"> TITLE   \* MERGEFORMAT </w:instrText>
    </w:r>
    <w:r>
      <w:fldChar w:fldCharType="separate"/>
    </w:r>
    <w:r>
      <w:t>SITTGDE013 Interpret aspects of local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540FD" w:rsidP="00EC4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F4CD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08A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B38"/>
    <w:pPr>
      <w:spacing w:before="360" w:after="60"/>
      <w:outlineLvl w:val="0"/>
    </w:pPr>
    <w:rPr>
      <w:sz w:val="32"/>
    </w:rPr>
  </w:style>
  <w:style w:type="paragraph" w:styleId="Heading2">
    <w:name w:val="heading 2"/>
    <w:basedOn w:val="HeadingBase"/>
    <w:next w:val="BodyText"/>
    <w:link w:val="Heading2Char"/>
    <w:qFormat/>
    <w:rsid w:val="00EC4B38"/>
    <w:pPr>
      <w:keepLines/>
      <w:spacing w:before="240" w:after="120"/>
      <w:outlineLvl w:val="1"/>
    </w:pPr>
    <w:rPr>
      <w:sz w:val="28"/>
      <w:szCs w:val="40"/>
    </w:rPr>
  </w:style>
  <w:style w:type="paragraph" w:styleId="Heading3">
    <w:name w:val="heading 3"/>
    <w:basedOn w:val="HeadingBase"/>
    <w:next w:val="BodyText"/>
    <w:link w:val="Heading3Char"/>
    <w:qFormat/>
    <w:rsid w:val="00EC4B38"/>
    <w:pPr>
      <w:spacing w:before="180" w:after="120"/>
      <w:outlineLvl w:val="2"/>
    </w:pPr>
    <w:rPr>
      <w:spacing w:val="-10"/>
      <w:kern w:val="32"/>
    </w:rPr>
  </w:style>
  <w:style w:type="paragraph" w:styleId="Heading4">
    <w:name w:val="heading 4"/>
    <w:basedOn w:val="HeadingBase"/>
    <w:next w:val="BodyText"/>
    <w:link w:val="Heading4Char"/>
    <w:qFormat/>
    <w:rsid w:val="00EC4B38"/>
    <w:pPr>
      <w:spacing w:before="160" w:after="120"/>
      <w:outlineLvl w:val="3"/>
    </w:pPr>
    <w:rPr>
      <w:sz w:val="22"/>
    </w:rPr>
  </w:style>
  <w:style w:type="paragraph" w:styleId="Heading5">
    <w:name w:val="heading 5"/>
    <w:basedOn w:val="HeadingBase"/>
    <w:next w:val="Normal"/>
    <w:link w:val="Heading5Char"/>
    <w:qFormat/>
    <w:rsid w:val="00EC4B38"/>
    <w:pPr>
      <w:spacing w:before="80"/>
      <w:outlineLvl w:val="4"/>
    </w:pPr>
    <w:rPr>
      <w:color w:val="918585"/>
      <w:sz w:val="20"/>
    </w:rPr>
  </w:style>
  <w:style w:type="paragraph" w:styleId="Heading6">
    <w:name w:val="heading 6"/>
    <w:basedOn w:val="HeadingBase"/>
    <w:next w:val="Normal"/>
    <w:link w:val="Heading6Char"/>
    <w:qFormat/>
    <w:rsid w:val="00EC4B38"/>
    <w:pPr>
      <w:spacing w:before="60"/>
      <w:outlineLvl w:val="5"/>
    </w:pPr>
    <w:rPr>
      <w:color w:val="918585"/>
      <w:sz w:val="20"/>
    </w:rPr>
  </w:style>
  <w:style w:type="paragraph" w:styleId="Heading7">
    <w:name w:val="heading 7"/>
    <w:basedOn w:val="Normal"/>
    <w:next w:val="Normal"/>
    <w:link w:val="Heading7Char"/>
    <w:qFormat/>
    <w:rsid w:val="00EC4B38"/>
    <w:pPr>
      <w:ind w:left="720"/>
      <w:outlineLvl w:val="6"/>
    </w:pPr>
    <w:rPr>
      <w:i/>
    </w:rPr>
  </w:style>
  <w:style w:type="paragraph" w:styleId="Heading8">
    <w:name w:val="heading 8"/>
    <w:basedOn w:val="Normal"/>
    <w:next w:val="Normal"/>
    <w:link w:val="Heading8Char"/>
    <w:qFormat/>
    <w:rsid w:val="00EC4B38"/>
    <w:pPr>
      <w:ind w:left="720"/>
      <w:outlineLvl w:val="7"/>
    </w:pPr>
    <w:rPr>
      <w:i/>
    </w:rPr>
  </w:style>
  <w:style w:type="paragraph" w:styleId="Heading9">
    <w:name w:val="heading 9"/>
    <w:basedOn w:val="Normal"/>
    <w:next w:val="Normal"/>
    <w:link w:val="Heading9Char"/>
    <w:qFormat/>
    <w:rsid w:val="00EC4B38"/>
    <w:pPr>
      <w:ind w:left="720"/>
      <w:outlineLvl w:val="8"/>
    </w:pPr>
    <w:rPr>
      <w:i/>
    </w:rPr>
  </w:style>
  <w:style w:type="character" w:default="1" w:styleId="DefaultParagraphFont">
    <w:name w:val="Default Paragraph Font"/>
    <w:uiPriority w:val="1"/>
    <w:unhideWhenUsed/>
    <w:rsid w:val="00EC4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B38"/>
  </w:style>
  <w:style w:type="character" w:customStyle="1" w:styleId="Heading1Char">
    <w:name w:val="Heading 1 Char"/>
    <w:basedOn w:val="DefaultParagraphFont"/>
    <w:link w:val="Heading1"/>
    <w:rsid w:val="00EC4B38"/>
    <w:rPr>
      <w:rFonts w:ascii="Times New Roman" w:eastAsia="Times New Roman" w:hAnsi="Times New Roman" w:cs="Times New Roman"/>
      <w:b/>
      <w:sz w:val="32"/>
      <w:szCs w:val="20"/>
      <w:lang w:eastAsia="en-US"/>
    </w:rPr>
  </w:style>
  <w:style w:type="paragraph" w:styleId="BodyText">
    <w:name w:val="Body Text"/>
    <w:basedOn w:val="Normal"/>
    <w:link w:val="BodyTextChar"/>
    <w:rsid w:val="00EC4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B38"/>
    <w:rPr>
      <w:rFonts w:ascii="Times New Roman" w:eastAsia="Times New Roman" w:hAnsi="Times New Roman" w:cs="Times New Roman"/>
      <w:sz w:val="24"/>
      <w:lang w:eastAsia="en-US"/>
    </w:rPr>
  </w:style>
  <w:style w:type="paragraph" w:styleId="List">
    <w:name w:val="List"/>
    <w:basedOn w:val="BodyText"/>
    <w:next w:val="BodyText"/>
    <w:rsid w:val="00EC4B38"/>
    <w:pPr>
      <w:tabs>
        <w:tab w:val="left" w:pos="340"/>
      </w:tabs>
      <w:spacing w:before="60" w:after="60"/>
      <w:ind w:left="340" w:hanging="340"/>
    </w:pPr>
  </w:style>
  <w:style w:type="paragraph" w:styleId="ListBullet">
    <w:name w:val="List Bullet"/>
    <w:basedOn w:val="List"/>
    <w:rsid w:val="00EC4B38"/>
    <w:pPr>
      <w:numPr>
        <w:numId w:val="11"/>
      </w:numPr>
      <w:tabs>
        <w:tab w:val="clear" w:pos="340"/>
      </w:tabs>
      <w:spacing w:before="40" w:after="40"/>
    </w:pPr>
  </w:style>
  <w:style w:type="character" w:customStyle="1" w:styleId="SpecialBold">
    <w:name w:val="Special Bold"/>
    <w:basedOn w:val="DefaultParagraphFont"/>
    <w:rsid w:val="00EC4B38"/>
    <w:rPr>
      <w:b/>
      <w:spacing w:val="0"/>
    </w:rPr>
  </w:style>
  <w:style w:type="character" w:styleId="Emphasis">
    <w:name w:val="Emphasis"/>
    <w:basedOn w:val="DefaultParagraphFont"/>
    <w:qFormat/>
    <w:rsid w:val="00EC4B38"/>
    <w:rPr>
      <w:i/>
    </w:rPr>
  </w:style>
  <w:style w:type="paragraph" w:customStyle="1" w:styleId="SuperHeading">
    <w:name w:val="SuperHeading"/>
    <w:basedOn w:val="Normal"/>
    <w:rsid w:val="00EC4B38"/>
    <w:pPr>
      <w:spacing w:before="240" w:after="120"/>
      <w:outlineLvl w:val="0"/>
    </w:pPr>
    <w:rPr>
      <w:rFonts w:ascii="Times New Roman" w:hAnsi="Times New Roman"/>
      <w:b/>
      <w:sz w:val="32"/>
    </w:rPr>
  </w:style>
  <w:style w:type="paragraph" w:customStyle="1" w:styleId="AllowPageBreak">
    <w:name w:val="AllowPageBreak"/>
    <w:rsid w:val="00EC4B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B38"/>
    <w:rPr>
      <w:rFonts w:ascii="Courier New" w:eastAsia="Times New Roman" w:hAnsi="Courier New" w:cs="Times New Roman"/>
      <w:i/>
      <w:szCs w:val="20"/>
      <w:lang w:eastAsia="en-US"/>
    </w:rPr>
  </w:style>
  <w:style w:type="paragraph" w:customStyle="1" w:styleId="HeadingBase">
    <w:name w:val="Heading Base"/>
    <w:rsid w:val="00EC4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B38"/>
    <w:pPr>
      <w:tabs>
        <w:tab w:val="right" w:leader="dot" w:pos="9072"/>
      </w:tabs>
      <w:ind w:left="567"/>
    </w:pPr>
    <w:rPr>
      <w:szCs w:val="22"/>
    </w:rPr>
  </w:style>
  <w:style w:type="paragraph" w:customStyle="1" w:styleId="TOCBase">
    <w:name w:val="TOC Base"/>
    <w:rsid w:val="00EC4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B38"/>
    <w:pPr>
      <w:tabs>
        <w:tab w:val="right" w:leader="dot" w:pos="9072"/>
      </w:tabs>
      <w:spacing w:before="40" w:after="40"/>
      <w:ind w:left="284"/>
    </w:pPr>
    <w:rPr>
      <w:rFonts w:ascii="Times New Roman" w:hAnsi="Times New Roman"/>
    </w:rPr>
  </w:style>
  <w:style w:type="paragraph" w:styleId="TOC1">
    <w:name w:val="toc 1"/>
    <w:basedOn w:val="TOCBase"/>
    <w:next w:val="Normal"/>
    <w:rsid w:val="00EC4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B38"/>
    <w:rPr>
      <w:rFonts w:ascii="Times New Roman" w:eastAsia="Times New Roman" w:hAnsi="Times New Roman" w:cs="Times New Roman"/>
      <w:sz w:val="16"/>
      <w:lang w:eastAsia="en-US"/>
    </w:rPr>
  </w:style>
  <w:style w:type="paragraph" w:styleId="Title">
    <w:name w:val="Title"/>
    <w:basedOn w:val="HeadingBase"/>
    <w:link w:val="TitleChar"/>
    <w:qFormat/>
    <w:rsid w:val="00EC4B38"/>
    <w:pPr>
      <w:spacing w:before="5040"/>
      <w:jc w:val="center"/>
    </w:pPr>
    <w:rPr>
      <w:sz w:val="48"/>
      <w:szCs w:val="72"/>
      <w:lang w:val="en-US"/>
    </w:rPr>
  </w:style>
  <w:style w:type="character" w:customStyle="1" w:styleId="TitleChar">
    <w:name w:val="Title Char"/>
    <w:basedOn w:val="DefaultParagraphFont"/>
    <w:link w:val="Title"/>
    <w:rsid w:val="00EC4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B38"/>
    <w:pPr>
      <w:tabs>
        <w:tab w:val="left" w:pos="3600"/>
        <w:tab w:val="left" w:pos="3958"/>
      </w:tabs>
    </w:pPr>
  </w:style>
  <w:style w:type="paragraph" w:customStyle="1" w:styleId="Note">
    <w:name w:val="Note"/>
    <w:basedOn w:val="BodyText"/>
    <w:rsid w:val="00EC4B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B38"/>
    <w:pPr>
      <w:framePr w:wrap="auto" w:hAnchor="text" w:y="6049"/>
    </w:pPr>
    <w:rPr>
      <w:color w:val="000000"/>
      <w:sz w:val="40"/>
    </w:rPr>
  </w:style>
  <w:style w:type="paragraph" w:customStyle="1" w:styleId="TOCTitle">
    <w:name w:val="TOCTitle"/>
    <w:basedOn w:val="Heading1"/>
    <w:rsid w:val="00EC4B38"/>
    <w:pPr>
      <w:spacing w:after="240"/>
      <w:jc w:val="center"/>
      <w:outlineLvl w:val="9"/>
    </w:pPr>
    <w:rPr>
      <w:caps/>
    </w:rPr>
  </w:style>
  <w:style w:type="paragraph" w:customStyle="1" w:styleId="Version">
    <w:name w:val="Version"/>
    <w:rsid w:val="00EC4B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4B38"/>
    <w:pPr>
      <w:numPr>
        <w:numId w:val="12"/>
      </w:numPr>
      <w:tabs>
        <w:tab w:val="clear" w:pos="680"/>
      </w:tabs>
    </w:pPr>
  </w:style>
  <w:style w:type="paragraph" w:styleId="Index1">
    <w:name w:val="index 1"/>
    <w:basedOn w:val="Normal"/>
    <w:next w:val="Normal"/>
    <w:semiHidden/>
    <w:rsid w:val="00EC4B38"/>
    <w:pPr>
      <w:keepNext w:val="0"/>
      <w:tabs>
        <w:tab w:val="right" w:pos="4176"/>
      </w:tabs>
      <w:ind w:left="198" w:hanging="198"/>
    </w:pPr>
    <w:rPr>
      <w:rFonts w:ascii="Garamond" w:hAnsi="Garamond"/>
    </w:rPr>
  </w:style>
  <w:style w:type="paragraph" w:styleId="IndexHeading">
    <w:name w:val="index heading"/>
    <w:basedOn w:val="Normal"/>
    <w:next w:val="Index1"/>
    <w:semiHidden/>
    <w:rsid w:val="00EC4B38"/>
    <w:pPr>
      <w:spacing w:before="120" w:after="120"/>
    </w:pPr>
    <w:rPr>
      <w:rFonts w:ascii="Arial" w:hAnsi="Arial"/>
      <w:b/>
      <w:color w:val="918585"/>
      <w:sz w:val="24"/>
    </w:rPr>
  </w:style>
  <w:style w:type="paragraph" w:styleId="Header">
    <w:name w:val="header"/>
    <w:basedOn w:val="Normal"/>
    <w:link w:val="HeaderChar"/>
    <w:rsid w:val="00EC4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B38"/>
    <w:rPr>
      <w:rFonts w:ascii="Times New Roman" w:eastAsia="Times New Roman" w:hAnsi="Times New Roman" w:cs="Times New Roman"/>
      <w:sz w:val="16"/>
      <w:szCs w:val="20"/>
      <w:lang w:val="en-GB" w:eastAsia="en-US"/>
    </w:rPr>
  </w:style>
  <w:style w:type="paragraph" w:customStyle="1" w:styleId="Chapter">
    <w:name w:val="Chapter"/>
    <w:basedOn w:val="Normal"/>
    <w:rsid w:val="00EC4B38"/>
    <w:pPr>
      <w:spacing w:before="240"/>
    </w:pPr>
    <w:rPr>
      <w:rFonts w:ascii="Times New Roman" w:hAnsi="Times New Roman"/>
      <w:smallCaps/>
      <w:spacing w:val="80"/>
      <w:sz w:val="28"/>
    </w:rPr>
  </w:style>
  <w:style w:type="paragraph" w:customStyle="1" w:styleId="InChapter">
    <w:name w:val="InChapter"/>
    <w:basedOn w:val="Heading3"/>
    <w:rsid w:val="00EC4B38"/>
    <w:pPr>
      <w:spacing w:after="240"/>
      <w:outlineLvl w:val="9"/>
    </w:pPr>
    <w:rPr>
      <w:noProof/>
    </w:rPr>
  </w:style>
  <w:style w:type="paragraph" w:styleId="Index2">
    <w:name w:val="index 2"/>
    <w:basedOn w:val="Normal"/>
    <w:next w:val="Normal"/>
    <w:semiHidden/>
    <w:rsid w:val="00EC4B38"/>
    <w:pPr>
      <w:tabs>
        <w:tab w:val="right" w:pos="4176"/>
      </w:tabs>
      <w:ind w:left="568" w:hanging="284"/>
    </w:pPr>
    <w:rPr>
      <w:rFonts w:ascii="Garamond" w:hAnsi="Garamond"/>
    </w:rPr>
  </w:style>
  <w:style w:type="paragraph" w:customStyle="1" w:styleId="Byline">
    <w:name w:val="Byline"/>
    <w:rsid w:val="00EC4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B38"/>
    <w:pPr>
      <w:tabs>
        <w:tab w:val="clear" w:pos="3600"/>
        <w:tab w:val="clear" w:pos="3958"/>
      </w:tabs>
      <w:jc w:val="right"/>
    </w:pPr>
  </w:style>
  <w:style w:type="paragraph" w:styleId="Caption">
    <w:name w:val="caption"/>
    <w:basedOn w:val="BodyText"/>
    <w:next w:val="Normal"/>
    <w:qFormat/>
    <w:rsid w:val="00EC4B38"/>
    <w:pPr>
      <w:framePr w:w="2268" w:hSpace="181" w:vSpace="181" w:wrap="around" w:vAnchor="text" w:hAnchor="page" w:x="1135" w:y="285" w:anchorLock="1"/>
    </w:pPr>
    <w:rPr>
      <w:i/>
    </w:rPr>
  </w:style>
  <w:style w:type="paragraph" w:customStyle="1" w:styleId="MiniTOCTitle">
    <w:name w:val="MiniTOCTitle"/>
    <w:basedOn w:val="Heading4"/>
    <w:rsid w:val="00EC4B38"/>
    <w:pPr>
      <w:spacing w:before="240"/>
      <w:outlineLvl w:val="9"/>
    </w:pPr>
    <w:rPr>
      <w:noProof/>
      <w:sz w:val="24"/>
    </w:rPr>
  </w:style>
  <w:style w:type="paragraph" w:customStyle="1" w:styleId="MiniTOCItem">
    <w:name w:val="MiniTOCItem"/>
    <w:basedOn w:val="ListBullet"/>
    <w:rsid w:val="00EC4B38"/>
    <w:pPr>
      <w:numPr>
        <w:numId w:val="0"/>
      </w:numPr>
      <w:tabs>
        <w:tab w:val="right" w:leader="dot" w:pos="6521"/>
      </w:tabs>
      <w:spacing w:before="0" w:after="0"/>
    </w:pPr>
  </w:style>
  <w:style w:type="paragraph" w:customStyle="1" w:styleId="TOFTitle">
    <w:name w:val="TOFTitle"/>
    <w:basedOn w:val="TOCTitle"/>
    <w:rsid w:val="00EC4B38"/>
  </w:style>
  <w:style w:type="paragraph" w:styleId="TableofFigures">
    <w:name w:val="table of figures"/>
    <w:basedOn w:val="Normal"/>
    <w:next w:val="Normal"/>
    <w:semiHidden/>
    <w:rsid w:val="00EC4B38"/>
    <w:pPr>
      <w:tabs>
        <w:tab w:val="right" w:leader="dot" w:pos="9072"/>
      </w:tabs>
      <w:ind w:left="970" w:hanging="403"/>
    </w:pPr>
    <w:rPr>
      <w:rFonts w:ascii="Times New Roman" w:hAnsi="Times New Roman"/>
      <w:b/>
    </w:rPr>
  </w:style>
  <w:style w:type="paragraph" w:styleId="ListNumber">
    <w:name w:val="List Number"/>
    <w:basedOn w:val="List"/>
    <w:rsid w:val="00EC4B38"/>
    <w:pPr>
      <w:numPr>
        <w:numId w:val="14"/>
      </w:numPr>
      <w:tabs>
        <w:tab w:val="clear" w:pos="340"/>
      </w:tabs>
    </w:pPr>
  </w:style>
  <w:style w:type="character" w:customStyle="1" w:styleId="WingdingSymbols">
    <w:name w:val="Wingding Symbols"/>
    <w:rsid w:val="00EC4B38"/>
    <w:rPr>
      <w:rFonts w:ascii="Wingdings" w:hAnsi="Wingdings"/>
    </w:rPr>
  </w:style>
  <w:style w:type="paragraph" w:customStyle="1" w:styleId="TableHeading">
    <w:name w:val="Table Heading"/>
    <w:basedOn w:val="HeadingBase"/>
    <w:rsid w:val="00EC4B38"/>
    <w:pPr>
      <w:keepLines/>
      <w:pBdr>
        <w:bottom w:val="single" w:sz="6" w:space="1" w:color="918585"/>
      </w:pBdr>
      <w:spacing w:before="240"/>
    </w:pPr>
  </w:style>
  <w:style w:type="character" w:customStyle="1" w:styleId="HotSpot">
    <w:name w:val="HotSpot"/>
    <w:rsid w:val="00EC4B38"/>
    <w:rPr>
      <w:color w:val="0033CC"/>
      <w:u w:val="none"/>
    </w:rPr>
  </w:style>
  <w:style w:type="paragraph" w:customStyle="1" w:styleId="BodyTextRight">
    <w:name w:val="Body Text Right"/>
    <w:basedOn w:val="BodyText"/>
    <w:rsid w:val="00EC4B38"/>
    <w:pPr>
      <w:spacing w:before="0" w:after="0"/>
      <w:jc w:val="right"/>
    </w:pPr>
  </w:style>
  <w:style w:type="paragraph" w:styleId="Index3">
    <w:name w:val="index 3"/>
    <w:basedOn w:val="ListNumber2"/>
    <w:next w:val="Normal"/>
    <w:semiHidden/>
    <w:rsid w:val="00EC4B38"/>
    <w:pPr>
      <w:numPr>
        <w:numId w:val="0"/>
      </w:numPr>
      <w:tabs>
        <w:tab w:val="right" w:leader="dot" w:pos="4176"/>
      </w:tabs>
    </w:pPr>
  </w:style>
  <w:style w:type="paragraph" w:styleId="ListNumber2">
    <w:name w:val="List Number 2"/>
    <w:basedOn w:val="List2"/>
    <w:rsid w:val="00EC4B38"/>
    <w:pPr>
      <w:numPr>
        <w:numId w:val="9"/>
      </w:numPr>
      <w:tabs>
        <w:tab w:val="clear" w:pos="1060"/>
      </w:tabs>
    </w:pPr>
  </w:style>
  <w:style w:type="paragraph" w:customStyle="1" w:styleId="MarginNote">
    <w:name w:val="Margin Note"/>
    <w:basedOn w:val="BodyText"/>
    <w:rsid w:val="00EC4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B38"/>
    <w:rPr>
      <w:sz w:val="32"/>
    </w:rPr>
  </w:style>
  <w:style w:type="paragraph" w:customStyle="1" w:styleId="HeadingProcedure">
    <w:name w:val="Heading Procedure"/>
    <w:basedOn w:val="HeadingBase"/>
    <w:next w:val="Normal"/>
    <w:rsid w:val="00EC4B38"/>
    <w:pPr>
      <w:tabs>
        <w:tab w:val="left" w:pos="0"/>
      </w:tabs>
      <w:spacing w:before="120" w:after="60"/>
    </w:pPr>
    <w:rPr>
      <w:i/>
      <w:color w:val="918585"/>
      <w:sz w:val="22"/>
    </w:rPr>
  </w:style>
  <w:style w:type="paragraph" w:customStyle="1" w:styleId="TableBodyText">
    <w:name w:val="Table Body Text"/>
    <w:basedOn w:val="BodyText"/>
    <w:rsid w:val="00EC4B38"/>
    <w:pPr>
      <w:spacing w:before="60" w:after="60"/>
    </w:pPr>
  </w:style>
  <w:style w:type="paragraph" w:styleId="ListContinue">
    <w:name w:val="List Continue"/>
    <w:basedOn w:val="List"/>
    <w:rsid w:val="00EC4B38"/>
    <w:pPr>
      <w:ind w:firstLine="0"/>
    </w:pPr>
  </w:style>
  <w:style w:type="paragraph" w:customStyle="1" w:styleId="ListNote">
    <w:name w:val="List Note"/>
    <w:basedOn w:val="List"/>
    <w:rsid w:val="00EC4B38"/>
    <w:pPr>
      <w:pBdr>
        <w:top w:val="single" w:sz="6" w:space="2" w:color="918585"/>
        <w:bottom w:val="single" w:sz="6" w:space="2" w:color="918585"/>
      </w:pBdr>
      <w:tabs>
        <w:tab w:val="left" w:pos="1021"/>
      </w:tabs>
      <w:ind w:firstLine="0"/>
    </w:pPr>
  </w:style>
  <w:style w:type="paragraph" w:customStyle="1" w:styleId="Warning">
    <w:name w:val="Warning"/>
    <w:basedOn w:val="BodyText"/>
    <w:rsid w:val="00EC4B38"/>
    <w:pPr>
      <w:shd w:val="clear" w:color="auto" w:fill="D9D9D9"/>
      <w:tabs>
        <w:tab w:val="left" w:pos="992"/>
      </w:tabs>
      <w:ind w:left="119" w:right="119"/>
    </w:pPr>
    <w:rPr>
      <w:sz w:val="20"/>
    </w:rPr>
  </w:style>
  <w:style w:type="paragraph" w:customStyle="1" w:styleId="MarginIcons">
    <w:name w:val="Margin Icons"/>
    <w:basedOn w:val="BodyText"/>
    <w:rsid w:val="00EC4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B38"/>
    <w:rPr>
      <w:rFonts w:ascii="Courier New" w:hAnsi="Courier New"/>
    </w:rPr>
  </w:style>
  <w:style w:type="paragraph" w:customStyle="1" w:styleId="NoteBullet">
    <w:name w:val="Note Bullet"/>
    <w:basedOn w:val="Note"/>
    <w:rsid w:val="00EC4B38"/>
    <w:pPr>
      <w:tabs>
        <w:tab w:val="clear" w:pos="680"/>
      </w:tabs>
      <w:spacing w:before="60" w:after="60"/>
    </w:pPr>
  </w:style>
  <w:style w:type="paragraph" w:customStyle="1" w:styleId="SubHeading2">
    <w:name w:val="SubHeading2"/>
    <w:basedOn w:val="HeadingBase"/>
    <w:rsid w:val="00EC4B38"/>
    <w:pPr>
      <w:spacing w:before="240" w:after="60"/>
    </w:pPr>
    <w:rPr>
      <w:sz w:val="20"/>
    </w:rPr>
  </w:style>
  <w:style w:type="paragraph" w:customStyle="1" w:styleId="SubHeading1">
    <w:name w:val="SubHeading1"/>
    <w:basedOn w:val="HeadingBase"/>
    <w:rsid w:val="00EC4B38"/>
    <w:pPr>
      <w:spacing w:before="240" w:after="60"/>
    </w:pPr>
    <w:rPr>
      <w:color w:val="918585"/>
      <w:sz w:val="22"/>
    </w:rPr>
  </w:style>
  <w:style w:type="paragraph" w:customStyle="1" w:styleId="SideHeading">
    <w:name w:val="Side Heading"/>
    <w:basedOn w:val="HeadingBase"/>
    <w:rsid w:val="00EC4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B38"/>
    <w:pPr>
      <w:numPr>
        <w:numId w:val="10"/>
      </w:numPr>
    </w:pPr>
  </w:style>
  <w:style w:type="paragraph" w:styleId="PlainText">
    <w:name w:val="Plain Text"/>
    <w:basedOn w:val="Normal"/>
    <w:link w:val="PlainTextChar"/>
    <w:rsid w:val="00EC4B38"/>
    <w:rPr>
      <w:sz w:val="20"/>
    </w:rPr>
  </w:style>
  <w:style w:type="character" w:customStyle="1" w:styleId="PlainTextChar">
    <w:name w:val="Plain Text Char"/>
    <w:basedOn w:val="DefaultParagraphFont"/>
    <w:link w:val="PlainText"/>
    <w:rsid w:val="00EC4B38"/>
    <w:rPr>
      <w:rFonts w:ascii="Courier New" w:eastAsia="Times New Roman" w:hAnsi="Courier New" w:cs="Times New Roman"/>
      <w:sz w:val="20"/>
      <w:szCs w:val="20"/>
      <w:lang w:eastAsia="en-US"/>
    </w:rPr>
  </w:style>
  <w:style w:type="character" w:customStyle="1" w:styleId="MenuOption">
    <w:name w:val="Menu Option"/>
    <w:basedOn w:val="DefaultParagraphFont"/>
    <w:rsid w:val="00EC4B38"/>
    <w:rPr>
      <w:b/>
      <w:smallCaps/>
    </w:rPr>
  </w:style>
  <w:style w:type="paragraph" w:customStyle="1" w:styleId="TableListNumber">
    <w:name w:val="Table List Number"/>
    <w:basedOn w:val="ListNumber"/>
    <w:rsid w:val="00EC4B38"/>
    <w:pPr>
      <w:numPr>
        <w:numId w:val="0"/>
      </w:numPr>
    </w:pPr>
  </w:style>
  <w:style w:type="paragraph" w:styleId="TOC4">
    <w:name w:val="toc 4"/>
    <w:basedOn w:val="TOCBase"/>
    <w:next w:val="Normal"/>
    <w:semiHidden/>
    <w:rsid w:val="00EC4B38"/>
    <w:pPr>
      <w:tabs>
        <w:tab w:val="right" w:leader="dot" w:pos="9071"/>
      </w:tabs>
      <w:ind w:left="1701"/>
    </w:pPr>
  </w:style>
  <w:style w:type="paragraph" w:customStyle="1" w:styleId="ListAlpha">
    <w:name w:val="List Alpha"/>
    <w:basedOn w:val="List"/>
    <w:rsid w:val="00EC4B38"/>
    <w:pPr>
      <w:numPr>
        <w:numId w:val="8"/>
      </w:numPr>
    </w:pPr>
  </w:style>
  <w:style w:type="paragraph" w:customStyle="1" w:styleId="ListAlpha2">
    <w:name w:val="List Alpha 2"/>
    <w:basedOn w:val="List2"/>
    <w:rsid w:val="00EC4B38"/>
    <w:pPr>
      <w:numPr>
        <w:numId w:val="7"/>
      </w:numPr>
    </w:pPr>
  </w:style>
  <w:style w:type="paragraph" w:styleId="List2">
    <w:name w:val="List 2"/>
    <w:basedOn w:val="BodyText"/>
    <w:rsid w:val="00EC4B38"/>
    <w:pPr>
      <w:tabs>
        <w:tab w:val="left" w:pos="680"/>
      </w:tabs>
      <w:spacing w:before="60" w:after="60"/>
      <w:ind w:left="680" w:hanging="340"/>
    </w:pPr>
  </w:style>
  <w:style w:type="paragraph" w:styleId="List3">
    <w:name w:val="List 3"/>
    <w:basedOn w:val="BodyText"/>
    <w:rsid w:val="00EC4B38"/>
    <w:pPr>
      <w:tabs>
        <w:tab w:val="left" w:pos="1021"/>
      </w:tabs>
      <w:spacing w:before="60" w:after="60"/>
      <w:ind w:left="1020" w:hanging="340"/>
    </w:pPr>
  </w:style>
  <w:style w:type="paragraph" w:styleId="List4">
    <w:name w:val="List 4"/>
    <w:basedOn w:val="BodyText"/>
    <w:rsid w:val="00EC4B38"/>
    <w:pPr>
      <w:tabs>
        <w:tab w:val="left" w:pos="1361"/>
      </w:tabs>
      <w:spacing w:before="60" w:after="60"/>
      <w:ind w:left="1361" w:hanging="340"/>
    </w:pPr>
  </w:style>
  <w:style w:type="paragraph" w:styleId="List5">
    <w:name w:val="List 5"/>
    <w:basedOn w:val="BodyText"/>
    <w:rsid w:val="00EC4B38"/>
    <w:pPr>
      <w:tabs>
        <w:tab w:val="left" w:pos="1701"/>
      </w:tabs>
      <w:spacing w:before="60" w:after="60"/>
      <w:ind w:left="1701" w:hanging="340"/>
    </w:pPr>
  </w:style>
  <w:style w:type="paragraph" w:styleId="ListBullet3">
    <w:name w:val="List Bullet 3"/>
    <w:basedOn w:val="List3"/>
    <w:rsid w:val="00EC4B38"/>
    <w:pPr>
      <w:numPr>
        <w:numId w:val="13"/>
      </w:numPr>
      <w:tabs>
        <w:tab w:val="clear" w:pos="1021"/>
      </w:tabs>
      <w:ind w:left="1037" w:hanging="357"/>
    </w:pPr>
  </w:style>
  <w:style w:type="paragraph" w:styleId="ListBullet4">
    <w:name w:val="List Bullet 4"/>
    <w:basedOn w:val="List4"/>
    <w:rsid w:val="00EC4B38"/>
    <w:pPr>
      <w:numPr>
        <w:numId w:val="2"/>
      </w:numPr>
      <w:tabs>
        <w:tab w:val="clear" w:pos="1361"/>
      </w:tabs>
    </w:pPr>
  </w:style>
  <w:style w:type="paragraph" w:styleId="ListBullet5">
    <w:name w:val="List Bullet 5"/>
    <w:basedOn w:val="List5"/>
    <w:rsid w:val="00EC4B38"/>
    <w:pPr>
      <w:numPr>
        <w:numId w:val="3"/>
      </w:numPr>
    </w:pPr>
  </w:style>
  <w:style w:type="paragraph" w:styleId="ListContinue2">
    <w:name w:val="List Continue 2"/>
    <w:basedOn w:val="List2"/>
    <w:rsid w:val="00EC4B38"/>
    <w:pPr>
      <w:ind w:firstLine="0"/>
    </w:pPr>
  </w:style>
  <w:style w:type="paragraph" w:styleId="ListContinue3">
    <w:name w:val="List Continue 3"/>
    <w:basedOn w:val="List3"/>
    <w:rsid w:val="00EC4B38"/>
    <w:pPr>
      <w:ind w:left="1021" w:firstLine="0"/>
    </w:pPr>
  </w:style>
  <w:style w:type="paragraph" w:styleId="ListContinue4">
    <w:name w:val="List Continue 4"/>
    <w:basedOn w:val="List4"/>
    <w:rsid w:val="00EC4B38"/>
    <w:pPr>
      <w:ind w:firstLine="0"/>
    </w:pPr>
  </w:style>
  <w:style w:type="paragraph" w:styleId="ListContinue5">
    <w:name w:val="List Continue 5"/>
    <w:basedOn w:val="List5"/>
    <w:rsid w:val="00EC4B38"/>
    <w:pPr>
      <w:ind w:firstLine="0"/>
    </w:pPr>
  </w:style>
  <w:style w:type="paragraph" w:styleId="ListNumber3">
    <w:name w:val="List Number 3"/>
    <w:basedOn w:val="List3"/>
    <w:rsid w:val="00EC4B38"/>
    <w:pPr>
      <w:numPr>
        <w:numId w:val="4"/>
      </w:numPr>
    </w:pPr>
  </w:style>
  <w:style w:type="paragraph" w:styleId="ListNumber4">
    <w:name w:val="List Number 4"/>
    <w:basedOn w:val="List4"/>
    <w:rsid w:val="00EC4B38"/>
    <w:pPr>
      <w:numPr>
        <w:numId w:val="5"/>
      </w:numPr>
    </w:pPr>
  </w:style>
  <w:style w:type="paragraph" w:styleId="ListNumber5">
    <w:name w:val="List Number 5"/>
    <w:basedOn w:val="List5"/>
    <w:rsid w:val="00EC4B38"/>
    <w:pPr>
      <w:numPr>
        <w:numId w:val="6"/>
      </w:numPr>
    </w:pPr>
  </w:style>
  <w:style w:type="paragraph" w:styleId="BlockText">
    <w:name w:val="Block Text"/>
    <w:basedOn w:val="Normal"/>
    <w:rsid w:val="00EC4B38"/>
    <w:pPr>
      <w:spacing w:after="120"/>
      <w:ind w:left="1440" w:right="1440"/>
    </w:pPr>
  </w:style>
  <w:style w:type="character" w:customStyle="1" w:styleId="Subscript">
    <w:name w:val="Subscript"/>
    <w:basedOn w:val="DefaultParagraphFont"/>
    <w:rsid w:val="00EC4B38"/>
    <w:rPr>
      <w:sz w:val="16"/>
      <w:vertAlign w:val="subscript"/>
    </w:rPr>
  </w:style>
  <w:style w:type="character" w:customStyle="1" w:styleId="Superscript">
    <w:name w:val="Superscript"/>
    <w:basedOn w:val="DefaultParagraphFont"/>
    <w:rsid w:val="00EC4B38"/>
    <w:rPr>
      <w:sz w:val="16"/>
      <w:vertAlign w:val="superscript"/>
    </w:rPr>
  </w:style>
  <w:style w:type="character" w:customStyle="1" w:styleId="Symbols">
    <w:name w:val="Symbols"/>
    <w:basedOn w:val="DefaultParagraphFont"/>
    <w:rsid w:val="00EC4B38"/>
    <w:rPr>
      <w:rFonts w:ascii="Symbol" w:hAnsi="Symbol"/>
    </w:rPr>
  </w:style>
  <w:style w:type="character" w:customStyle="1" w:styleId="MenuOptions">
    <w:name w:val="Menu Options"/>
    <w:basedOn w:val="DefaultParagraphFont"/>
    <w:rsid w:val="00EC4B38"/>
    <w:rPr>
      <w:rFonts w:ascii="Arial Narrow" w:hAnsi="Arial Narrow"/>
      <w:smallCaps/>
    </w:rPr>
  </w:style>
  <w:style w:type="character" w:customStyle="1" w:styleId="Buttons">
    <w:name w:val="Buttons"/>
    <w:basedOn w:val="DefaultParagraphFont"/>
    <w:rsid w:val="00EC4B38"/>
    <w:rPr>
      <w:b/>
    </w:rPr>
  </w:style>
  <w:style w:type="character" w:customStyle="1" w:styleId="Underlined">
    <w:name w:val="Underlined"/>
    <w:basedOn w:val="DefaultParagraphFont"/>
    <w:rsid w:val="00EC4B38"/>
    <w:rPr>
      <w:u w:val="single"/>
    </w:rPr>
  </w:style>
  <w:style w:type="paragraph" w:customStyle="1" w:styleId="TableBodyTextRight">
    <w:name w:val="Table Body Text Right"/>
    <w:basedOn w:val="TableBodyText"/>
    <w:rsid w:val="00EC4B38"/>
    <w:pPr>
      <w:widowControl w:val="0"/>
      <w:autoSpaceDE w:val="0"/>
      <w:autoSpaceDN w:val="0"/>
      <w:adjustRightInd w:val="0"/>
      <w:jc w:val="right"/>
    </w:pPr>
    <w:rPr>
      <w:rFonts w:cs="Arial"/>
      <w:szCs w:val="18"/>
    </w:rPr>
  </w:style>
  <w:style w:type="paragraph" w:customStyle="1" w:styleId="CopyrightText">
    <w:name w:val="Copyright Text"/>
    <w:basedOn w:val="BodyText"/>
    <w:rsid w:val="00EC4B38"/>
    <w:rPr>
      <w:sz w:val="18"/>
    </w:rPr>
  </w:style>
  <w:style w:type="paragraph" w:customStyle="1" w:styleId="BodySmallRight">
    <w:name w:val="Body Small Right"/>
    <w:basedOn w:val="BodyTextRight"/>
    <w:rsid w:val="00EC4B38"/>
    <w:rPr>
      <w:sz w:val="18"/>
      <w:szCs w:val="18"/>
    </w:rPr>
  </w:style>
  <w:style w:type="paragraph" w:customStyle="1" w:styleId="MarginEdition">
    <w:name w:val="Margin Edition"/>
    <w:basedOn w:val="MarginNote"/>
    <w:rsid w:val="00EC4B38"/>
    <w:pPr>
      <w:spacing w:before="0" w:after="0"/>
    </w:pPr>
    <w:rPr>
      <w:rFonts w:ascii="Times New Roman" w:hAnsi="Times New Roman"/>
      <w:color w:val="999999"/>
    </w:rPr>
  </w:style>
  <w:style w:type="paragraph" w:customStyle="1" w:styleId="Spacer">
    <w:name w:val="Spacer"/>
    <w:basedOn w:val="Normal"/>
    <w:rsid w:val="00EC4B38"/>
    <w:rPr>
      <w:sz w:val="2"/>
      <w:szCs w:val="2"/>
    </w:rPr>
  </w:style>
  <w:style w:type="character" w:customStyle="1" w:styleId="Small">
    <w:name w:val="Small"/>
    <w:basedOn w:val="DefaultParagraphFont"/>
    <w:rsid w:val="00EC4B38"/>
    <w:rPr>
      <w:sz w:val="16"/>
    </w:rPr>
  </w:style>
  <w:style w:type="paragraph" w:customStyle="1" w:styleId="WideTable">
    <w:name w:val="Wide Table"/>
    <w:basedOn w:val="Normal"/>
    <w:rsid w:val="00EC4B38"/>
    <w:pPr>
      <w:ind w:left="-1418"/>
    </w:pPr>
    <w:rPr>
      <w:sz w:val="2"/>
      <w:szCs w:val="2"/>
    </w:rPr>
  </w:style>
  <w:style w:type="character" w:styleId="PageNumber">
    <w:name w:val="page number"/>
    <w:basedOn w:val="DefaultParagraphFont"/>
    <w:rsid w:val="00EC4B38"/>
  </w:style>
  <w:style w:type="paragraph" w:styleId="Quote">
    <w:name w:val="Quote"/>
    <w:basedOn w:val="Heading1"/>
    <w:link w:val="QuoteChar"/>
    <w:qFormat/>
    <w:rsid w:val="00EC4B38"/>
    <w:rPr>
      <w:b w:val="0"/>
      <w:sz w:val="72"/>
      <w:szCs w:val="72"/>
      <w:lang w:val="en-NZ"/>
    </w:rPr>
  </w:style>
  <w:style w:type="character" w:customStyle="1" w:styleId="QuoteChar">
    <w:name w:val="Quote Char"/>
    <w:basedOn w:val="DefaultParagraphFont"/>
    <w:link w:val="Quote"/>
    <w:rsid w:val="00EC4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B38"/>
    <w:pPr>
      <w:pageBreakBefore/>
    </w:pPr>
  </w:style>
  <w:style w:type="paragraph" w:customStyle="1" w:styleId="Border">
    <w:name w:val="Border"/>
    <w:basedOn w:val="Normal"/>
    <w:qFormat/>
    <w:rsid w:val="00EC4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B38"/>
    <w:rPr>
      <w:b/>
      <w:bCs/>
      <w:i/>
      <w:iCs/>
      <w:color w:val="auto"/>
    </w:rPr>
  </w:style>
  <w:style w:type="paragraph" w:styleId="IntenseQuote">
    <w:name w:val="Intense Quote"/>
    <w:basedOn w:val="Normal"/>
    <w:next w:val="Normal"/>
    <w:link w:val="IntenseQuoteChar"/>
    <w:uiPriority w:val="30"/>
    <w:qFormat/>
    <w:rsid w:val="00EC4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B38"/>
    <w:rPr>
      <w:smallCaps/>
      <w:color w:val="auto"/>
      <w:u w:val="single"/>
    </w:rPr>
  </w:style>
  <w:style w:type="character" w:styleId="IntenseReference">
    <w:name w:val="Intense Reference"/>
    <w:basedOn w:val="DefaultParagraphFont"/>
    <w:uiPriority w:val="32"/>
    <w:qFormat/>
    <w:rsid w:val="00EC4B38"/>
    <w:rPr>
      <w:b/>
      <w:bCs/>
      <w:smallCaps/>
      <w:color w:val="auto"/>
      <w:spacing w:val="5"/>
      <w:u w:val="single"/>
    </w:rPr>
  </w:style>
  <w:style w:type="paragraph" w:customStyle="1" w:styleId="2ColumnHeading">
    <w:name w:val="2Column Heading"/>
    <w:basedOn w:val="BodyText"/>
    <w:qFormat/>
    <w:rsid w:val="00EC4B38"/>
    <w:pPr>
      <w:spacing w:after="60"/>
      <w:ind w:left="-2268"/>
    </w:pPr>
    <w:rPr>
      <w:b/>
    </w:rPr>
  </w:style>
  <w:style w:type="paragraph" w:customStyle="1" w:styleId="Heading1TOC">
    <w:name w:val="Heading1 TOC"/>
    <w:basedOn w:val="Normal"/>
    <w:qFormat/>
    <w:rsid w:val="00EC4B38"/>
    <w:pPr>
      <w:spacing w:before="240" w:after="120"/>
    </w:pPr>
    <w:rPr>
      <w:rFonts w:ascii="Times New Roman" w:hAnsi="Times New Roman"/>
      <w:b/>
      <w:sz w:val="32"/>
    </w:rPr>
  </w:style>
  <w:style w:type="paragraph" w:customStyle="1" w:styleId="Heading2TOC">
    <w:name w:val="Heading2 TOC"/>
    <w:basedOn w:val="Normal"/>
    <w:qFormat/>
    <w:rsid w:val="00EC4B38"/>
    <w:pPr>
      <w:spacing w:before="240" w:after="60"/>
    </w:pPr>
    <w:rPr>
      <w:rFonts w:ascii="Times New Roman" w:hAnsi="Times New Roman"/>
      <w:b/>
      <w:sz w:val="28"/>
    </w:rPr>
  </w:style>
  <w:style w:type="character" w:customStyle="1" w:styleId="Underline">
    <w:name w:val="Underline"/>
    <w:basedOn w:val="DefaultParagraphFont"/>
    <w:qFormat/>
    <w:rsid w:val="00EC4B38"/>
    <w:rPr>
      <w:u w:val="single"/>
    </w:rPr>
  </w:style>
  <w:style w:type="character" w:customStyle="1" w:styleId="BoldandItalics">
    <w:name w:val="Bold and Italics"/>
    <w:qFormat/>
    <w:rsid w:val="00EC4B38"/>
    <w:rPr>
      <w:b/>
      <w:i/>
      <w:u w:val="none"/>
    </w:rPr>
  </w:style>
  <w:style w:type="paragraph" w:styleId="BalloonText">
    <w:name w:val="Balloon Text"/>
    <w:basedOn w:val="Normal"/>
    <w:link w:val="BalloonTextChar"/>
    <w:rsid w:val="00EC4B38"/>
    <w:rPr>
      <w:rFonts w:ascii="Tahoma" w:hAnsi="Tahoma" w:cs="Tahoma"/>
      <w:sz w:val="16"/>
      <w:szCs w:val="16"/>
    </w:rPr>
  </w:style>
  <w:style w:type="character" w:customStyle="1" w:styleId="BalloonTextChar">
    <w:name w:val="Balloon Text Char"/>
    <w:basedOn w:val="DefaultParagraphFont"/>
    <w:link w:val="BalloonText"/>
    <w:rsid w:val="00EC4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B38"/>
    <w:rPr>
      <w:b/>
      <w:color w:val="660033"/>
      <w:spacing w:val="0"/>
    </w:rPr>
  </w:style>
  <w:style w:type="paragraph" w:customStyle="1" w:styleId="Nameditemlist">
    <w:name w:val="Named item list"/>
    <w:basedOn w:val="BodyText"/>
    <w:qFormat/>
    <w:rsid w:val="00EC4B38"/>
    <w:pPr>
      <w:tabs>
        <w:tab w:val="left" w:pos="2835"/>
      </w:tabs>
      <w:ind w:left="2835" w:hanging="2835"/>
    </w:pPr>
  </w:style>
  <w:style w:type="paragraph" w:customStyle="1" w:styleId="BodyTextnopadding">
    <w:name w:val="Body Text no padding"/>
    <w:basedOn w:val="BodyText"/>
    <w:qFormat/>
    <w:rsid w:val="00EC4B38"/>
    <w:pPr>
      <w:spacing w:before="0" w:after="0"/>
    </w:pPr>
  </w:style>
  <w:style w:type="paragraph" w:customStyle="1" w:styleId="BodyTextBold">
    <w:name w:val="Body Text Bold"/>
    <w:basedOn w:val="BodyText"/>
    <w:qFormat/>
    <w:rsid w:val="00EC4B38"/>
    <w:rPr>
      <w:b/>
    </w:rPr>
  </w:style>
  <w:style w:type="character" w:styleId="Hyperlink">
    <w:name w:val="Hyperlink"/>
    <w:basedOn w:val="DefaultParagraphFont"/>
    <w:uiPriority w:val="99"/>
    <w:unhideWhenUsed/>
    <w:rsid w:val="006540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4018</Characters>
  <Application>Microsoft Office Word</Application>
  <DocSecurity>0</DocSecurity>
  <Lines>118</Lines>
  <Paragraphs>63</Paragraphs>
  <ScaleCrop>false</ScaleCrop>
  <Company>Author-it Software Corporation Ltd.</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SITTGDE013 Interpret aspects of local Australian Indigenous culture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