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4143" w:rsidP="002841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SITTGDE002 Work as a guide</w:t>
      </w:r>
      <w:r>
        <w:fldChar w:fldCharType="end"/>
      </w:r>
    </w:p>
    <w:p w:rsidR="00284143" w:rsidP="00284143">
      <w:pPr>
        <w:pStyle w:val="Version"/>
        <w:sectPr w:rsidSect="006C62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624A" w:rsidP="006C624A">
      <w:pPr>
        <w:pStyle w:val="SuperHeading"/>
      </w:pPr>
      <w:r w:rsidRPr="006C624A">
        <w:t>SITTGDE002 Work as a guide</w:t>
      </w:r>
    </w:p>
    <w:p w:rsidR="00000000" w:rsidRPr="006C624A" w:rsidP="006C624A">
      <w:pPr>
        <w:pStyle w:val="Heading1"/>
      </w:pPr>
      <w:bookmarkStart w:id="1" w:name="O_765352"/>
      <w:bookmarkEnd w:id="1"/>
      <w:r w:rsidRPr="006C624A">
        <w:t>Modification History</w:t>
      </w:r>
    </w:p>
    <w:p w:rsidR="00000000" w:rsidRPr="006C624A" w:rsidP="00284143">
      <w:pPr>
        <w:pStyle w:val="BodyText"/>
      </w:pPr>
      <w:r w:rsidRPr="006C624A">
        <w:t>Not applicable.</w:t>
      </w:r>
    </w:p>
    <w:p w:rsidR="00000000" w:rsidRPr="006C624A" w:rsidP="006C624A">
      <w:pPr>
        <w:pStyle w:val="Heading1"/>
      </w:pPr>
      <w:bookmarkStart w:id="2" w:name="O_765353"/>
      <w:bookmarkEnd w:id="2"/>
      <w:r w:rsidRPr="006C624A">
        <w:t>Application</w:t>
      </w:r>
    </w:p>
    <w:p w:rsidR="00000000" w:rsidRPr="006C624A" w:rsidP="00284143">
      <w:pPr>
        <w:pStyle w:val="BodyText"/>
      </w:pPr>
      <w:r w:rsidRPr="006C624A">
        <w:t>This unit describes the performance outcomes, skills and knowledge required to work effectively as a guide. It covers key legal, ethical, safety, environmental and professional development i</w:t>
      </w:r>
      <w:r w:rsidRPr="006C624A">
        <w:t xml:space="preserve">ssues that guides must consider in their day-to-day work. </w:t>
      </w:r>
    </w:p>
    <w:p w:rsidR="00000000" w:rsidRPr="006C624A" w:rsidP="00284143">
      <w:pPr>
        <w:pStyle w:val="BodyText"/>
      </w:pPr>
      <w:r w:rsidRPr="006C624A">
        <w:t>This unit applies to guides who may work across multiple industry sectors as employees, volunteers, or independent contractors. They may operate within a single site, or in a particular city, regi</w:t>
      </w:r>
      <w:r w:rsidRPr="006C624A">
        <w:t>on or tourist precinct, but often move across sites, cities and regions.</w:t>
      </w:r>
    </w:p>
    <w:p w:rsidR="00000000" w:rsidRPr="006C624A" w:rsidP="00284143">
      <w:pPr>
        <w:pStyle w:val="BodyText"/>
      </w:pPr>
      <w:r w:rsidRPr="006C624A">
        <w:t>Guides apply discretion and judgement within established organisational procedures, and when guiding a tour or activity they take a lead role without supervision. Sometimes guides ar</w:t>
      </w:r>
      <w:r w:rsidRPr="006C624A">
        <w:t>e the owner-operators of small tour operations.</w:t>
      </w:r>
    </w:p>
    <w:p w:rsidR="00000000" w:rsidRPr="006C624A" w:rsidP="00284143">
      <w:pPr>
        <w:pStyle w:val="BodyText"/>
      </w:pPr>
      <w:r w:rsidRPr="006C624A">
        <w:t>Tour guides, residing anywhere in Australia, are required to undertake training and assessment prescribed by Parks Australia to guide within Kakadu and Uluru–Kata Tjuta National Parks in the Northern Territo</w:t>
      </w:r>
      <w:r w:rsidRPr="006C624A">
        <w:t>ry.</w:t>
      </w:r>
    </w:p>
    <w:p w:rsidR="00000000" w:rsidRPr="006C624A" w:rsidP="00284143">
      <w:pPr>
        <w:pStyle w:val="BodyText"/>
      </w:pPr>
      <w:r w:rsidRPr="006C624A">
        <w:t>When working in Queensland, all guides, regardless of their place of residence, are subject to the Queensland Tourism Services Act 2003.</w:t>
      </w:r>
    </w:p>
    <w:p w:rsidR="00284143" w:rsidP="00284143">
      <w:pPr>
        <w:pStyle w:val="BodyText"/>
      </w:pPr>
      <w:r w:rsidRPr="006C624A">
        <w:t>No other occupational licensing, certification or specific legislative requirements apply to this unit at the tim</w:t>
      </w:r>
      <w:r w:rsidRPr="006C624A">
        <w:t>e of publication.</w:t>
      </w:r>
    </w:p>
    <w:p w:rsidR="00000000" w:rsidRPr="006C624A" w:rsidP="006C624A">
      <w:pPr>
        <w:pStyle w:val="Heading1"/>
      </w:pPr>
      <w:bookmarkStart w:id="3" w:name="O_765354"/>
      <w:bookmarkEnd w:id="3"/>
      <w:r w:rsidRPr="006C624A">
        <w:t>Pre-requisite Unit</w:t>
      </w:r>
    </w:p>
    <w:p w:rsidR="00000000" w:rsidRPr="006C624A" w:rsidP="00284143">
      <w:pPr>
        <w:pStyle w:val="BodyText"/>
      </w:pPr>
      <w:r w:rsidRPr="006C624A">
        <w:t>Nil</w:t>
      </w:r>
    </w:p>
    <w:p w:rsidR="00000000" w:rsidRPr="006C624A" w:rsidP="006C624A">
      <w:pPr>
        <w:pStyle w:val="Heading1"/>
      </w:pPr>
      <w:bookmarkStart w:id="4" w:name="O_765355"/>
      <w:bookmarkEnd w:id="4"/>
      <w:r w:rsidRPr="006C624A">
        <w:t>Competency Field</w:t>
      </w:r>
    </w:p>
    <w:p w:rsidR="00000000" w:rsidRPr="006C624A" w:rsidP="00284143">
      <w:pPr>
        <w:pStyle w:val="BodyText"/>
      </w:pPr>
      <w:r w:rsidRPr="006C624A">
        <w:t xml:space="preserve">Guiding </w:t>
      </w:r>
    </w:p>
    <w:p w:rsidR="00000000" w:rsidRPr="006C624A" w:rsidP="006C624A">
      <w:pPr>
        <w:pStyle w:val="Heading1"/>
      </w:pPr>
      <w:bookmarkStart w:id="5" w:name="O_765356"/>
      <w:bookmarkEnd w:id="5"/>
      <w:r w:rsidRPr="006C624A">
        <w:t>Unit Sector</w:t>
      </w:r>
    </w:p>
    <w:p w:rsidR="00000000" w:rsidRPr="006C624A" w:rsidP="00284143">
      <w:pPr>
        <w:pStyle w:val="BodyText"/>
      </w:pPr>
      <w:r w:rsidRPr="006C624A">
        <w:t>Tourism</w:t>
      </w:r>
    </w:p>
    <w:p w:rsidR="00000000" w:rsidRPr="006C624A" w:rsidP="006C624A">
      <w:pPr>
        <w:pStyle w:val="Heading1"/>
      </w:pPr>
      <w:bookmarkStart w:id="6" w:name="O_765357"/>
      <w:bookmarkEnd w:id="6"/>
      <w:r w:rsidRPr="006C624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21"/>
        <w:gridCol w:w="5575"/>
      </w:tblGrid>
      <w:tr w:rsidTr="002841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24A" w:rsidP="006C624A">
            <w:pPr>
              <w:pStyle w:val="BodyText"/>
            </w:pPr>
            <w:r w:rsidRPr="006C624A">
              <w:rPr>
                <w:rStyle w:val="SpecialBold"/>
              </w:rPr>
              <w:t>ELEMENTS</w:t>
            </w:r>
            <w:r w:rsidRPr="006C624A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24A">
            <w:pPr>
              <w:pStyle w:val="BodyText"/>
              <w:rPr>
                <w:lang w:val="en-NZ"/>
              </w:rPr>
            </w:pPr>
            <w:r w:rsidRPr="006C624A">
              <w:rPr>
                <w:rStyle w:val="SpecialBold"/>
              </w:rPr>
              <w:t>PERFORMANCE CRITERIA</w:t>
            </w:r>
          </w:p>
        </w:tc>
      </w:tr>
      <w:tr w:rsidTr="002841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24A">
            <w:pPr>
              <w:pStyle w:val="BodyText"/>
              <w:rPr>
                <w:lang w:val="en-NZ"/>
              </w:rPr>
            </w:pPr>
            <w:r w:rsidRPr="006C624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24A">
            <w:pPr>
              <w:pStyle w:val="BodyText"/>
              <w:rPr>
                <w:lang w:val="en-NZ"/>
              </w:rPr>
            </w:pPr>
            <w:r w:rsidRPr="006C624A">
              <w:t>Performance criteria describe the performance needed to demonstrate achievement of the element.</w:t>
            </w:r>
          </w:p>
        </w:tc>
      </w:tr>
      <w:tr w:rsidTr="002841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24A">
            <w:pPr>
              <w:pStyle w:val="List"/>
              <w:rPr>
                <w:lang w:val="en-NZ"/>
              </w:rPr>
            </w:pPr>
            <w:r w:rsidRPr="006C624A">
              <w:t>1.</w:t>
            </w:r>
            <w:r w:rsidRPr="006C624A">
              <w:tab/>
              <w:t>Plan guiding activity.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24A" w:rsidP="006C624A">
            <w:pPr>
              <w:pStyle w:val="List"/>
            </w:pPr>
            <w:r w:rsidRPr="006C624A">
              <w:t>1.1.Identify key guide information sources and contacts.</w:t>
            </w:r>
          </w:p>
          <w:p w:rsidR="00000000" w:rsidRPr="006C624A" w:rsidP="006C624A">
            <w:pPr>
              <w:pStyle w:val="List"/>
            </w:pPr>
            <w:r w:rsidRPr="006C624A">
              <w:t>1.2.Review required roles and resp</w:t>
            </w:r>
            <w:r w:rsidRPr="006C624A">
              <w:t>onsibilities for prospective guiding activity.</w:t>
            </w:r>
          </w:p>
          <w:p w:rsidR="00000000" w:rsidRPr="006C624A" w:rsidP="006C624A">
            <w:pPr>
              <w:pStyle w:val="List"/>
            </w:pPr>
            <w:r w:rsidRPr="006C624A">
              <w:t>1.3.Plan resource, labour and logistical aspects of the guiding activity.</w:t>
            </w:r>
          </w:p>
          <w:p w:rsidR="00000000" w:rsidP="006C624A">
            <w:pPr>
              <w:pStyle w:val="List"/>
              <w:rPr>
                <w:lang w:val="en-NZ"/>
              </w:rPr>
            </w:pPr>
            <w:r w:rsidRPr="006C624A">
              <w:t>1.4.Use industry knowledge and guide networks to enhance the quality of guiding services provided to customers.</w:t>
            </w:r>
          </w:p>
        </w:tc>
      </w:tr>
      <w:tr w:rsidTr="002841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24A">
            <w:pPr>
              <w:pStyle w:val="List"/>
              <w:rPr>
                <w:lang w:val="en-NZ"/>
              </w:rPr>
            </w:pPr>
            <w:r w:rsidRPr="006C624A">
              <w:t>2.</w:t>
            </w:r>
            <w:r w:rsidRPr="006C624A">
              <w:tab/>
              <w:t>Communicate with to</w:t>
            </w:r>
            <w:r w:rsidRPr="006C624A">
              <w:t>urism industry operators.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24A" w:rsidP="006C624A">
            <w:pPr>
              <w:pStyle w:val="List"/>
            </w:pPr>
            <w:r w:rsidRPr="006C624A">
              <w:t>2.1.Liaise with internal and external stakeholders to organise all aspects of the guiding activity.</w:t>
            </w:r>
          </w:p>
          <w:p w:rsidR="00000000" w:rsidRPr="006C624A" w:rsidP="006C624A">
            <w:pPr>
              <w:pStyle w:val="List"/>
            </w:pPr>
            <w:r w:rsidRPr="006C624A">
              <w:t>2.2.Achieve mutual understanding and agree on details relevant to guiding activities.</w:t>
            </w:r>
          </w:p>
          <w:p w:rsidR="00000000" w:rsidRPr="006C624A" w:rsidP="006C624A">
            <w:pPr>
              <w:pStyle w:val="List"/>
            </w:pPr>
            <w:r w:rsidRPr="006C624A">
              <w:t>2.3.Provide accurate information and explana</w:t>
            </w:r>
            <w:r w:rsidRPr="006C624A">
              <w:t>tions about customer requirements and special requests.</w:t>
            </w:r>
          </w:p>
          <w:p w:rsidR="00000000" w:rsidP="006C624A">
            <w:pPr>
              <w:pStyle w:val="List"/>
              <w:rPr>
                <w:lang w:val="en-NZ"/>
              </w:rPr>
            </w:pPr>
            <w:r w:rsidRPr="006C624A">
              <w:t>2.4.Identify nature and key facts of operational problems and provide appropriate solutions in consultation with tourism operator.</w:t>
            </w:r>
          </w:p>
        </w:tc>
      </w:tr>
      <w:tr w:rsidTr="002841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24A">
            <w:pPr>
              <w:pStyle w:val="List"/>
              <w:rPr>
                <w:lang w:val="en-NZ"/>
              </w:rPr>
            </w:pPr>
            <w:r w:rsidRPr="006C624A">
              <w:t>3.</w:t>
            </w:r>
            <w:r w:rsidRPr="006C624A">
              <w:tab/>
              <w:t>Guide tours or activities.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24A" w:rsidP="006C624A">
            <w:pPr>
              <w:pStyle w:val="List"/>
            </w:pPr>
            <w:r w:rsidRPr="006C624A">
              <w:t>3.1.Conduct guiding activities according to legal, industry and safety requirements.</w:t>
            </w:r>
          </w:p>
          <w:p w:rsidR="00000000" w:rsidRPr="006C624A" w:rsidP="006C624A">
            <w:pPr>
              <w:pStyle w:val="List"/>
            </w:pPr>
            <w:r w:rsidRPr="006C624A">
              <w:t>3.2.Actively participate in risk assessment as an integral part of work activities.</w:t>
            </w:r>
          </w:p>
          <w:p w:rsidR="00000000" w:rsidRPr="006C624A" w:rsidP="006C624A">
            <w:pPr>
              <w:pStyle w:val="List"/>
            </w:pPr>
            <w:r w:rsidRPr="006C624A">
              <w:t>3.3.Take account of ethical considerations for particular contexts.</w:t>
            </w:r>
          </w:p>
          <w:p w:rsidR="00000000" w:rsidP="006C624A">
            <w:pPr>
              <w:pStyle w:val="List"/>
              <w:rPr>
                <w:lang w:val="en-NZ"/>
              </w:rPr>
            </w:pPr>
            <w:r w:rsidRPr="006C624A">
              <w:t>3.4.Support sustain</w:t>
            </w:r>
            <w:r w:rsidRPr="006C624A">
              <w:t>able work practices.</w:t>
            </w:r>
          </w:p>
        </w:tc>
      </w:tr>
      <w:tr w:rsidTr="002841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24A">
            <w:pPr>
              <w:pStyle w:val="List"/>
              <w:rPr>
                <w:lang w:val="en-NZ"/>
              </w:rPr>
            </w:pPr>
            <w:r w:rsidRPr="006C624A">
              <w:t>4.</w:t>
            </w:r>
            <w:r w:rsidRPr="006C624A">
              <w:tab/>
              <w:t>Develop guiding skills and knowledge.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24A" w:rsidP="006C624A">
            <w:pPr>
              <w:pStyle w:val="List"/>
            </w:pPr>
            <w:r w:rsidRPr="006C624A">
              <w:t>4.1.Identify and use opportunities to update knowledge and skills required by guides.</w:t>
            </w:r>
          </w:p>
          <w:p w:rsidR="00000000" w:rsidRPr="006C624A" w:rsidP="006C624A">
            <w:pPr>
              <w:pStyle w:val="List"/>
            </w:pPr>
            <w:r w:rsidRPr="006C624A">
              <w:t>4.2.Maintain knowledge of technologies used by guides.</w:t>
            </w:r>
          </w:p>
          <w:p w:rsidR="00000000" w:rsidRPr="006C624A" w:rsidP="006C624A">
            <w:pPr>
              <w:pStyle w:val="List"/>
            </w:pPr>
            <w:r w:rsidRPr="006C624A">
              <w:t>4.3.Identify and access sources of guide support whe</w:t>
            </w:r>
            <w:r w:rsidRPr="006C624A">
              <w:t>n required.</w:t>
            </w:r>
          </w:p>
          <w:p w:rsidR="00000000" w:rsidRPr="006C624A" w:rsidP="006C624A">
            <w:pPr>
              <w:pStyle w:val="List"/>
            </w:pPr>
            <w:r w:rsidRPr="006C624A">
              <w:t>4.4.Share knowledge with colleagues to enhance quality of service provided to customers.</w:t>
            </w:r>
          </w:p>
        </w:tc>
      </w:tr>
    </w:tbl>
    <w:p w:rsidR="00000000" w:rsidRPr="006C624A" w:rsidP="006C624A">
      <w:pPr>
        <w:pStyle w:val="BodyText"/>
      </w:pPr>
    </w:p>
    <w:p w:rsidR="00000000" w:rsidRPr="006C624A" w:rsidP="006C624A">
      <w:pPr>
        <w:pStyle w:val="AllowPageBreak"/>
      </w:pPr>
    </w:p>
    <w:p w:rsidR="00000000" w:rsidRPr="006C624A" w:rsidP="006C624A">
      <w:pPr>
        <w:pStyle w:val="Heading1"/>
      </w:pPr>
      <w:bookmarkStart w:id="7" w:name="O_765358"/>
      <w:bookmarkEnd w:id="7"/>
      <w:r w:rsidRPr="006C624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841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24A">
            <w:pPr>
              <w:pStyle w:val="BodyText"/>
              <w:rPr>
                <w:lang w:val="en-NZ"/>
              </w:rPr>
            </w:pPr>
            <w:r w:rsidRPr="006C624A">
              <w:t>Foundation skills essential to performance in this unit, but not explicit in the performance criteria are listed here,</w:t>
            </w:r>
            <w:r w:rsidRPr="006C624A">
              <w:t xml:space="preserve"> along with a brief context statement.</w:t>
            </w:r>
          </w:p>
        </w:tc>
      </w:tr>
      <w:tr w:rsidTr="002841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24A" w:rsidP="006C624A">
            <w:pPr>
              <w:pStyle w:val="BodyText"/>
            </w:pPr>
            <w:r w:rsidRPr="006C624A">
              <w:rPr>
                <w:rStyle w:val="SpecialBold"/>
              </w:rPr>
              <w:t>SKILLS</w:t>
            </w:r>
            <w:r w:rsidRPr="006C624A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24A">
            <w:pPr>
              <w:pStyle w:val="BodyText"/>
              <w:rPr>
                <w:lang w:val="en-NZ"/>
              </w:rPr>
            </w:pPr>
            <w:r w:rsidRPr="006C624A">
              <w:rPr>
                <w:rStyle w:val="SpecialBold"/>
              </w:rPr>
              <w:t>DESCRIPTION</w:t>
            </w:r>
          </w:p>
        </w:tc>
      </w:tr>
      <w:tr w:rsidTr="002841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624A">
            <w:pPr>
              <w:pStyle w:val="BodyText"/>
              <w:rPr>
                <w:lang w:val="en-NZ"/>
              </w:rPr>
            </w:pPr>
            <w:r w:rsidRPr="006C624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624A">
            <w:pPr>
              <w:pStyle w:val="ListBullet"/>
              <w:rPr>
                <w:lang w:val="en-NZ"/>
              </w:rPr>
            </w:pPr>
            <w:r w:rsidRPr="006C624A">
              <w:t>read and interpret industry codes of practice and regulations.</w:t>
            </w:r>
          </w:p>
        </w:tc>
      </w:tr>
      <w:tr w:rsidTr="002841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624A">
            <w:pPr>
              <w:pStyle w:val="BodyText"/>
              <w:rPr>
                <w:lang w:val="en-NZ"/>
              </w:rPr>
            </w:pPr>
            <w:r w:rsidRPr="006C624A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624A">
            <w:pPr>
              <w:pStyle w:val="ListBullet"/>
              <w:rPr>
                <w:lang w:val="en-NZ"/>
              </w:rPr>
            </w:pPr>
            <w:r w:rsidRPr="006C624A">
              <w:t xml:space="preserve">complete risk assessment documentation. </w:t>
            </w:r>
          </w:p>
        </w:tc>
      </w:tr>
      <w:tr w:rsidTr="002841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24A">
            <w:pPr>
              <w:pStyle w:val="BodyText"/>
              <w:rPr>
                <w:lang w:val="en-NZ"/>
              </w:rPr>
            </w:pPr>
            <w:r w:rsidRPr="006C624A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C624A" w:rsidP="006C624A">
            <w:pPr>
              <w:pStyle w:val="ListBullet"/>
            </w:pPr>
            <w:r w:rsidRPr="006C624A">
              <w:t>evaluate legal, ethical, safety and sustainability issues and requirements for guiding activities</w:t>
            </w:r>
          </w:p>
          <w:p w:rsidR="00000000" w:rsidP="006C624A">
            <w:pPr>
              <w:pStyle w:val="ListBullet"/>
              <w:rPr>
                <w:lang w:val="en-NZ"/>
              </w:rPr>
            </w:pPr>
            <w:r w:rsidRPr="006C624A">
              <w:t>make decisions on appropriate behaviours and actions.</w:t>
            </w:r>
          </w:p>
        </w:tc>
      </w:tr>
      <w:tr w:rsidTr="002841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624A">
            <w:pPr>
              <w:pStyle w:val="BodyText"/>
              <w:rPr>
                <w:lang w:val="en-NZ"/>
              </w:rPr>
            </w:pPr>
            <w:r w:rsidRPr="006C624A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624A">
            <w:pPr>
              <w:pStyle w:val="ListBullet"/>
              <w:rPr>
                <w:lang w:val="en-NZ"/>
              </w:rPr>
            </w:pPr>
            <w:r w:rsidRPr="006C624A">
              <w:t>make contingency plans when required, to deal with unexpected cir</w:t>
            </w:r>
            <w:r w:rsidRPr="006C624A">
              <w:t>cumstances.</w:t>
            </w:r>
          </w:p>
        </w:tc>
      </w:tr>
      <w:tr w:rsidTr="002841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624A">
            <w:pPr>
              <w:pStyle w:val="BodyText"/>
              <w:rPr>
                <w:lang w:val="en-NZ"/>
              </w:rPr>
            </w:pPr>
            <w:r w:rsidRPr="006C624A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C624A" w:rsidP="006C624A">
            <w:pPr>
              <w:pStyle w:val="ListBullet"/>
            </w:pPr>
            <w:r w:rsidRPr="006C624A">
              <w:t>work effectively with industry operators.</w:t>
            </w:r>
          </w:p>
        </w:tc>
      </w:tr>
    </w:tbl>
    <w:p w:rsidR="00000000" w:rsidRPr="006C624A" w:rsidP="006C624A">
      <w:pPr>
        <w:pStyle w:val="BodyText"/>
      </w:pPr>
    </w:p>
    <w:p w:rsidR="00000000" w:rsidRPr="006C624A" w:rsidP="006C624A">
      <w:pPr>
        <w:pStyle w:val="AllowPageBreak"/>
      </w:pPr>
    </w:p>
    <w:p w:rsidR="00000000" w:rsidRPr="006C624A" w:rsidP="006C624A">
      <w:pPr>
        <w:pStyle w:val="Heading1"/>
      </w:pPr>
      <w:bookmarkStart w:id="8" w:name="O_765360"/>
      <w:bookmarkEnd w:id="8"/>
      <w:r w:rsidRPr="006C624A">
        <w:t>Unit Mapping Information</w:t>
      </w:r>
    </w:p>
    <w:p w:rsidR="00000000" w:rsidRPr="006C624A" w:rsidP="00284143">
      <w:pPr>
        <w:pStyle w:val="BodyText"/>
      </w:pPr>
      <w:r w:rsidRPr="006C624A">
        <w:t>SITTGDE301 Work as a guide</w:t>
      </w:r>
    </w:p>
    <w:p w:rsidR="00000000" w:rsidRPr="006C624A" w:rsidP="006C624A">
      <w:pPr>
        <w:pStyle w:val="Heading1"/>
      </w:pPr>
      <w:bookmarkStart w:id="9" w:name="O_765367"/>
      <w:bookmarkEnd w:id="9"/>
      <w:r w:rsidRPr="006C624A">
        <w:t>Links</w:t>
      </w:r>
    </w:p>
    <w:p w:rsidR="00000000" w:rsidRPr="006C624A" w:rsidP="00284143">
      <w:pPr>
        <w:pStyle w:val="BodyText"/>
      </w:pPr>
      <w:r w:rsidRPr="006C62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C411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C624A" w:rsidP="006C624A"/>
    <w:sectPr w:rsidSect="006C62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4A" w:rsidRPr="00284143" w:rsidP="002841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143" w:rsidP="006C62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4143" w:rsidP="006C62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84143" w:rsidP="006C62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1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624A" w:rsidRPr="00284143" w:rsidP="002841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143" w:rsidRPr="002D2AF8" w:rsidP="006C62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SITTGDE002 Work as a guide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84143" w:rsidP="006C62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34F7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922C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2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62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62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62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62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62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62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62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62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62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62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624A"/>
  </w:style>
  <w:style w:type="character" w:customStyle="1" w:styleId="Heading1Char">
    <w:name w:val="Heading 1 Char"/>
    <w:basedOn w:val="DefaultParagraphFont"/>
    <w:link w:val="Heading1"/>
    <w:rsid w:val="006C62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62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62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62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62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624A"/>
    <w:rPr>
      <w:b/>
      <w:spacing w:val="0"/>
    </w:rPr>
  </w:style>
  <w:style w:type="paragraph" w:customStyle="1" w:styleId="SuperHeading">
    <w:name w:val="SuperHeading"/>
    <w:basedOn w:val="Normal"/>
    <w:rsid w:val="006C62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62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62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62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62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62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62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62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62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62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62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62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62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62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62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62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62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62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62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62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62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62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62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62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62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62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62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62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62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62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62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62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62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62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624A"/>
    <w:rPr>
      <w:i/>
    </w:rPr>
  </w:style>
  <w:style w:type="paragraph" w:styleId="Caption">
    <w:name w:val="caption"/>
    <w:basedOn w:val="BodyText"/>
    <w:next w:val="Normal"/>
    <w:qFormat/>
    <w:rsid w:val="006C62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62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62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624A"/>
  </w:style>
  <w:style w:type="paragraph" w:styleId="TableofFigures">
    <w:name w:val="table of figures"/>
    <w:basedOn w:val="Normal"/>
    <w:next w:val="Normal"/>
    <w:semiHidden/>
    <w:rsid w:val="006C62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62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624A"/>
    <w:rPr>
      <w:rFonts w:ascii="Wingdings" w:hAnsi="Wingdings"/>
    </w:rPr>
  </w:style>
  <w:style w:type="paragraph" w:customStyle="1" w:styleId="TableHeading">
    <w:name w:val="Table Heading"/>
    <w:basedOn w:val="HeadingBase"/>
    <w:rsid w:val="006C62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624A"/>
    <w:rPr>
      <w:color w:val="0033CC"/>
      <w:u w:val="none"/>
    </w:rPr>
  </w:style>
  <w:style w:type="paragraph" w:customStyle="1" w:styleId="BodyTextRight">
    <w:name w:val="Body Text Right"/>
    <w:basedOn w:val="BodyText"/>
    <w:rsid w:val="006C62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62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62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62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62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62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624A"/>
    <w:rPr>
      <w:sz w:val="32"/>
    </w:rPr>
  </w:style>
  <w:style w:type="paragraph" w:customStyle="1" w:styleId="HeadingProcedure">
    <w:name w:val="Heading Procedure"/>
    <w:basedOn w:val="HeadingBase"/>
    <w:next w:val="Normal"/>
    <w:rsid w:val="006C62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624A"/>
    <w:pPr>
      <w:spacing w:before="60" w:after="60"/>
    </w:pPr>
  </w:style>
  <w:style w:type="paragraph" w:styleId="ListContinue">
    <w:name w:val="List Continue"/>
    <w:basedOn w:val="List"/>
    <w:rsid w:val="006C624A"/>
    <w:pPr>
      <w:ind w:firstLine="0"/>
    </w:pPr>
  </w:style>
  <w:style w:type="paragraph" w:customStyle="1" w:styleId="ListNote">
    <w:name w:val="List Note"/>
    <w:basedOn w:val="List"/>
    <w:rsid w:val="006C62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62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62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624A"/>
    <w:rPr>
      <w:rFonts w:ascii="Courier New" w:hAnsi="Courier New"/>
    </w:rPr>
  </w:style>
  <w:style w:type="paragraph" w:customStyle="1" w:styleId="NoteBullet">
    <w:name w:val="Note Bullet"/>
    <w:basedOn w:val="Note"/>
    <w:rsid w:val="006C62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62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62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62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62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62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62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624A"/>
    <w:rPr>
      <w:b/>
      <w:smallCaps/>
    </w:rPr>
  </w:style>
  <w:style w:type="paragraph" w:customStyle="1" w:styleId="TableListNumber">
    <w:name w:val="Table List Number"/>
    <w:basedOn w:val="ListNumber"/>
    <w:rsid w:val="006C62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62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624A"/>
    <w:pPr>
      <w:numPr>
        <w:numId w:val="8"/>
      </w:numPr>
    </w:pPr>
  </w:style>
  <w:style w:type="paragraph" w:customStyle="1" w:styleId="ListAlpha2">
    <w:name w:val="List Alpha 2"/>
    <w:basedOn w:val="List2"/>
    <w:rsid w:val="006C624A"/>
    <w:pPr>
      <w:numPr>
        <w:numId w:val="7"/>
      </w:numPr>
    </w:pPr>
  </w:style>
  <w:style w:type="paragraph" w:styleId="List2">
    <w:name w:val="List 2"/>
    <w:basedOn w:val="BodyText"/>
    <w:rsid w:val="006C62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62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62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62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62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62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624A"/>
    <w:pPr>
      <w:numPr>
        <w:numId w:val="3"/>
      </w:numPr>
    </w:pPr>
  </w:style>
  <w:style w:type="paragraph" w:styleId="ListContinue2">
    <w:name w:val="List Continue 2"/>
    <w:basedOn w:val="List2"/>
    <w:rsid w:val="006C624A"/>
    <w:pPr>
      <w:ind w:firstLine="0"/>
    </w:pPr>
  </w:style>
  <w:style w:type="paragraph" w:styleId="ListContinue3">
    <w:name w:val="List Continue 3"/>
    <w:basedOn w:val="List3"/>
    <w:rsid w:val="006C624A"/>
    <w:pPr>
      <w:ind w:left="1021" w:firstLine="0"/>
    </w:pPr>
  </w:style>
  <w:style w:type="paragraph" w:styleId="ListContinue4">
    <w:name w:val="List Continue 4"/>
    <w:basedOn w:val="List4"/>
    <w:rsid w:val="006C624A"/>
    <w:pPr>
      <w:ind w:firstLine="0"/>
    </w:pPr>
  </w:style>
  <w:style w:type="paragraph" w:styleId="ListContinue5">
    <w:name w:val="List Continue 5"/>
    <w:basedOn w:val="List5"/>
    <w:rsid w:val="006C624A"/>
    <w:pPr>
      <w:ind w:firstLine="0"/>
    </w:pPr>
  </w:style>
  <w:style w:type="paragraph" w:styleId="ListNumber3">
    <w:name w:val="List Number 3"/>
    <w:basedOn w:val="List3"/>
    <w:rsid w:val="006C624A"/>
    <w:pPr>
      <w:numPr>
        <w:numId w:val="4"/>
      </w:numPr>
    </w:pPr>
  </w:style>
  <w:style w:type="paragraph" w:styleId="ListNumber4">
    <w:name w:val="List Number 4"/>
    <w:basedOn w:val="List4"/>
    <w:rsid w:val="006C624A"/>
    <w:pPr>
      <w:numPr>
        <w:numId w:val="5"/>
      </w:numPr>
    </w:pPr>
  </w:style>
  <w:style w:type="paragraph" w:styleId="ListNumber5">
    <w:name w:val="List Number 5"/>
    <w:basedOn w:val="List5"/>
    <w:rsid w:val="006C624A"/>
    <w:pPr>
      <w:numPr>
        <w:numId w:val="6"/>
      </w:numPr>
    </w:pPr>
  </w:style>
  <w:style w:type="paragraph" w:styleId="BlockText">
    <w:name w:val="Block Text"/>
    <w:basedOn w:val="Normal"/>
    <w:rsid w:val="006C62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62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624A"/>
    <w:rPr>
      <w:sz w:val="16"/>
      <w:vertAlign w:val="superscript"/>
    </w:rPr>
  </w:style>
  <w:style w:type="character" w:customStyle="1" w:styleId="Symbols">
    <w:name w:val="Symbols"/>
    <w:basedOn w:val="DefaultParagraphFont"/>
    <w:rsid w:val="006C624A"/>
    <w:rPr>
      <w:rFonts w:ascii="Symbol" w:hAnsi="Symbol"/>
    </w:rPr>
  </w:style>
  <w:style w:type="character" w:customStyle="1" w:styleId="MenuOptions">
    <w:name w:val="Menu Options"/>
    <w:basedOn w:val="DefaultParagraphFont"/>
    <w:rsid w:val="006C62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624A"/>
    <w:rPr>
      <w:b/>
    </w:rPr>
  </w:style>
  <w:style w:type="character" w:customStyle="1" w:styleId="Underlined">
    <w:name w:val="Underlined"/>
    <w:basedOn w:val="DefaultParagraphFont"/>
    <w:rsid w:val="006C624A"/>
    <w:rPr>
      <w:u w:val="single"/>
    </w:rPr>
  </w:style>
  <w:style w:type="paragraph" w:customStyle="1" w:styleId="TableBodyTextRight">
    <w:name w:val="Table Body Text Right"/>
    <w:basedOn w:val="TableBodyText"/>
    <w:rsid w:val="006C62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624A"/>
    <w:rPr>
      <w:sz w:val="18"/>
    </w:rPr>
  </w:style>
  <w:style w:type="paragraph" w:customStyle="1" w:styleId="BodySmallRight">
    <w:name w:val="Body Small Right"/>
    <w:basedOn w:val="BodyTextRight"/>
    <w:rsid w:val="006C624A"/>
    <w:rPr>
      <w:sz w:val="18"/>
      <w:szCs w:val="18"/>
    </w:rPr>
  </w:style>
  <w:style w:type="paragraph" w:customStyle="1" w:styleId="MarginEdition">
    <w:name w:val="Margin Edition"/>
    <w:basedOn w:val="MarginNote"/>
    <w:rsid w:val="006C62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624A"/>
    <w:rPr>
      <w:sz w:val="2"/>
      <w:szCs w:val="2"/>
    </w:rPr>
  </w:style>
  <w:style w:type="character" w:customStyle="1" w:styleId="Small">
    <w:name w:val="Small"/>
    <w:basedOn w:val="DefaultParagraphFont"/>
    <w:rsid w:val="006C624A"/>
    <w:rPr>
      <w:sz w:val="16"/>
    </w:rPr>
  </w:style>
  <w:style w:type="paragraph" w:customStyle="1" w:styleId="WideTable">
    <w:name w:val="Wide Table"/>
    <w:basedOn w:val="Normal"/>
    <w:rsid w:val="006C62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624A"/>
  </w:style>
  <w:style w:type="paragraph" w:styleId="Quote">
    <w:name w:val="Quote"/>
    <w:basedOn w:val="Heading1"/>
    <w:link w:val="QuoteChar"/>
    <w:qFormat/>
    <w:rsid w:val="006C62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62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624A"/>
    <w:pPr>
      <w:pageBreakBefore/>
    </w:pPr>
  </w:style>
  <w:style w:type="paragraph" w:customStyle="1" w:styleId="Border">
    <w:name w:val="Border"/>
    <w:basedOn w:val="Normal"/>
    <w:qFormat/>
    <w:rsid w:val="006C62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62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2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2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62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62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62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62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62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624A"/>
    <w:rPr>
      <w:u w:val="single"/>
    </w:rPr>
  </w:style>
  <w:style w:type="character" w:customStyle="1" w:styleId="BoldandItalics">
    <w:name w:val="Bold and Italics"/>
    <w:qFormat/>
    <w:rsid w:val="006C624A"/>
    <w:rPr>
      <w:b/>
      <w:i/>
      <w:u w:val="none"/>
    </w:rPr>
  </w:style>
  <w:style w:type="paragraph" w:styleId="BalloonText">
    <w:name w:val="Balloon Text"/>
    <w:basedOn w:val="Normal"/>
    <w:link w:val="BalloonTextChar"/>
    <w:rsid w:val="006C62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62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62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62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62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62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624A"/>
    <w:pPr>
      <w:spacing w:before="0" w:after="0"/>
    </w:pPr>
  </w:style>
  <w:style w:type="paragraph" w:customStyle="1" w:styleId="BodyTextBold">
    <w:name w:val="Body Text Bold"/>
    <w:basedOn w:val="BodyText"/>
    <w:qFormat/>
    <w:rsid w:val="006C624A"/>
    <w:rPr>
      <w:b/>
    </w:rPr>
  </w:style>
  <w:style w:type="character" w:styleId="Hyperlink">
    <w:name w:val="Hyperlink"/>
    <w:basedOn w:val="DefaultParagraphFont"/>
    <w:uiPriority w:val="99"/>
    <w:unhideWhenUsed/>
    <w:rsid w:val="002841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3599</Characters>
  <Application>Microsoft Office Word</Application>
  <DocSecurity>0</DocSecurity>
  <Lines>116</Lines>
  <Paragraphs>74</Paragraphs>
  <ScaleCrop>false</ScaleCrop>
  <Company>Author-it Software Corporation Ltd.</Company>
  <LinksUpToDate>false</LinksUpToDate>
  <CharactersWithSpaces>4080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SITTGDE002 Work as a guide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2022-12-13T02:11:00Z</dcterms:created>
  <dcterms:modified xsi:type="dcterms:W3CDTF">2022-12-13T02:11:00Z</dcterms:modified>
</cp:coreProperties>
</file>