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0A2" w:rsidP="00BC4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SITHKOP016 Select catering systems</w:t>
      </w:r>
      <w:r>
        <w:fldChar w:fldCharType="end"/>
      </w:r>
    </w:p>
    <w:p w:rsidR="00BC40A2" w:rsidP="00BC40A2">
      <w:pPr>
        <w:pStyle w:val="Version"/>
        <w:sectPr w:rsidSect="00410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D87" w:rsidP="00410D87">
      <w:pPr>
        <w:pStyle w:val="SuperHeading"/>
      </w:pPr>
      <w:r w:rsidRPr="00410D87">
        <w:t>SITHKOP016 Select catering systems</w:t>
      </w:r>
    </w:p>
    <w:p w:rsidR="00000000" w:rsidRPr="00410D87" w:rsidP="00410D87">
      <w:pPr>
        <w:pStyle w:val="Heading1"/>
      </w:pPr>
      <w:bookmarkStart w:id="1" w:name="O_1208909"/>
      <w:bookmarkEnd w:id="1"/>
      <w:r w:rsidRPr="00410D87">
        <w:t>Modification History</w:t>
      </w:r>
    </w:p>
    <w:p w:rsidR="00000000" w:rsidRPr="00410D87" w:rsidP="00BC40A2">
      <w:pPr>
        <w:pStyle w:val="BodyText"/>
      </w:pPr>
      <w:r w:rsidRPr="00410D87">
        <w:t>Not applicable.</w:t>
      </w:r>
    </w:p>
    <w:p w:rsidR="00000000" w:rsidRPr="00410D87" w:rsidP="00410D87">
      <w:pPr>
        <w:pStyle w:val="Heading1"/>
      </w:pPr>
      <w:bookmarkStart w:id="2" w:name="O_1208910"/>
      <w:bookmarkEnd w:id="2"/>
      <w:r w:rsidRPr="00410D87">
        <w:t>Application</w:t>
      </w:r>
    </w:p>
    <w:p w:rsidR="00000000" w:rsidRPr="00410D87" w:rsidP="00BC40A2">
      <w:pPr>
        <w:pStyle w:val="BodyText"/>
      </w:pPr>
      <w:r w:rsidRPr="00410D87">
        <w:t>This unit describes the performance outcomes, skills and knowledge required to evaluate and select an integrated production, distribution and service catering system to meet the food produ</w:t>
      </w:r>
      <w:r w:rsidRPr="00410D87">
        <w:t>ction needs of a catering organisation. It requires the ability to determine catering system requirements for the organisation, evaluate operational aspects of different catering systems, and select a catering system that suits the characteristics and need</w:t>
      </w:r>
      <w:r w:rsidRPr="00410D87">
        <w:t>s of the organisation.</w:t>
      </w:r>
    </w:p>
    <w:p w:rsidR="00000000" w:rsidRPr="00410D87" w:rsidP="00BC40A2">
      <w:pPr>
        <w:pStyle w:val="BodyText"/>
      </w:pPr>
      <w:r w:rsidRPr="00410D87">
        <w:t>The unit applies to all hospitality and catering organisations that prepare and serve food. This includes restaurants, hotels, clubs, educational institutions, health establishments, defence forces, cafeterias, kiosks, cafes, residen</w:t>
      </w:r>
      <w:r w:rsidRPr="00410D87">
        <w:t>tial caterers, in flight and other transport caterers, event and function caterers.</w:t>
      </w:r>
    </w:p>
    <w:p w:rsidR="00000000" w:rsidRPr="00410D87" w:rsidP="00BC40A2">
      <w:pPr>
        <w:pStyle w:val="BodyText"/>
      </w:pPr>
      <w:r w:rsidRPr="00410D87">
        <w:t xml:space="preserve">It applies to senior managers who operate with significant autonomy and who are responsible for making a range of strategic management decisions, including executive chefs </w:t>
      </w:r>
      <w:r w:rsidRPr="00410D87">
        <w:t>and catering managers.</w:t>
      </w:r>
    </w:p>
    <w:p w:rsidR="00000000" w:rsidRPr="00410D87" w:rsidP="00BC40A2">
      <w:pPr>
        <w:pStyle w:val="BodyText"/>
      </w:pPr>
      <w:r w:rsidRPr="00410D87">
        <w:t>The skills in this unit must be applied in accordance with Commonwealth and State or Territory legislation, Australian standards and industry codes of practice.</w:t>
      </w:r>
    </w:p>
    <w:p w:rsidR="00000000" w:rsidRPr="00410D87" w:rsidP="00BC40A2">
      <w:pPr>
        <w:pStyle w:val="BodyText"/>
      </w:pPr>
      <w:r w:rsidRPr="00410D87">
        <w:t>No occupational licensing, certification or specific legislative require</w:t>
      </w:r>
      <w:r w:rsidRPr="00410D87">
        <w:t>ments apply to this unit at the time of publication.</w:t>
      </w:r>
    </w:p>
    <w:p w:rsidR="00000000" w:rsidRPr="00410D87" w:rsidP="00410D87">
      <w:pPr>
        <w:pStyle w:val="Heading1"/>
      </w:pPr>
      <w:bookmarkStart w:id="3" w:name="O_1208911"/>
      <w:bookmarkEnd w:id="3"/>
      <w:r w:rsidRPr="00410D87">
        <w:t>Pre-requisite Unit</w:t>
      </w:r>
    </w:p>
    <w:p w:rsidR="00000000" w:rsidRPr="00410D87" w:rsidP="00BC40A2">
      <w:pPr>
        <w:pStyle w:val="BodyText"/>
      </w:pPr>
      <w:r w:rsidRPr="00410D87">
        <w:t xml:space="preserve">Nil </w:t>
      </w:r>
    </w:p>
    <w:p w:rsidR="00000000" w:rsidRPr="00410D87" w:rsidP="00410D87">
      <w:pPr>
        <w:pStyle w:val="Heading1"/>
      </w:pPr>
      <w:bookmarkStart w:id="4" w:name="O_1208912"/>
      <w:bookmarkEnd w:id="4"/>
      <w:r w:rsidRPr="00410D87">
        <w:t>Competency Field</w:t>
      </w:r>
    </w:p>
    <w:p w:rsidR="00000000" w:rsidRPr="00410D87" w:rsidP="00BC40A2">
      <w:pPr>
        <w:pStyle w:val="BodyText"/>
      </w:pPr>
      <w:r w:rsidRPr="00410D87">
        <w:t>Kitchen Operations</w:t>
      </w:r>
    </w:p>
    <w:p w:rsidR="00000000" w:rsidRPr="00410D87" w:rsidP="00410D87">
      <w:pPr>
        <w:pStyle w:val="Heading1"/>
      </w:pPr>
      <w:bookmarkStart w:id="5" w:name="O_1208913"/>
      <w:bookmarkEnd w:id="5"/>
      <w:r w:rsidRPr="00410D87">
        <w:t>Unit Sector</w:t>
      </w:r>
    </w:p>
    <w:p w:rsidR="00000000" w:rsidRPr="00410D87" w:rsidP="00BC40A2">
      <w:pPr>
        <w:pStyle w:val="BodyText"/>
      </w:pPr>
      <w:r w:rsidRPr="00410D87">
        <w:t>Hospitality</w:t>
      </w:r>
    </w:p>
    <w:p w:rsidR="00000000" w:rsidRPr="00410D87" w:rsidP="00410D87">
      <w:pPr>
        <w:pStyle w:val="Heading1"/>
      </w:pPr>
      <w:bookmarkStart w:id="6" w:name="O_1208914"/>
      <w:bookmarkEnd w:id="6"/>
      <w:r w:rsidRPr="00410D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BodyText"/>
            </w:pPr>
            <w:r w:rsidRPr="00410D8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rPr>
                <w:rStyle w:val="SpecialBold"/>
              </w:rPr>
              <w:t>PERFORMANCE</w:t>
            </w:r>
            <w:r w:rsidRPr="00410D87">
              <w:t xml:space="preserve"> </w:t>
            </w:r>
            <w:r w:rsidRPr="00410D87">
              <w:rPr>
                <w:rStyle w:val="SpecialBold"/>
              </w:rPr>
              <w:t>CRITERIA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BodyText"/>
            </w:pPr>
            <w:r w:rsidRPr="00410D8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"/>
              <w:rPr>
                <w:lang w:val="en-NZ"/>
              </w:rPr>
            </w:pPr>
            <w:r w:rsidRPr="00410D87">
              <w:t>1.  Determine catering system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List"/>
            </w:pPr>
            <w:r w:rsidRPr="00410D87">
              <w:t>1.1. Consult with key personnel and identify catering system requirements for the organisation.</w:t>
            </w:r>
          </w:p>
          <w:p w:rsidR="00000000" w:rsidRPr="00410D87" w:rsidP="00410D87">
            <w:pPr>
              <w:pStyle w:val="List"/>
            </w:pPr>
            <w:r w:rsidRPr="00410D87">
              <w:t>1.2. Identify operational constraints that affect the type of system used.</w:t>
            </w:r>
          </w:p>
          <w:p w:rsidR="00000000" w:rsidP="00410D87">
            <w:pPr>
              <w:pStyle w:val="List"/>
              <w:rPr>
                <w:lang w:val="en-NZ"/>
              </w:rPr>
            </w:pPr>
            <w:r w:rsidRPr="00410D87">
              <w:t>1.3. Determine organisational system requirements.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"/>
              <w:rPr>
                <w:lang w:val="en-NZ"/>
              </w:rPr>
            </w:pPr>
            <w:r w:rsidRPr="00410D87">
              <w:t>2.  Evaluate catering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List"/>
            </w:pPr>
            <w:r w:rsidRPr="00410D87">
              <w:t>2.</w:t>
            </w:r>
            <w:r w:rsidRPr="00410D87">
              <w:t>1. Evaluate food production characteristics of different systems.</w:t>
            </w:r>
          </w:p>
          <w:p w:rsidR="00000000" w:rsidRPr="00410D87" w:rsidP="00410D87">
            <w:pPr>
              <w:pStyle w:val="List"/>
            </w:pPr>
            <w:r w:rsidRPr="00410D87">
              <w:t>2.2. Evaluate system processes and equipment for all stages of the food production process.</w:t>
            </w:r>
          </w:p>
          <w:p w:rsidR="00000000" w:rsidRPr="00410D87" w:rsidP="00410D87">
            <w:pPr>
              <w:pStyle w:val="List"/>
            </w:pPr>
            <w:r w:rsidRPr="00410D87">
              <w:t>2.3. Analyse staffing requirements for specific systems and identify current and future staffing needs.</w:t>
            </w:r>
          </w:p>
          <w:p w:rsidR="00000000" w:rsidRPr="00410D87" w:rsidP="00410D87">
            <w:pPr>
              <w:pStyle w:val="List"/>
            </w:pPr>
            <w:r w:rsidRPr="00410D87">
              <w:t>2.4. Identify installation requirements for systems and their operational impacts.</w:t>
            </w:r>
          </w:p>
          <w:p w:rsidR="00000000" w:rsidRPr="00410D87" w:rsidP="00410D87">
            <w:pPr>
              <w:pStyle w:val="List"/>
            </w:pPr>
            <w:r w:rsidRPr="00410D87">
              <w:t>2.5. Identify and assess potential waste issues for effects on profit</w:t>
            </w:r>
            <w:r w:rsidRPr="00410D87">
              <w:t>ability.</w:t>
            </w:r>
          </w:p>
          <w:p w:rsidR="00000000" w:rsidP="00410D87">
            <w:pPr>
              <w:pStyle w:val="List"/>
              <w:rPr>
                <w:lang w:val="en-NZ"/>
              </w:rPr>
            </w:pPr>
            <w:r w:rsidRPr="00410D87">
              <w:t>2.6. Assess food hazard analysis and control points for different systems.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"/>
              <w:rPr>
                <w:lang w:val="en-NZ"/>
              </w:rPr>
            </w:pPr>
            <w:r w:rsidRPr="00410D87">
              <w:t>3.  Select catering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List"/>
            </w:pPr>
            <w:r w:rsidRPr="00410D87">
              <w:t>3.1. Analyse costs and benefits of different systems.</w:t>
            </w:r>
          </w:p>
          <w:p w:rsidR="00000000" w:rsidRPr="00410D87" w:rsidP="00410D87">
            <w:pPr>
              <w:pStyle w:val="List"/>
            </w:pPr>
            <w:r w:rsidRPr="00410D87">
              <w:t>3.2. Complete overall assessment of production and organisational changes required to int</w:t>
            </w:r>
            <w:r w:rsidRPr="00410D87">
              <w:t>roduce different systems.</w:t>
            </w:r>
          </w:p>
          <w:p w:rsidR="00000000" w:rsidRPr="00410D87" w:rsidP="00410D87">
            <w:pPr>
              <w:pStyle w:val="List"/>
            </w:pPr>
            <w:r w:rsidRPr="00410D87">
              <w:t>3.3. Select a catering system that suits the characteristics and needs of the organisation.</w:t>
            </w:r>
          </w:p>
        </w:tc>
      </w:tr>
    </w:tbl>
    <w:p w:rsidR="00000000" w:rsidRPr="00410D87" w:rsidP="00410D87">
      <w:pPr>
        <w:pStyle w:val="BodyText"/>
      </w:pPr>
    </w:p>
    <w:p w:rsidR="00000000" w:rsidRPr="00410D87" w:rsidP="00410D87">
      <w:pPr>
        <w:pStyle w:val="AllowPageBreak"/>
      </w:pPr>
    </w:p>
    <w:p w:rsidR="00000000" w:rsidRPr="00410D87" w:rsidP="00410D87">
      <w:pPr>
        <w:pStyle w:val="Heading1"/>
      </w:pPr>
      <w:bookmarkStart w:id="7" w:name="O_1208915"/>
      <w:bookmarkEnd w:id="7"/>
      <w:r w:rsidRPr="00410D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rPr>
                <w:rStyle w:val="Emphasis"/>
              </w:rPr>
              <w:t>Foundation skills essential to performance in this unit, but not explicit in the performance criter</w:t>
            </w:r>
            <w:r w:rsidRPr="00410D87">
              <w:rPr>
                <w:rStyle w:val="Emphasis"/>
              </w:rPr>
              <w:t>ia are listed here, along with a brief context statement.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BodyText"/>
            </w:pPr>
            <w:r w:rsidRPr="00410D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rPr>
                <w:rStyle w:val="SpecialBold"/>
              </w:rPr>
              <w:t>DESCRIPTION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Bullet"/>
              <w:rPr>
                <w:lang w:val="en-NZ"/>
              </w:rPr>
            </w:pPr>
            <w:r w:rsidRPr="00410D87">
              <w:t>read and interpret detailed product specifications for different catering systems.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ListBullet"/>
            </w:pPr>
            <w:r w:rsidRPr="00410D87">
              <w:t>calculate waste issues and impacts on profitability</w:t>
            </w:r>
          </w:p>
          <w:p w:rsidR="00000000" w:rsidP="00410D87">
            <w:pPr>
              <w:pStyle w:val="ListBullet"/>
              <w:rPr>
                <w:lang w:val="en-NZ"/>
              </w:rPr>
            </w:pPr>
            <w:r w:rsidRPr="00410D87">
              <w:t>review complex financial information and calculate production costs and costs for installing a new system.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Bullet"/>
              <w:rPr>
                <w:lang w:val="en-NZ"/>
              </w:rPr>
            </w:pPr>
            <w:r w:rsidRPr="00410D87">
              <w:t>research product options for suppliers of catering systems.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ListBullet"/>
              <w:rPr>
                <w:lang w:val="en-NZ"/>
              </w:rPr>
            </w:pPr>
            <w:r w:rsidRPr="00410D87">
              <w:t>analyse and evaluate all aspects of the organisation’s catering operation and select a catering system that best suits its characteristics and needs.</w:t>
            </w:r>
          </w:p>
        </w:tc>
      </w:tr>
      <w:tr w:rsidTr="00410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D87">
            <w:pPr>
              <w:pStyle w:val="BodyText"/>
              <w:rPr>
                <w:lang w:val="en-NZ"/>
              </w:rPr>
            </w:pPr>
            <w:r w:rsidRPr="00410D8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D87" w:rsidP="00410D87">
            <w:pPr>
              <w:pStyle w:val="ListBullet"/>
            </w:pPr>
            <w:r w:rsidRPr="00410D87">
              <w:t>access and sort all information required to evaluate different cateri</w:t>
            </w:r>
            <w:r w:rsidRPr="00410D87">
              <w:t>ng systems and coordinate a timely and efficient selection process</w:t>
            </w:r>
          </w:p>
          <w:p w:rsidR="00000000" w:rsidRPr="00410D87" w:rsidP="00410D87">
            <w:pPr>
              <w:pStyle w:val="ListBullet"/>
            </w:pPr>
            <w:r w:rsidRPr="00410D87">
              <w:t>identify organisational operational constraints and select a system to complement operations.</w:t>
            </w:r>
          </w:p>
        </w:tc>
      </w:tr>
    </w:tbl>
    <w:p w:rsidR="00000000" w:rsidRPr="00410D87" w:rsidP="00410D87">
      <w:pPr>
        <w:pStyle w:val="BodyText"/>
      </w:pPr>
    </w:p>
    <w:p w:rsidR="00000000" w:rsidRPr="00410D87" w:rsidP="00410D87">
      <w:pPr>
        <w:pStyle w:val="AllowPageBreak"/>
      </w:pPr>
    </w:p>
    <w:p w:rsidR="00000000" w:rsidRPr="00410D87" w:rsidP="00410D87">
      <w:pPr>
        <w:pStyle w:val="Heading1"/>
      </w:pPr>
      <w:bookmarkStart w:id="8" w:name="O_1208917"/>
      <w:bookmarkEnd w:id="8"/>
      <w:r w:rsidRPr="00410D87">
        <w:t>Unit Mapping Information</w:t>
      </w:r>
    </w:p>
    <w:p w:rsidR="00000000" w:rsidRPr="00410D87" w:rsidP="00BC40A2">
      <w:pPr>
        <w:pStyle w:val="BodyText"/>
      </w:pPr>
      <w:r w:rsidRPr="00410D87">
        <w:t>Supersedes and is equivalent to SITHKOP008 Select catering systems.</w:t>
      </w:r>
    </w:p>
    <w:p w:rsidR="00000000" w:rsidRPr="00410D87" w:rsidP="00410D87">
      <w:pPr>
        <w:pStyle w:val="Heading1"/>
      </w:pPr>
      <w:bookmarkStart w:id="9" w:name="O_1208924"/>
      <w:bookmarkEnd w:id="9"/>
      <w:r w:rsidRPr="00410D87">
        <w:t>Links</w:t>
      </w:r>
    </w:p>
    <w:p w:rsidR="00000000" w:rsidRPr="00410D87" w:rsidP="00BC40A2">
      <w:pPr>
        <w:pStyle w:val="BodyText"/>
      </w:pPr>
      <w:r w:rsidRPr="00410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C38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10D87" w:rsidP="00410D87"/>
    <w:sectPr w:rsidSect="00410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87" w:rsidRPr="00BC40A2" w:rsidP="00BC4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A2" w:rsidP="00410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0A2" w:rsidP="00410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40A2" w:rsidP="00410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D87" w:rsidRPr="00BC40A2" w:rsidP="00BC4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A2" w:rsidRPr="002D2AF8" w:rsidP="00410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SITHKOP016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C40A2" w:rsidP="00410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23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B6F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D87"/>
  </w:style>
  <w:style w:type="character" w:customStyle="1" w:styleId="Heading1Char">
    <w:name w:val="Heading 1 Char"/>
    <w:basedOn w:val="DefaultParagraphFont"/>
    <w:link w:val="Heading1"/>
    <w:rsid w:val="00410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D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0D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D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D87"/>
    <w:rPr>
      <w:b/>
      <w:spacing w:val="0"/>
    </w:rPr>
  </w:style>
  <w:style w:type="character" w:styleId="Emphasis">
    <w:name w:val="Emphasis"/>
    <w:basedOn w:val="DefaultParagraphFont"/>
    <w:qFormat/>
    <w:rsid w:val="00410D87"/>
    <w:rPr>
      <w:i/>
    </w:rPr>
  </w:style>
  <w:style w:type="paragraph" w:customStyle="1" w:styleId="SuperHeading">
    <w:name w:val="SuperHeading"/>
    <w:basedOn w:val="Normal"/>
    <w:rsid w:val="00410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D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0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D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D87"/>
  </w:style>
  <w:style w:type="paragraph" w:styleId="TableofFigures">
    <w:name w:val="table of figures"/>
    <w:basedOn w:val="Normal"/>
    <w:next w:val="Normal"/>
    <w:semiHidden/>
    <w:rsid w:val="00410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D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0D87"/>
    <w:rPr>
      <w:rFonts w:ascii="Wingdings" w:hAnsi="Wingdings"/>
    </w:rPr>
  </w:style>
  <w:style w:type="paragraph" w:customStyle="1" w:styleId="TableHeading">
    <w:name w:val="Table Heading"/>
    <w:basedOn w:val="HeadingBase"/>
    <w:rsid w:val="00410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D87"/>
    <w:rPr>
      <w:color w:val="0033CC"/>
      <w:u w:val="none"/>
    </w:rPr>
  </w:style>
  <w:style w:type="paragraph" w:customStyle="1" w:styleId="BodyTextRight">
    <w:name w:val="Body Text Right"/>
    <w:basedOn w:val="BodyText"/>
    <w:rsid w:val="00410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D87"/>
    <w:rPr>
      <w:sz w:val="32"/>
    </w:rPr>
  </w:style>
  <w:style w:type="paragraph" w:customStyle="1" w:styleId="HeadingProcedure">
    <w:name w:val="Heading Procedure"/>
    <w:basedOn w:val="HeadingBase"/>
    <w:next w:val="Normal"/>
    <w:rsid w:val="00410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D87"/>
    <w:pPr>
      <w:spacing w:before="60" w:after="60"/>
    </w:pPr>
  </w:style>
  <w:style w:type="paragraph" w:styleId="ListContinue">
    <w:name w:val="List Continue"/>
    <w:basedOn w:val="List"/>
    <w:rsid w:val="00410D87"/>
    <w:pPr>
      <w:ind w:firstLine="0"/>
    </w:pPr>
  </w:style>
  <w:style w:type="paragraph" w:customStyle="1" w:styleId="ListNote">
    <w:name w:val="List Note"/>
    <w:basedOn w:val="List"/>
    <w:rsid w:val="00410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D87"/>
    <w:rPr>
      <w:rFonts w:ascii="Courier New" w:hAnsi="Courier New"/>
    </w:rPr>
  </w:style>
  <w:style w:type="paragraph" w:customStyle="1" w:styleId="NoteBullet">
    <w:name w:val="Note Bullet"/>
    <w:basedOn w:val="Note"/>
    <w:rsid w:val="00410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D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D87"/>
    <w:rPr>
      <w:b/>
      <w:smallCaps/>
    </w:rPr>
  </w:style>
  <w:style w:type="paragraph" w:customStyle="1" w:styleId="TableListNumber">
    <w:name w:val="Table List Number"/>
    <w:basedOn w:val="ListNumber"/>
    <w:rsid w:val="00410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D87"/>
    <w:pPr>
      <w:numPr>
        <w:numId w:val="8"/>
      </w:numPr>
    </w:pPr>
  </w:style>
  <w:style w:type="paragraph" w:customStyle="1" w:styleId="ListAlpha2">
    <w:name w:val="List Alpha 2"/>
    <w:basedOn w:val="List2"/>
    <w:rsid w:val="00410D87"/>
    <w:pPr>
      <w:numPr>
        <w:numId w:val="7"/>
      </w:numPr>
    </w:pPr>
  </w:style>
  <w:style w:type="paragraph" w:styleId="List2">
    <w:name w:val="List 2"/>
    <w:basedOn w:val="BodyText"/>
    <w:rsid w:val="00410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D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D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0D87"/>
    <w:pPr>
      <w:numPr>
        <w:numId w:val="3"/>
      </w:numPr>
    </w:pPr>
  </w:style>
  <w:style w:type="paragraph" w:styleId="ListContinue2">
    <w:name w:val="List Continue 2"/>
    <w:basedOn w:val="List2"/>
    <w:rsid w:val="00410D87"/>
    <w:pPr>
      <w:ind w:firstLine="0"/>
    </w:pPr>
  </w:style>
  <w:style w:type="paragraph" w:styleId="ListContinue3">
    <w:name w:val="List Continue 3"/>
    <w:basedOn w:val="List3"/>
    <w:rsid w:val="00410D87"/>
    <w:pPr>
      <w:ind w:left="1021" w:firstLine="0"/>
    </w:pPr>
  </w:style>
  <w:style w:type="paragraph" w:styleId="ListContinue4">
    <w:name w:val="List Continue 4"/>
    <w:basedOn w:val="List4"/>
    <w:rsid w:val="00410D87"/>
    <w:pPr>
      <w:ind w:firstLine="0"/>
    </w:pPr>
  </w:style>
  <w:style w:type="paragraph" w:styleId="ListContinue5">
    <w:name w:val="List Continue 5"/>
    <w:basedOn w:val="List5"/>
    <w:rsid w:val="00410D87"/>
    <w:pPr>
      <w:ind w:firstLine="0"/>
    </w:pPr>
  </w:style>
  <w:style w:type="paragraph" w:styleId="ListNumber3">
    <w:name w:val="List Number 3"/>
    <w:basedOn w:val="List3"/>
    <w:rsid w:val="00410D87"/>
    <w:pPr>
      <w:numPr>
        <w:numId w:val="4"/>
      </w:numPr>
    </w:pPr>
  </w:style>
  <w:style w:type="paragraph" w:styleId="ListNumber4">
    <w:name w:val="List Number 4"/>
    <w:basedOn w:val="List4"/>
    <w:rsid w:val="00410D87"/>
    <w:pPr>
      <w:numPr>
        <w:numId w:val="5"/>
      </w:numPr>
    </w:pPr>
  </w:style>
  <w:style w:type="paragraph" w:styleId="ListNumber5">
    <w:name w:val="List Number 5"/>
    <w:basedOn w:val="List5"/>
    <w:rsid w:val="00410D87"/>
    <w:pPr>
      <w:numPr>
        <w:numId w:val="6"/>
      </w:numPr>
    </w:pPr>
  </w:style>
  <w:style w:type="paragraph" w:styleId="BlockText">
    <w:name w:val="Block Text"/>
    <w:basedOn w:val="Normal"/>
    <w:rsid w:val="00410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D87"/>
    <w:rPr>
      <w:sz w:val="16"/>
      <w:vertAlign w:val="superscript"/>
    </w:rPr>
  </w:style>
  <w:style w:type="character" w:customStyle="1" w:styleId="Symbols">
    <w:name w:val="Symbols"/>
    <w:basedOn w:val="DefaultParagraphFont"/>
    <w:rsid w:val="00410D87"/>
    <w:rPr>
      <w:rFonts w:ascii="Symbol" w:hAnsi="Symbol"/>
    </w:rPr>
  </w:style>
  <w:style w:type="character" w:customStyle="1" w:styleId="MenuOptions">
    <w:name w:val="Menu Options"/>
    <w:basedOn w:val="DefaultParagraphFont"/>
    <w:rsid w:val="00410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D87"/>
    <w:rPr>
      <w:b/>
    </w:rPr>
  </w:style>
  <w:style w:type="character" w:customStyle="1" w:styleId="Underlined">
    <w:name w:val="Underlined"/>
    <w:basedOn w:val="DefaultParagraphFont"/>
    <w:rsid w:val="00410D87"/>
    <w:rPr>
      <w:u w:val="single"/>
    </w:rPr>
  </w:style>
  <w:style w:type="paragraph" w:customStyle="1" w:styleId="TableBodyTextRight">
    <w:name w:val="Table Body Text Right"/>
    <w:basedOn w:val="TableBodyText"/>
    <w:rsid w:val="00410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D87"/>
    <w:rPr>
      <w:sz w:val="18"/>
    </w:rPr>
  </w:style>
  <w:style w:type="paragraph" w:customStyle="1" w:styleId="BodySmallRight">
    <w:name w:val="Body Small Right"/>
    <w:basedOn w:val="BodyTextRight"/>
    <w:rsid w:val="00410D87"/>
    <w:rPr>
      <w:sz w:val="18"/>
      <w:szCs w:val="18"/>
    </w:rPr>
  </w:style>
  <w:style w:type="paragraph" w:customStyle="1" w:styleId="MarginEdition">
    <w:name w:val="Margin Edition"/>
    <w:basedOn w:val="MarginNote"/>
    <w:rsid w:val="00410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D87"/>
    <w:rPr>
      <w:sz w:val="2"/>
      <w:szCs w:val="2"/>
    </w:rPr>
  </w:style>
  <w:style w:type="character" w:customStyle="1" w:styleId="Small">
    <w:name w:val="Small"/>
    <w:basedOn w:val="DefaultParagraphFont"/>
    <w:rsid w:val="00410D87"/>
    <w:rPr>
      <w:sz w:val="16"/>
    </w:rPr>
  </w:style>
  <w:style w:type="paragraph" w:customStyle="1" w:styleId="WideTable">
    <w:name w:val="Wide Table"/>
    <w:basedOn w:val="Normal"/>
    <w:rsid w:val="00410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D87"/>
  </w:style>
  <w:style w:type="paragraph" w:styleId="Quote">
    <w:name w:val="Quote"/>
    <w:basedOn w:val="Heading1"/>
    <w:link w:val="QuoteChar"/>
    <w:qFormat/>
    <w:rsid w:val="00410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D87"/>
    <w:pPr>
      <w:pageBreakBefore/>
    </w:pPr>
  </w:style>
  <w:style w:type="paragraph" w:customStyle="1" w:styleId="Border">
    <w:name w:val="Border"/>
    <w:basedOn w:val="Normal"/>
    <w:qFormat/>
    <w:rsid w:val="00410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D87"/>
    <w:rPr>
      <w:u w:val="single"/>
    </w:rPr>
  </w:style>
  <w:style w:type="character" w:customStyle="1" w:styleId="BoldandItalics">
    <w:name w:val="Bold and Italics"/>
    <w:qFormat/>
    <w:rsid w:val="00410D87"/>
    <w:rPr>
      <w:b/>
      <w:i/>
      <w:u w:val="none"/>
    </w:rPr>
  </w:style>
  <w:style w:type="paragraph" w:styleId="BalloonText">
    <w:name w:val="Balloon Text"/>
    <w:basedOn w:val="Normal"/>
    <w:link w:val="BalloonTextChar"/>
    <w:rsid w:val="00410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D87"/>
    <w:pPr>
      <w:spacing w:before="0" w:after="0"/>
    </w:pPr>
  </w:style>
  <w:style w:type="paragraph" w:customStyle="1" w:styleId="BodyTextBold">
    <w:name w:val="Body Text Bold"/>
    <w:basedOn w:val="BodyText"/>
    <w:qFormat/>
    <w:rsid w:val="00410D87"/>
    <w:rPr>
      <w:b/>
    </w:rPr>
  </w:style>
  <w:style w:type="character" w:styleId="Hyperlink">
    <w:name w:val="Hyperlink"/>
    <w:basedOn w:val="DefaultParagraphFont"/>
    <w:uiPriority w:val="99"/>
    <w:unhideWhenUsed/>
    <w:rsid w:val="00BC4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3642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SITHKOP016 Select catering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