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14D" w:rsidP="001271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SITHGAM026 Analyse and report on gaming machine data</w:t>
      </w:r>
      <w:r>
        <w:fldChar w:fldCharType="end"/>
      </w:r>
    </w:p>
    <w:p w:rsidR="0012714D" w:rsidP="0012714D">
      <w:pPr>
        <w:pStyle w:val="Version"/>
        <w:sectPr w:rsidSect="00190A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A77" w:rsidP="00190A77">
      <w:pPr>
        <w:pStyle w:val="SuperHeading"/>
      </w:pPr>
      <w:r w:rsidRPr="00190A77">
        <w:t>SITHGAM026 Analyse and report on gaming machine data</w:t>
      </w:r>
    </w:p>
    <w:p w:rsidR="00000000" w:rsidRPr="00190A77" w:rsidP="00190A77">
      <w:pPr>
        <w:pStyle w:val="Heading1"/>
      </w:pPr>
      <w:bookmarkStart w:id="1" w:name="O_1229688"/>
      <w:bookmarkEnd w:id="1"/>
      <w:r w:rsidRPr="00190A77">
        <w:t>Modification History</w:t>
      </w:r>
    </w:p>
    <w:p w:rsidR="00000000" w:rsidRPr="00190A77" w:rsidP="0012714D">
      <w:pPr>
        <w:pStyle w:val="BodyText"/>
      </w:pPr>
      <w:r w:rsidRPr="00190A77">
        <w:t>Not applicable.</w:t>
      </w:r>
    </w:p>
    <w:p w:rsidR="00000000" w:rsidRPr="00190A77" w:rsidP="00190A77">
      <w:pPr>
        <w:pStyle w:val="Heading1"/>
      </w:pPr>
      <w:bookmarkStart w:id="2" w:name="O_1229695"/>
      <w:bookmarkEnd w:id="2"/>
      <w:r w:rsidRPr="00190A77">
        <w:t>Application</w:t>
      </w:r>
    </w:p>
    <w:p w:rsidR="00000000" w:rsidRPr="00190A77" w:rsidP="0012714D">
      <w:pPr>
        <w:pStyle w:val="BodyText"/>
      </w:pPr>
      <w:r w:rsidRPr="00190A77">
        <w:t>This unit describes the performance outcomes, skills and knowledge required to retrieve and analyse gaming machine data and prepare reports for management.</w:t>
      </w:r>
    </w:p>
    <w:p w:rsidR="00000000" w:rsidRPr="00190A77" w:rsidP="0012714D">
      <w:pPr>
        <w:pStyle w:val="BodyText"/>
      </w:pPr>
      <w:r w:rsidRPr="00190A77">
        <w:t>The unit appl</w:t>
      </w:r>
      <w:r w:rsidRPr="00190A77">
        <w:t>ies to all gaming venues and to senior gaming attendants and supervisors.</w:t>
      </w:r>
    </w:p>
    <w:p w:rsidR="00000000" w:rsidRPr="00190A77" w:rsidP="0012714D">
      <w:pPr>
        <w:pStyle w:val="BodyText"/>
      </w:pPr>
      <w:r w:rsidRPr="00190A77">
        <w:t>In many states and territories, legislation stipulates that all gaming workers must receive training in the responsible conduct of gambling. This is covered in SITHGAM022 Provide re</w:t>
      </w:r>
      <w:r w:rsidRPr="00190A77">
        <w:t>sponsible gambling services.</w:t>
      </w:r>
    </w:p>
    <w:p w:rsidR="00000000" w:rsidRPr="00190A77" w:rsidP="0012714D">
      <w:pPr>
        <w:pStyle w:val="BodyText"/>
      </w:pPr>
      <w:r w:rsidRPr="00190A77">
        <w:t>The skills in this unit must be applied in accordance with Commonwealth and State/Territory legislation, Australian/New Zealand standards and industry codes of practice.</w:t>
      </w:r>
    </w:p>
    <w:p w:rsidR="00000000" w:rsidRPr="00190A77" w:rsidP="0012714D">
      <w:pPr>
        <w:pStyle w:val="BodyText"/>
      </w:pPr>
      <w:r w:rsidRPr="00190A77">
        <w:t>No occupational licensing, certification or specific legi</w:t>
      </w:r>
      <w:r w:rsidRPr="00190A77">
        <w:t>slative requirements apply to this unit at the time of publication.</w:t>
      </w:r>
    </w:p>
    <w:p w:rsidR="00000000" w:rsidRPr="00190A77" w:rsidP="00190A77">
      <w:pPr>
        <w:pStyle w:val="Heading1"/>
      </w:pPr>
      <w:bookmarkStart w:id="3" w:name="O_1229694"/>
      <w:bookmarkEnd w:id="3"/>
      <w:r w:rsidRPr="00190A77">
        <w:t>Pre-requisite Unit</w:t>
      </w:r>
    </w:p>
    <w:p w:rsidR="00000000" w:rsidRPr="00190A77" w:rsidP="0012714D">
      <w:pPr>
        <w:pStyle w:val="BodyText"/>
      </w:pPr>
      <w:r w:rsidRPr="00190A77">
        <w:t>SITHGAM022 Provide responsible gambling services</w:t>
      </w:r>
    </w:p>
    <w:p w:rsidR="00000000" w:rsidRPr="00190A77" w:rsidP="00190A77">
      <w:pPr>
        <w:pStyle w:val="Heading1"/>
      </w:pPr>
      <w:bookmarkStart w:id="4" w:name="O_1229693"/>
      <w:bookmarkEnd w:id="4"/>
      <w:r w:rsidRPr="00190A77">
        <w:t>Competency Field</w:t>
      </w:r>
    </w:p>
    <w:p w:rsidR="00000000" w:rsidRPr="00190A77" w:rsidP="0012714D">
      <w:pPr>
        <w:pStyle w:val="BodyText"/>
      </w:pPr>
      <w:r w:rsidRPr="00190A77">
        <w:t>Gaming</w:t>
      </w:r>
    </w:p>
    <w:p w:rsidR="00000000" w:rsidRPr="00190A77" w:rsidP="00190A77">
      <w:pPr>
        <w:pStyle w:val="Heading1"/>
      </w:pPr>
      <w:bookmarkStart w:id="5" w:name="O_1229692"/>
      <w:bookmarkEnd w:id="5"/>
      <w:r w:rsidRPr="00190A77">
        <w:t>Unit Sector</w:t>
      </w:r>
    </w:p>
    <w:p w:rsidR="00000000" w:rsidRPr="00190A77" w:rsidP="0012714D">
      <w:pPr>
        <w:pStyle w:val="BodyText"/>
      </w:pPr>
      <w:r w:rsidRPr="00190A77">
        <w:t>Hospitality</w:t>
      </w:r>
    </w:p>
    <w:p w:rsidR="00000000" w:rsidRPr="00190A77" w:rsidP="00190A77">
      <w:pPr>
        <w:pStyle w:val="Heading1"/>
      </w:pPr>
      <w:bookmarkStart w:id="6" w:name="O_1229691"/>
      <w:bookmarkEnd w:id="6"/>
      <w:r w:rsidRPr="00190A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90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A77" w:rsidP="00190A77">
            <w:pPr>
              <w:pStyle w:val="BodyText"/>
            </w:pPr>
            <w:r w:rsidRPr="00190A7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77">
            <w:pPr>
              <w:pStyle w:val="BodyText"/>
              <w:rPr>
                <w:lang w:val="en-NZ"/>
              </w:rPr>
            </w:pPr>
            <w:r w:rsidRPr="00190A77">
              <w:rPr>
                <w:rStyle w:val="SpecialBold"/>
              </w:rPr>
              <w:t>PERFORMANCE</w:t>
            </w:r>
            <w:r w:rsidRPr="00190A77">
              <w:t xml:space="preserve"> </w:t>
            </w:r>
            <w:r w:rsidRPr="00190A77">
              <w:rPr>
                <w:rStyle w:val="SpecialBold"/>
              </w:rPr>
              <w:t>CRITERIA</w:t>
            </w:r>
          </w:p>
        </w:tc>
      </w:tr>
      <w:tr w:rsidTr="00190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A77" w:rsidP="00190A77">
            <w:pPr>
              <w:pStyle w:val="BodyText"/>
            </w:pPr>
            <w:r w:rsidRPr="00190A7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77">
            <w:pPr>
              <w:pStyle w:val="BodyText"/>
              <w:rPr>
                <w:lang w:val="en-NZ"/>
              </w:rPr>
            </w:pPr>
            <w:r w:rsidRPr="00190A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0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77">
            <w:pPr>
              <w:pStyle w:val="List"/>
              <w:rPr>
                <w:lang w:val="en-NZ"/>
              </w:rPr>
            </w:pPr>
            <w:r w:rsidRPr="00190A77">
              <w:t xml:space="preserve">1.  Obtain gaming </w:t>
            </w:r>
            <w:r w:rsidRPr="00190A77">
              <w:t>machine data.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A77" w:rsidP="00190A77">
            <w:pPr>
              <w:pStyle w:val="List"/>
            </w:pPr>
            <w:r w:rsidRPr="00190A77">
              <w:t xml:space="preserve">1.1. Retrieve data from gaming machine and system using retrieval system according to legislative requirements and </w:t>
            </w:r>
            <w:r w:rsidRPr="00190A77">
              <w:t>organisational procedures.</w:t>
            </w:r>
          </w:p>
          <w:p w:rsidR="00000000" w:rsidP="00190A77">
            <w:pPr>
              <w:pStyle w:val="List"/>
              <w:rPr>
                <w:lang w:val="en-NZ"/>
              </w:rPr>
            </w:pPr>
            <w:r w:rsidRPr="00190A77">
              <w:t>1.2. Record data using correct methods and terminology according to legislative requirements and organisational pr</w:t>
            </w:r>
            <w:r w:rsidRPr="00190A77">
              <w:t>ocedures.</w:t>
            </w:r>
          </w:p>
        </w:tc>
      </w:tr>
      <w:tr w:rsidTr="00190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77">
            <w:pPr>
              <w:pStyle w:val="List"/>
              <w:rPr>
                <w:lang w:val="en-NZ"/>
              </w:rPr>
            </w:pPr>
            <w:r w:rsidRPr="00190A77">
              <w:t>2.  Analyse gaming machine data.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A77" w:rsidP="00190A77">
            <w:pPr>
              <w:pStyle w:val="List"/>
            </w:pPr>
            <w:r w:rsidRPr="00190A77">
              <w:t>2.1. Analyse data according to legislative requirements and organisational procedures.</w:t>
            </w:r>
          </w:p>
          <w:p w:rsidR="00000000" w:rsidRPr="00190A77" w:rsidP="00190A77">
            <w:pPr>
              <w:pStyle w:val="List"/>
            </w:pPr>
            <w:r w:rsidRPr="00190A77">
              <w:t>2.2. Perform cash flow analysis according to the correct mathematical equation, including analysis of metered information and</w:t>
            </w:r>
            <w:r w:rsidRPr="00190A77">
              <w:t xml:space="preserve"> cash data.</w:t>
            </w:r>
          </w:p>
          <w:p w:rsidR="00000000" w:rsidP="00190A77">
            <w:pPr>
              <w:pStyle w:val="List"/>
              <w:rPr>
                <w:lang w:val="en-NZ"/>
              </w:rPr>
            </w:pPr>
            <w:r w:rsidRPr="00190A77">
              <w:t>2.3. Identify variances in data and determine possible causes.</w:t>
            </w:r>
          </w:p>
        </w:tc>
      </w:tr>
      <w:tr w:rsidTr="00190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77">
            <w:pPr>
              <w:pStyle w:val="List"/>
              <w:rPr>
                <w:lang w:val="en-NZ"/>
              </w:rPr>
            </w:pPr>
            <w:r w:rsidRPr="00190A77">
              <w:t>3.  Prepare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A77" w:rsidP="00190A77">
            <w:pPr>
              <w:pStyle w:val="List"/>
            </w:pPr>
            <w:r w:rsidRPr="00190A77">
              <w:t>3.1. Prepare reports according to organisational requirements and present them to the appropriate person.</w:t>
            </w:r>
          </w:p>
          <w:p w:rsidR="00000000" w:rsidRPr="00190A77" w:rsidP="00190A77">
            <w:pPr>
              <w:pStyle w:val="List"/>
            </w:pPr>
            <w:r w:rsidRPr="00190A77">
              <w:t>3.2. Minimise waste in preparing reports.</w:t>
            </w:r>
          </w:p>
        </w:tc>
      </w:tr>
    </w:tbl>
    <w:p w:rsidR="00000000" w:rsidRPr="00190A77" w:rsidP="00190A77">
      <w:pPr>
        <w:pStyle w:val="List"/>
      </w:pPr>
    </w:p>
    <w:p w:rsidR="00000000" w:rsidRPr="00190A77" w:rsidP="00190A77">
      <w:pPr>
        <w:pStyle w:val="AllowPageBreak"/>
      </w:pPr>
    </w:p>
    <w:p w:rsidR="00000000" w:rsidRPr="00190A77" w:rsidP="00190A77">
      <w:pPr>
        <w:pStyle w:val="Heading1"/>
      </w:pPr>
      <w:bookmarkStart w:id="7" w:name="O_1229690"/>
      <w:bookmarkEnd w:id="7"/>
      <w:r w:rsidRPr="00190A7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90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77">
            <w:pPr>
              <w:pStyle w:val="BodyText"/>
              <w:rPr>
                <w:lang w:val="en-NZ"/>
              </w:rPr>
            </w:pPr>
            <w:r w:rsidRPr="00190A7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90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A77" w:rsidP="00190A77">
            <w:pPr>
              <w:pStyle w:val="BodyText"/>
            </w:pPr>
            <w:r w:rsidRPr="00190A7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77">
            <w:pPr>
              <w:pStyle w:val="BodyText"/>
              <w:rPr>
                <w:lang w:val="en-NZ"/>
              </w:rPr>
            </w:pPr>
            <w:r w:rsidRPr="00190A77">
              <w:rPr>
                <w:rStyle w:val="SpecialBold"/>
              </w:rPr>
              <w:t>DESCRIPTION</w:t>
            </w:r>
          </w:p>
        </w:tc>
      </w:tr>
      <w:tr w:rsidTr="00190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77">
            <w:pPr>
              <w:pStyle w:val="BodyText"/>
              <w:rPr>
                <w:lang w:val="en-NZ"/>
              </w:rPr>
            </w:pPr>
            <w:r w:rsidRPr="00190A7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77">
            <w:pPr>
              <w:pStyle w:val="ListBullet"/>
              <w:rPr>
                <w:lang w:val="en-NZ"/>
              </w:rPr>
            </w:pPr>
            <w:r w:rsidRPr="00190A77">
              <w:t>read and interpret data against key performance indicators and identify variances.</w:t>
            </w:r>
          </w:p>
        </w:tc>
      </w:tr>
      <w:tr w:rsidTr="00190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77">
            <w:pPr>
              <w:pStyle w:val="BodyText"/>
              <w:rPr>
                <w:lang w:val="en-NZ"/>
              </w:rPr>
            </w:pPr>
            <w:r w:rsidRPr="00190A7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77">
            <w:pPr>
              <w:pStyle w:val="ListBullet"/>
              <w:rPr>
                <w:lang w:val="en-NZ"/>
              </w:rPr>
            </w:pPr>
            <w:r w:rsidRPr="00190A77">
              <w:t>prepare reports on gaming machines that reflect different analyses of numerical data.</w:t>
            </w:r>
          </w:p>
        </w:tc>
      </w:tr>
      <w:tr w:rsidTr="00190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77">
            <w:pPr>
              <w:pStyle w:val="BodyText"/>
              <w:rPr>
                <w:lang w:val="en-NZ"/>
              </w:rPr>
            </w:pPr>
            <w:r w:rsidRPr="00190A7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A77" w:rsidP="00190A77">
            <w:pPr>
              <w:pStyle w:val="ListBullet"/>
            </w:pPr>
            <w:r w:rsidRPr="00190A77">
              <w:t>use:</w:t>
            </w:r>
          </w:p>
          <w:p w:rsidR="00000000" w:rsidRPr="00190A77" w:rsidP="00190A77">
            <w:pPr>
              <w:pStyle w:val="ListBullet2"/>
            </w:pPr>
            <w:r w:rsidRPr="00190A77">
              <w:t>gaming machine reporting software</w:t>
            </w:r>
          </w:p>
          <w:p w:rsidR="00000000" w:rsidRPr="00190A77" w:rsidP="00190A77">
            <w:pPr>
              <w:pStyle w:val="ListBullet2"/>
            </w:pPr>
            <w:r w:rsidRPr="00190A77">
              <w:t>gaming machine data retrieval systems.</w:t>
            </w:r>
          </w:p>
        </w:tc>
      </w:tr>
    </w:tbl>
    <w:p w:rsidR="00000000" w:rsidRPr="00190A77" w:rsidP="00190A77">
      <w:pPr>
        <w:pStyle w:val="BodyText"/>
      </w:pPr>
    </w:p>
    <w:p w:rsidR="00000000" w:rsidRPr="00190A77" w:rsidP="00190A77">
      <w:pPr>
        <w:pStyle w:val="AllowPageBreak"/>
      </w:pPr>
    </w:p>
    <w:p w:rsidR="00000000" w:rsidRPr="00190A77" w:rsidP="00190A77">
      <w:pPr>
        <w:pStyle w:val="Heading1"/>
      </w:pPr>
      <w:bookmarkStart w:id="8" w:name="O_1229689"/>
      <w:bookmarkEnd w:id="8"/>
      <w:r w:rsidRPr="00190A77">
        <w:t>Unit Mapping Information</w:t>
      </w:r>
    </w:p>
    <w:p w:rsidR="00000000" w:rsidRPr="00190A77" w:rsidP="0012714D">
      <w:pPr>
        <w:pStyle w:val="BodyText"/>
      </w:pPr>
      <w:r w:rsidRPr="00190A77">
        <w:t>Supersedes and is not equivalent to SITHGAM005 Analyse and report on gaming machine data.</w:t>
      </w:r>
    </w:p>
    <w:p w:rsidR="00000000" w:rsidRPr="00190A77" w:rsidP="00190A77">
      <w:pPr>
        <w:pStyle w:val="Heading1"/>
      </w:pPr>
      <w:bookmarkStart w:id="9" w:name="O_1229682"/>
      <w:bookmarkEnd w:id="9"/>
      <w:r w:rsidRPr="00190A77">
        <w:t>Links</w:t>
      </w:r>
    </w:p>
    <w:p w:rsidR="00000000" w:rsidRPr="00190A77" w:rsidP="0012714D">
      <w:pPr>
        <w:pStyle w:val="BodyText"/>
      </w:pPr>
      <w:r w:rsidRPr="00190A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B597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90A77" w:rsidP="0012714D">
      <w:pPr>
        <w:pStyle w:val="BodyText"/>
        <w:sectPr w:rsidSect="00190A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0A77" w:rsidP="00190A77">
      <w:pPr>
        <w:pStyle w:val="SuperHeading"/>
      </w:pPr>
      <w:r w:rsidRPr="00190A77">
        <w:t>Assessment Requirements for SITHGAM026 Analyse and report on ga</w:t>
      </w:r>
      <w:r w:rsidRPr="00190A77">
        <w:t>ming machine data</w:t>
      </w:r>
    </w:p>
    <w:p w:rsidR="00000000" w:rsidRPr="00190A77" w:rsidP="00190A77">
      <w:pPr>
        <w:pStyle w:val="Heading1"/>
      </w:pPr>
      <w:bookmarkStart w:id="10" w:name="O_1229684"/>
      <w:bookmarkEnd w:id="10"/>
      <w:r w:rsidRPr="00190A77">
        <w:t>Modification History</w:t>
      </w:r>
    </w:p>
    <w:p w:rsidR="00000000" w:rsidRPr="00190A77" w:rsidP="0012714D">
      <w:pPr>
        <w:pStyle w:val="BodyText"/>
      </w:pPr>
      <w:r w:rsidRPr="00190A77">
        <w:t>Not applicable.</w:t>
      </w:r>
    </w:p>
    <w:p w:rsidR="00000000" w:rsidRPr="00190A77" w:rsidP="00190A77">
      <w:pPr>
        <w:pStyle w:val="Heading1"/>
      </w:pPr>
      <w:bookmarkStart w:id="11" w:name="O_1229687"/>
      <w:bookmarkEnd w:id="11"/>
      <w:r w:rsidRPr="00190A77">
        <w:t>Performance Evidence</w:t>
      </w:r>
    </w:p>
    <w:p w:rsidR="00000000" w:rsidRPr="00190A77" w:rsidP="0012714D">
      <w:pPr>
        <w:pStyle w:val="BodyText"/>
      </w:pPr>
      <w:r w:rsidRPr="00190A77">
        <w:t>Evidence of the ability to complete tasks outlined in elements and performance criteria of this unit in the context of the job role, and:</w:t>
      </w:r>
    </w:p>
    <w:p w:rsidR="00000000" w:rsidRPr="00190A77" w:rsidP="00190A77">
      <w:pPr>
        <w:pStyle w:val="ListBullet"/>
      </w:pPr>
      <w:r w:rsidRPr="00190A77">
        <w:t>retrieve data from three different gaming machines or systems listed in the knowledge evidence, according to organisational procedures and legislative and licensing requirements</w:t>
      </w:r>
    </w:p>
    <w:p w:rsidR="00000000" w:rsidRPr="00190A77" w:rsidP="00190A77">
      <w:pPr>
        <w:pStyle w:val="ListBullet"/>
      </w:pPr>
      <w:r w:rsidRPr="00190A77">
        <w:t>analyse above data and produce at least six different types of data repo</w:t>
      </w:r>
      <w:r w:rsidRPr="00190A77">
        <w:t>rts listed in the knowledge evidence, according to organisational procedures and legislative and licensing requirements.</w:t>
      </w:r>
    </w:p>
    <w:p w:rsidR="00000000" w:rsidRPr="00190A77" w:rsidP="00190A77">
      <w:pPr>
        <w:pStyle w:val="AllowPageBreak"/>
      </w:pPr>
    </w:p>
    <w:p w:rsidR="00000000" w:rsidRPr="00190A77" w:rsidP="00190A77">
      <w:pPr>
        <w:pStyle w:val="Heading1"/>
      </w:pPr>
      <w:bookmarkStart w:id="12" w:name="O_1229686"/>
      <w:bookmarkEnd w:id="12"/>
      <w:r w:rsidRPr="00190A77">
        <w:t>Knowledge Evidence</w:t>
      </w:r>
    </w:p>
    <w:p w:rsidR="00000000" w:rsidRPr="00190A77" w:rsidP="0012714D">
      <w:pPr>
        <w:pStyle w:val="BodyText"/>
      </w:pPr>
      <w:r w:rsidRPr="00190A77">
        <w:t>Demonstrated knowledge required to complete the tasks outlined in elements and performance criter</w:t>
      </w:r>
      <w:r w:rsidRPr="00190A77">
        <w:t>ia of this unit:</w:t>
      </w:r>
    </w:p>
    <w:p w:rsidR="00000000" w:rsidRPr="00190A77" w:rsidP="00190A77">
      <w:pPr>
        <w:pStyle w:val="ListBullet"/>
      </w:pPr>
      <w:r w:rsidRPr="00190A77">
        <w:t>requirements of relevant state and territory gaming legislation, related to:</w:t>
      </w:r>
    </w:p>
    <w:p w:rsidR="00000000" w:rsidRPr="00190A77" w:rsidP="00190A77">
      <w:pPr>
        <w:pStyle w:val="ListBullet2"/>
      </w:pPr>
      <w:r w:rsidRPr="00190A77">
        <w:t>record keeping, analysing and reporting on the operation of gaming machines and subsidiary equipment</w:t>
      </w:r>
    </w:p>
    <w:p w:rsidR="00000000" w:rsidRPr="00190A77" w:rsidP="00190A77">
      <w:pPr>
        <w:pStyle w:val="ListBullet2"/>
      </w:pPr>
      <w:r w:rsidRPr="00190A77">
        <w:t>licensing requirements for venues</w:t>
      </w:r>
    </w:p>
    <w:p w:rsidR="00000000" w:rsidRPr="00190A77" w:rsidP="00190A77">
      <w:pPr>
        <w:pStyle w:val="ListBullet2"/>
      </w:pPr>
      <w:r w:rsidRPr="00190A77">
        <w:t>licensing requirements fo</w:t>
      </w:r>
      <w:r w:rsidRPr="00190A77">
        <w:t>r repairers, service consultants and machine managers</w:t>
      </w:r>
    </w:p>
    <w:p w:rsidR="00000000" w:rsidRPr="00190A77" w:rsidP="00190A77">
      <w:pPr>
        <w:pStyle w:val="ListBullet2"/>
      </w:pPr>
      <w:r w:rsidRPr="00190A77">
        <w:t>general accounting requirements</w:t>
      </w:r>
    </w:p>
    <w:p w:rsidR="00000000" w:rsidRPr="00190A77" w:rsidP="00190A77">
      <w:pPr>
        <w:pStyle w:val="ListBullet2"/>
      </w:pPr>
      <w:r w:rsidRPr="00190A77">
        <w:t>fees, taxes and levies applicable to the operation of gaming machines</w:t>
      </w:r>
    </w:p>
    <w:p w:rsidR="00000000" w:rsidRPr="00190A77" w:rsidP="00190A77">
      <w:pPr>
        <w:pStyle w:val="ListBullet"/>
      </w:pPr>
      <w:r w:rsidRPr="00190A77">
        <w:t>types of gaming machines and systems:</w:t>
      </w:r>
    </w:p>
    <w:p w:rsidR="00000000" w:rsidRPr="00190A77" w:rsidP="00190A77">
      <w:pPr>
        <w:pStyle w:val="ListBullet2"/>
      </w:pPr>
      <w:r w:rsidRPr="00190A77">
        <w:t>linked progressive systems:</w:t>
      </w:r>
    </w:p>
    <w:p w:rsidR="00000000" w:rsidRPr="00190A77" w:rsidP="00190A77">
      <w:pPr>
        <w:pStyle w:val="ListBullet3"/>
      </w:pPr>
      <w:r w:rsidRPr="00190A77">
        <w:t>bonus (random) link systems</w:t>
      </w:r>
    </w:p>
    <w:p w:rsidR="00000000" w:rsidRPr="00190A77" w:rsidP="00190A77">
      <w:pPr>
        <w:pStyle w:val="ListBullet3"/>
      </w:pPr>
      <w:r w:rsidRPr="00190A77">
        <w:t>combination dependent systems</w:t>
      </w:r>
    </w:p>
    <w:p w:rsidR="00000000" w:rsidRPr="00190A77" w:rsidP="00190A77">
      <w:pPr>
        <w:pStyle w:val="ListBullet3"/>
      </w:pPr>
      <w:r w:rsidRPr="00190A77">
        <w:t>Hyperlink</w:t>
      </w:r>
    </w:p>
    <w:p w:rsidR="00000000" w:rsidRPr="00190A77" w:rsidP="00190A77">
      <w:pPr>
        <w:pStyle w:val="ListBullet3"/>
      </w:pPr>
      <w:r w:rsidRPr="00190A77">
        <w:t xml:space="preserve">progressive and stand-alone jackpot systems </w:t>
      </w:r>
    </w:p>
    <w:p w:rsidR="00000000" w:rsidRPr="00190A77" w:rsidP="00190A77">
      <w:pPr>
        <w:pStyle w:val="ListBullet3"/>
      </w:pPr>
      <w:r w:rsidRPr="00190A77">
        <w:t>inter-venue progressive jackpot link systems</w:t>
      </w:r>
    </w:p>
    <w:p w:rsidR="00000000" w:rsidRPr="00190A77" w:rsidP="00190A77">
      <w:pPr>
        <w:pStyle w:val="ListBullet2"/>
      </w:pPr>
      <w:r w:rsidRPr="00190A77">
        <w:t>multi-terminal machines</w:t>
      </w:r>
    </w:p>
    <w:p w:rsidR="00000000" w:rsidRPr="00190A77" w:rsidP="00190A77">
      <w:pPr>
        <w:pStyle w:val="ListBullet2"/>
      </w:pPr>
      <w:r w:rsidRPr="00190A77">
        <w:t>player loyalty systems</w:t>
      </w:r>
    </w:p>
    <w:p w:rsidR="00000000" w:rsidRPr="00190A77" w:rsidP="00190A77">
      <w:pPr>
        <w:pStyle w:val="ListBullet2"/>
      </w:pPr>
      <w:r w:rsidRPr="00190A77">
        <w:t>stand-alone gaming machines</w:t>
      </w:r>
    </w:p>
    <w:p w:rsidR="00000000" w:rsidRPr="00190A77" w:rsidP="00190A77">
      <w:pPr>
        <w:pStyle w:val="ListBullet2"/>
      </w:pPr>
      <w:r w:rsidRPr="00190A77">
        <w:t>stand-alone progressive jackpot machines</w:t>
      </w:r>
    </w:p>
    <w:p w:rsidR="00000000" w:rsidRPr="00190A77" w:rsidP="00190A77">
      <w:pPr>
        <w:pStyle w:val="ListBullet"/>
      </w:pPr>
      <w:r w:rsidRPr="00190A77">
        <w:t>types of</w:t>
      </w:r>
      <w:r w:rsidRPr="00190A77">
        <w:t xml:space="preserve"> data reports and their relevance to the business:</w:t>
      </w:r>
    </w:p>
    <w:p w:rsidR="00000000" w:rsidRPr="00190A77" w:rsidP="00190A77">
      <w:pPr>
        <w:pStyle w:val="ListBullet2"/>
      </w:pPr>
      <w:r w:rsidRPr="00190A77">
        <w:t>cash flow analysis, machine specifications and linked progressive jackpot configurations</w:t>
      </w:r>
    </w:p>
    <w:p w:rsidR="00000000" w:rsidRPr="00190A77" w:rsidP="00190A77">
      <w:pPr>
        <w:pStyle w:val="ListBullet2"/>
      </w:pPr>
      <w:r w:rsidRPr="00190A77">
        <w:t>duty calculations and returns</w:t>
      </w:r>
    </w:p>
    <w:p w:rsidR="00000000" w:rsidRPr="00190A77" w:rsidP="00190A77">
      <w:pPr>
        <w:pStyle w:val="ListBullet2"/>
      </w:pPr>
      <w:r w:rsidRPr="00190A77">
        <w:t>gross results of a gaming machine’s operation</w:t>
      </w:r>
    </w:p>
    <w:p w:rsidR="00000000" w:rsidRPr="00190A77" w:rsidP="00190A77">
      <w:pPr>
        <w:pStyle w:val="ListBullet2"/>
      </w:pPr>
      <w:r w:rsidRPr="00190A77">
        <w:t>meter readings and their increments</w:t>
      </w:r>
    </w:p>
    <w:p w:rsidR="00000000" w:rsidRPr="00190A77" w:rsidP="00190A77">
      <w:pPr>
        <w:pStyle w:val="ListBullet2"/>
      </w:pPr>
      <w:r w:rsidRPr="00190A77">
        <w:t>history reports:</w:t>
      </w:r>
    </w:p>
    <w:p w:rsidR="00000000" w:rsidRPr="00190A77" w:rsidP="00190A77">
      <w:pPr>
        <w:pStyle w:val="ListBullet3"/>
      </w:pPr>
      <w:r w:rsidRPr="00190A77">
        <w:t>net revenue analysis</w:t>
      </w:r>
    </w:p>
    <w:p w:rsidR="00000000" w:rsidRPr="00190A77" w:rsidP="00190A77">
      <w:pPr>
        <w:pStyle w:val="ListBullet3"/>
      </w:pPr>
      <w:r w:rsidRPr="00190A77">
        <w:t>profit variance</w:t>
      </w:r>
    </w:p>
    <w:p w:rsidR="00000000" w:rsidRPr="00190A77" w:rsidP="00190A77">
      <w:pPr>
        <w:pStyle w:val="ListBullet2"/>
      </w:pPr>
      <w:r w:rsidRPr="00190A77">
        <w:t>operational data of a gaming machine</w:t>
      </w:r>
    </w:p>
    <w:p w:rsidR="00000000" w:rsidRPr="00190A77" w:rsidP="00190A77">
      <w:pPr>
        <w:pStyle w:val="ListBullet2"/>
      </w:pPr>
      <w:r w:rsidRPr="00190A77">
        <w:t>machine clearances, payouts and hopper weigh amounts</w:t>
      </w:r>
    </w:p>
    <w:p w:rsidR="00000000" w:rsidRPr="00190A77" w:rsidP="00190A77">
      <w:pPr>
        <w:pStyle w:val="ListBullet2"/>
      </w:pPr>
      <w:r w:rsidRPr="00190A77">
        <w:t>meter comparison report</w:t>
      </w:r>
    </w:p>
    <w:p w:rsidR="00000000" w:rsidRPr="00190A77" w:rsidP="00190A77">
      <w:pPr>
        <w:pStyle w:val="ListBullet2"/>
      </w:pPr>
      <w:r w:rsidRPr="00190A77">
        <w:t>paper-based or electronically transmitted materials</w:t>
      </w:r>
    </w:p>
    <w:p w:rsidR="00000000" w:rsidRPr="00190A77" w:rsidP="00190A77">
      <w:pPr>
        <w:pStyle w:val="ListBullet2"/>
      </w:pPr>
      <w:r w:rsidRPr="00190A77">
        <w:t>profit reports and declarations</w:t>
      </w:r>
    </w:p>
    <w:p w:rsidR="00000000" w:rsidRPr="00190A77" w:rsidP="00190A77">
      <w:pPr>
        <w:pStyle w:val="ListBullet2"/>
      </w:pPr>
      <w:r w:rsidRPr="00190A77">
        <w:t>reports to organisation management</w:t>
      </w:r>
    </w:p>
    <w:p w:rsidR="00000000" w:rsidRPr="00190A77" w:rsidP="00190A77">
      <w:pPr>
        <w:pStyle w:val="ListBullet2"/>
      </w:pPr>
      <w:r w:rsidRPr="00190A77">
        <w:t>stand-alone progressive and link-progressive jackpot system reconciliations</w:t>
      </w:r>
    </w:p>
    <w:p w:rsidR="00000000" w:rsidRPr="00190A77" w:rsidP="00190A77">
      <w:pPr>
        <w:pStyle w:val="ListBullet"/>
      </w:pPr>
      <w:r w:rsidRPr="00190A77">
        <w:t>mathematical design and reconciliation of all linked systems as it impacts on day-to-day machine operations</w:t>
      </w:r>
    </w:p>
    <w:p w:rsidR="00000000" w:rsidRPr="00190A77" w:rsidP="00190A77">
      <w:pPr>
        <w:pStyle w:val="ListBullet"/>
      </w:pPr>
      <w:r w:rsidRPr="00190A77">
        <w:t>mathematical and analytical concepts and equations relevant to gambling at an operational level</w:t>
      </w:r>
    </w:p>
    <w:p w:rsidR="00000000" w:rsidRPr="00190A77" w:rsidP="00190A77">
      <w:pPr>
        <w:pStyle w:val="ListBullet"/>
      </w:pPr>
      <w:r w:rsidRPr="00190A77">
        <w:t>key features of computerised gaming machine programs.</w:t>
      </w:r>
    </w:p>
    <w:p w:rsidR="00000000" w:rsidRPr="00190A77" w:rsidP="00190A77">
      <w:pPr>
        <w:pStyle w:val="AllowPageBreak"/>
      </w:pPr>
    </w:p>
    <w:p w:rsidR="00000000" w:rsidRPr="00190A77" w:rsidP="00190A77">
      <w:pPr>
        <w:pStyle w:val="Heading1"/>
      </w:pPr>
      <w:bookmarkStart w:id="13" w:name="O_1229685"/>
      <w:bookmarkEnd w:id="13"/>
      <w:r w:rsidRPr="00190A77">
        <w:t>Assessment Conditions</w:t>
      </w:r>
    </w:p>
    <w:p w:rsidR="00000000" w:rsidRPr="00190A77" w:rsidP="0012714D">
      <w:pPr>
        <w:pStyle w:val="BodyText"/>
      </w:pPr>
      <w:r w:rsidRPr="00190A77">
        <w:t>Skills must be demonstrated in an operational gaming environment.</w:t>
      </w:r>
      <w:r w:rsidRPr="00190A77">
        <w:t xml:space="preserve"> This can be:</w:t>
      </w:r>
    </w:p>
    <w:p w:rsidR="00000000" w:rsidRPr="00190A77" w:rsidP="00190A77">
      <w:pPr>
        <w:pStyle w:val="ListBullet"/>
      </w:pPr>
      <w:r w:rsidRPr="00190A77">
        <w:t>an industry workplace; or</w:t>
      </w:r>
    </w:p>
    <w:p w:rsidR="00000000" w:rsidRPr="00190A77" w:rsidP="00190A77">
      <w:pPr>
        <w:pStyle w:val="ListBullet"/>
      </w:pPr>
      <w:r w:rsidRPr="00190A77">
        <w:t>a simulated industry environment set up for the purposes of assessment.</w:t>
      </w:r>
    </w:p>
    <w:p w:rsidR="00000000" w:rsidRPr="00190A77" w:rsidP="0012714D">
      <w:pPr>
        <w:pStyle w:val="BodyText"/>
      </w:pPr>
      <w:r w:rsidRPr="00190A77">
        <w:t>Assessment must ensure access to:</w:t>
      </w:r>
    </w:p>
    <w:p w:rsidR="00000000" w:rsidRPr="00190A77" w:rsidP="00190A77">
      <w:pPr>
        <w:pStyle w:val="ListBullet"/>
      </w:pPr>
      <w:r w:rsidRPr="00190A77">
        <w:t xml:space="preserve">operational gaming venue with machines and equipment </w:t>
      </w:r>
    </w:p>
    <w:p w:rsidR="00000000" w:rsidRPr="00190A77" w:rsidP="00190A77">
      <w:pPr>
        <w:pStyle w:val="ListBullet"/>
      </w:pPr>
      <w:r w:rsidRPr="00190A77">
        <w:t xml:space="preserve">applicable header systems according to organisational </w:t>
      </w:r>
      <w:r w:rsidRPr="00190A77">
        <w:t>requirements</w:t>
      </w:r>
    </w:p>
    <w:p w:rsidR="00000000" w:rsidRPr="00190A77" w:rsidP="00190A77">
      <w:pPr>
        <w:pStyle w:val="ListBullet"/>
      </w:pPr>
      <w:r w:rsidRPr="00190A77">
        <w:t>data retrieval system</w:t>
      </w:r>
    </w:p>
    <w:p w:rsidR="00000000" w:rsidRPr="00190A77" w:rsidP="00190A77">
      <w:pPr>
        <w:pStyle w:val="ListBullet"/>
      </w:pPr>
      <w:r w:rsidRPr="00190A77">
        <w:t>gaming machine reporting software and data.</w:t>
      </w:r>
    </w:p>
    <w:p w:rsidR="00000000" w:rsidRPr="00190A77" w:rsidP="0012714D">
      <w:pPr>
        <w:pStyle w:val="BodyText"/>
      </w:pPr>
      <w:r w:rsidRPr="00190A77">
        <w:t>Assessors must satisfy the Standards for Registered Training Organisations’ requirements for assessors and have worked in industry for at least three years where they have appli</w:t>
      </w:r>
      <w:r w:rsidRPr="00190A77">
        <w:t>ed the skills and knowledge of this unit of competency.</w:t>
      </w:r>
    </w:p>
    <w:p w:rsidR="00000000" w:rsidRPr="00190A77" w:rsidP="00190A77">
      <w:pPr>
        <w:pStyle w:val="Heading1"/>
      </w:pPr>
      <w:bookmarkStart w:id="14" w:name="O_1229683"/>
      <w:bookmarkEnd w:id="14"/>
      <w:r w:rsidRPr="00190A77">
        <w:t>Links</w:t>
      </w:r>
    </w:p>
    <w:p w:rsidR="00000000" w:rsidRPr="00190A77" w:rsidP="0012714D">
      <w:pPr>
        <w:pStyle w:val="BodyText"/>
      </w:pPr>
      <w:r w:rsidRPr="00190A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B597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90A77" w:rsidP="00190A77"/>
    <w:sectPr w:rsidSect="00190A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77" w:rsidRPr="0012714D" w:rsidP="001271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14D" w:rsidP="00190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714D" w:rsidP="00190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2714D" w:rsidP="00190A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77" w:rsidP="00190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714D">
      <w:t>Approved</w:t>
    </w:r>
    <w:r w:rsidR="001271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71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714D">
      <w:rPr>
        <w:noProof/>
      </w:rPr>
      <w:t>4</w:t>
    </w:r>
    <w:r>
      <w:rPr>
        <w:noProof/>
      </w:rPr>
      <w:fldChar w:fldCharType="end"/>
    </w:r>
  </w:p>
  <w:p w:rsidR="00190A77" w:rsidP="00190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71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714D">
      <w:t>Service and Creative Skills Australia</w:t>
    </w:r>
    <w:r w:rsidR="0012714D">
      <w:fldChar w:fldCharType="end"/>
    </w:r>
  </w:p>
  <w:p w:rsidR="00190A77" w:rsidP="00190A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1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A77" w:rsidRPr="0012714D" w:rsidP="001271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14D" w:rsidRPr="002D2AF8" w:rsidP="00190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SITHGAM026 Analyse and report on gaming machine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714D" w:rsidP="00190A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77" w:rsidRPr="002D2AF8" w:rsidP="00190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714D">
      <w:t>SITHGAM026 Analyse and report on gaming machine data</w:t>
    </w:r>
    <w:r w:rsidR="001271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714D">
      <w:rPr>
        <w:noProof/>
      </w:rPr>
      <w:t>2 March 2025</w:t>
    </w:r>
    <w:r>
      <w:fldChar w:fldCharType="end"/>
    </w:r>
  </w:p>
  <w:p w:rsidR="00190A77" w:rsidP="00190A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E842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7CE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32E2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A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A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A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A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A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A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A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A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A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A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A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A77"/>
  </w:style>
  <w:style w:type="character" w:customStyle="1" w:styleId="Heading1Char">
    <w:name w:val="Heading 1 Char"/>
    <w:basedOn w:val="DefaultParagraphFont"/>
    <w:link w:val="Heading1"/>
    <w:rsid w:val="00190A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A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A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0A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0A7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0A77"/>
    <w:rPr>
      <w:b/>
      <w:spacing w:val="0"/>
    </w:rPr>
  </w:style>
  <w:style w:type="paragraph" w:styleId="ListBullet2">
    <w:name w:val="List Bullet 2"/>
    <w:basedOn w:val="List2"/>
    <w:rsid w:val="00190A7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0A77"/>
    <w:rPr>
      <w:i/>
    </w:rPr>
  </w:style>
  <w:style w:type="paragraph" w:customStyle="1" w:styleId="SuperHeading">
    <w:name w:val="SuperHeading"/>
    <w:basedOn w:val="Normal"/>
    <w:rsid w:val="00190A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A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90A7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90A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A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A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A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A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A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A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A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A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A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A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A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A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A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0A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0A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A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A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0A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A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A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A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A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A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A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A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A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0A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A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A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A77"/>
  </w:style>
  <w:style w:type="paragraph" w:styleId="TableofFigures">
    <w:name w:val="table of figures"/>
    <w:basedOn w:val="Normal"/>
    <w:next w:val="Normal"/>
    <w:semiHidden/>
    <w:rsid w:val="00190A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A7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90A77"/>
    <w:rPr>
      <w:rFonts w:ascii="Wingdings" w:hAnsi="Wingdings"/>
    </w:rPr>
  </w:style>
  <w:style w:type="paragraph" w:customStyle="1" w:styleId="TableHeading">
    <w:name w:val="Table Heading"/>
    <w:basedOn w:val="HeadingBase"/>
    <w:rsid w:val="00190A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A77"/>
    <w:rPr>
      <w:color w:val="0033CC"/>
      <w:u w:val="none"/>
    </w:rPr>
  </w:style>
  <w:style w:type="paragraph" w:customStyle="1" w:styleId="BodyTextRight">
    <w:name w:val="Body Text Right"/>
    <w:basedOn w:val="BodyText"/>
    <w:rsid w:val="00190A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A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A7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A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A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A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A77"/>
    <w:rPr>
      <w:sz w:val="32"/>
    </w:rPr>
  </w:style>
  <w:style w:type="paragraph" w:customStyle="1" w:styleId="HeadingProcedure">
    <w:name w:val="Heading Procedure"/>
    <w:basedOn w:val="HeadingBase"/>
    <w:next w:val="Normal"/>
    <w:rsid w:val="00190A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A77"/>
    <w:pPr>
      <w:spacing w:before="60" w:after="60"/>
    </w:pPr>
  </w:style>
  <w:style w:type="paragraph" w:styleId="ListContinue">
    <w:name w:val="List Continue"/>
    <w:basedOn w:val="List"/>
    <w:rsid w:val="00190A77"/>
    <w:pPr>
      <w:ind w:firstLine="0"/>
    </w:pPr>
  </w:style>
  <w:style w:type="paragraph" w:customStyle="1" w:styleId="ListNote">
    <w:name w:val="List Note"/>
    <w:basedOn w:val="List"/>
    <w:rsid w:val="00190A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A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A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A77"/>
    <w:rPr>
      <w:rFonts w:ascii="Courier New" w:hAnsi="Courier New"/>
    </w:rPr>
  </w:style>
  <w:style w:type="paragraph" w:customStyle="1" w:styleId="NoteBullet">
    <w:name w:val="Note Bullet"/>
    <w:basedOn w:val="Note"/>
    <w:rsid w:val="00190A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A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A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A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A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0A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A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A77"/>
    <w:rPr>
      <w:b/>
      <w:smallCaps/>
    </w:rPr>
  </w:style>
  <w:style w:type="paragraph" w:customStyle="1" w:styleId="TableListNumber">
    <w:name w:val="Table List Number"/>
    <w:basedOn w:val="ListNumber"/>
    <w:rsid w:val="00190A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A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A77"/>
    <w:pPr>
      <w:numPr>
        <w:numId w:val="10"/>
      </w:numPr>
    </w:pPr>
  </w:style>
  <w:style w:type="paragraph" w:customStyle="1" w:styleId="ListAlpha2">
    <w:name w:val="List Alpha 2"/>
    <w:basedOn w:val="List2"/>
    <w:rsid w:val="00190A77"/>
    <w:pPr>
      <w:numPr>
        <w:numId w:val="9"/>
      </w:numPr>
    </w:pPr>
  </w:style>
  <w:style w:type="paragraph" w:styleId="List2">
    <w:name w:val="List 2"/>
    <w:basedOn w:val="BodyText"/>
    <w:rsid w:val="00190A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A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A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A7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90A7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90A77"/>
    <w:pPr>
      <w:numPr>
        <w:numId w:val="5"/>
      </w:numPr>
    </w:pPr>
  </w:style>
  <w:style w:type="paragraph" w:styleId="ListContinue2">
    <w:name w:val="List Continue 2"/>
    <w:basedOn w:val="List2"/>
    <w:rsid w:val="00190A77"/>
    <w:pPr>
      <w:ind w:firstLine="0"/>
    </w:pPr>
  </w:style>
  <w:style w:type="paragraph" w:styleId="ListContinue3">
    <w:name w:val="List Continue 3"/>
    <w:basedOn w:val="List3"/>
    <w:rsid w:val="00190A77"/>
    <w:pPr>
      <w:ind w:left="1021" w:firstLine="0"/>
    </w:pPr>
  </w:style>
  <w:style w:type="paragraph" w:styleId="ListContinue4">
    <w:name w:val="List Continue 4"/>
    <w:basedOn w:val="List4"/>
    <w:rsid w:val="00190A77"/>
    <w:pPr>
      <w:ind w:firstLine="0"/>
    </w:pPr>
  </w:style>
  <w:style w:type="paragraph" w:styleId="ListContinue5">
    <w:name w:val="List Continue 5"/>
    <w:basedOn w:val="List5"/>
    <w:rsid w:val="00190A77"/>
    <w:pPr>
      <w:ind w:firstLine="0"/>
    </w:pPr>
  </w:style>
  <w:style w:type="paragraph" w:styleId="ListNumber3">
    <w:name w:val="List Number 3"/>
    <w:basedOn w:val="List3"/>
    <w:rsid w:val="00190A77"/>
    <w:pPr>
      <w:numPr>
        <w:numId w:val="6"/>
      </w:numPr>
    </w:pPr>
  </w:style>
  <w:style w:type="paragraph" w:styleId="ListNumber4">
    <w:name w:val="List Number 4"/>
    <w:basedOn w:val="List4"/>
    <w:rsid w:val="00190A77"/>
    <w:pPr>
      <w:numPr>
        <w:numId w:val="7"/>
      </w:numPr>
    </w:pPr>
  </w:style>
  <w:style w:type="paragraph" w:styleId="ListNumber5">
    <w:name w:val="List Number 5"/>
    <w:basedOn w:val="List5"/>
    <w:rsid w:val="00190A77"/>
    <w:pPr>
      <w:numPr>
        <w:numId w:val="8"/>
      </w:numPr>
    </w:pPr>
  </w:style>
  <w:style w:type="paragraph" w:styleId="BlockText">
    <w:name w:val="Block Text"/>
    <w:basedOn w:val="Normal"/>
    <w:rsid w:val="00190A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A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A77"/>
    <w:rPr>
      <w:sz w:val="16"/>
      <w:vertAlign w:val="superscript"/>
    </w:rPr>
  </w:style>
  <w:style w:type="character" w:customStyle="1" w:styleId="Symbols">
    <w:name w:val="Symbols"/>
    <w:basedOn w:val="DefaultParagraphFont"/>
    <w:rsid w:val="00190A77"/>
    <w:rPr>
      <w:rFonts w:ascii="Symbol" w:hAnsi="Symbol"/>
    </w:rPr>
  </w:style>
  <w:style w:type="character" w:customStyle="1" w:styleId="MenuOptions">
    <w:name w:val="Menu Options"/>
    <w:basedOn w:val="DefaultParagraphFont"/>
    <w:rsid w:val="00190A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A77"/>
    <w:rPr>
      <w:b/>
    </w:rPr>
  </w:style>
  <w:style w:type="character" w:customStyle="1" w:styleId="Underlined">
    <w:name w:val="Underlined"/>
    <w:basedOn w:val="DefaultParagraphFont"/>
    <w:rsid w:val="00190A77"/>
    <w:rPr>
      <w:u w:val="single"/>
    </w:rPr>
  </w:style>
  <w:style w:type="paragraph" w:customStyle="1" w:styleId="TableBodyTextRight">
    <w:name w:val="Table Body Text Right"/>
    <w:basedOn w:val="TableBodyText"/>
    <w:rsid w:val="00190A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A77"/>
    <w:rPr>
      <w:sz w:val="18"/>
    </w:rPr>
  </w:style>
  <w:style w:type="paragraph" w:customStyle="1" w:styleId="BodySmallRight">
    <w:name w:val="Body Small Right"/>
    <w:basedOn w:val="BodyTextRight"/>
    <w:rsid w:val="00190A77"/>
    <w:rPr>
      <w:sz w:val="18"/>
      <w:szCs w:val="18"/>
    </w:rPr>
  </w:style>
  <w:style w:type="paragraph" w:customStyle="1" w:styleId="MarginEdition">
    <w:name w:val="Margin Edition"/>
    <w:basedOn w:val="MarginNote"/>
    <w:rsid w:val="00190A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A77"/>
    <w:rPr>
      <w:sz w:val="2"/>
      <w:szCs w:val="2"/>
    </w:rPr>
  </w:style>
  <w:style w:type="character" w:customStyle="1" w:styleId="Small">
    <w:name w:val="Small"/>
    <w:basedOn w:val="DefaultParagraphFont"/>
    <w:rsid w:val="00190A77"/>
    <w:rPr>
      <w:sz w:val="16"/>
    </w:rPr>
  </w:style>
  <w:style w:type="paragraph" w:customStyle="1" w:styleId="WideTable">
    <w:name w:val="Wide Table"/>
    <w:basedOn w:val="Normal"/>
    <w:rsid w:val="00190A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A77"/>
  </w:style>
  <w:style w:type="paragraph" w:styleId="Quote">
    <w:name w:val="Quote"/>
    <w:basedOn w:val="Heading1"/>
    <w:link w:val="QuoteChar"/>
    <w:qFormat/>
    <w:rsid w:val="00190A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A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A77"/>
    <w:pPr>
      <w:pageBreakBefore/>
    </w:pPr>
  </w:style>
  <w:style w:type="paragraph" w:customStyle="1" w:styleId="Border">
    <w:name w:val="Border"/>
    <w:basedOn w:val="Normal"/>
    <w:qFormat/>
    <w:rsid w:val="00190A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A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A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A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A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A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A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A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A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A77"/>
    <w:rPr>
      <w:u w:val="single"/>
    </w:rPr>
  </w:style>
  <w:style w:type="character" w:customStyle="1" w:styleId="BoldandItalics">
    <w:name w:val="Bold and Italics"/>
    <w:qFormat/>
    <w:rsid w:val="00190A77"/>
    <w:rPr>
      <w:b/>
      <w:i/>
      <w:u w:val="none"/>
    </w:rPr>
  </w:style>
  <w:style w:type="paragraph" w:styleId="BalloonText">
    <w:name w:val="Balloon Text"/>
    <w:basedOn w:val="Normal"/>
    <w:link w:val="BalloonTextChar"/>
    <w:rsid w:val="00190A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A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A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A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A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A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A77"/>
    <w:pPr>
      <w:spacing w:before="0" w:after="0"/>
    </w:pPr>
  </w:style>
  <w:style w:type="paragraph" w:customStyle="1" w:styleId="BodyTextBold">
    <w:name w:val="Body Text Bold"/>
    <w:basedOn w:val="BodyText"/>
    <w:qFormat/>
    <w:rsid w:val="00190A77"/>
    <w:rPr>
      <w:b/>
    </w:rPr>
  </w:style>
  <w:style w:type="character" w:styleId="Hyperlink">
    <w:name w:val="Hyperlink"/>
    <w:basedOn w:val="DefaultParagraphFont"/>
    <w:uiPriority w:val="99"/>
    <w:unhideWhenUsed/>
    <w:rsid w:val="001271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5461</Characters>
  <Application>Microsoft Office Word</Application>
  <DocSecurity>0</DocSecurity>
  <Lines>170</Lines>
  <Paragraphs>123</Paragraphs>
  <ScaleCrop>false</ScaleCrop>
  <Company>Author-it Software Corporation Ltd.</Company>
  <LinksUpToDate>false</LinksUpToDate>
  <CharactersWithSpaces>6153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SITHGAM026 Analyse and report on gaming machine data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2025-03-01T22:47:00Z</dcterms:created>
  <dcterms:modified xsi:type="dcterms:W3CDTF">2025-03-01T22:47:00Z</dcterms:modified>
</cp:coreProperties>
</file>