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992" w:rsidP="00CA0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SITHGAM026 Analyse and report on gaming machine data</w:t>
      </w:r>
      <w:r>
        <w:fldChar w:fldCharType="end"/>
      </w:r>
    </w:p>
    <w:p w:rsidR="00CA0992" w:rsidP="00CA0992">
      <w:pPr>
        <w:pStyle w:val="Version"/>
        <w:sectPr w:rsidSect="001C1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519" w:rsidP="001C1519">
      <w:pPr>
        <w:pStyle w:val="SuperHeading"/>
      </w:pPr>
      <w:r w:rsidRPr="001C1519">
        <w:t>Assessment Requirements for SITHGAM026 Analyse and report on gaming machine data</w:t>
      </w:r>
    </w:p>
    <w:p w:rsidR="00000000" w:rsidRPr="001C1519" w:rsidP="001C1519">
      <w:pPr>
        <w:pStyle w:val="Heading1"/>
      </w:pPr>
      <w:bookmarkStart w:id="1" w:name="O_1229684"/>
      <w:bookmarkEnd w:id="1"/>
      <w:r w:rsidRPr="001C1519">
        <w:t>Modification History</w:t>
      </w:r>
    </w:p>
    <w:p w:rsidR="00000000" w:rsidRPr="001C1519" w:rsidP="00CA0992">
      <w:pPr>
        <w:pStyle w:val="BodyText"/>
      </w:pPr>
      <w:r w:rsidRPr="001C1519">
        <w:t>Not applicable.</w:t>
      </w:r>
    </w:p>
    <w:p w:rsidR="00000000" w:rsidRPr="001C1519" w:rsidP="001C1519">
      <w:pPr>
        <w:pStyle w:val="Heading1"/>
      </w:pPr>
      <w:bookmarkStart w:id="2" w:name="O_1229687"/>
      <w:bookmarkEnd w:id="2"/>
      <w:r w:rsidRPr="001C1519">
        <w:t>Performance Evidence</w:t>
      </w:r>
    </w:p>
    <w:p w:rsidR="00000000" w:rsidRPr="001C1519" w:rsidP="00CA0992">
      <w:pPr>
        <w:pStyle w:val="BodyText"/>
      </w:pPr>
      <w:r w:rsidRPr="001C1519">
        <w:t>Evidence of the ability to co</w:t>
      </w:r>
      <w:r w:rsidRPr="001C1519">
        <w:t>mplete tasks outlined in elements and performance criteria of this unit in the context of the job role, and:</w:t>
      </w:r>
    </w:p>
    <w:p w:rsidR="00000000" w:rsidRPr="001C1519" w:rsidP="001C1519">
      <w:pPr>
        <w:pStyle w:val="ListBullet"/>
      </w:pPr>
      <w:r w:rsidRPr="001C1519">
        <w:t>retrieve data from three different gaming machines or systems listed in the knowledge evidence, according to organisational procedures and legisla</w:t>
      </w:r>
      <w:r w:rsidRPr="001C1519">
        <w:t>tive and licensing requirements</w:t>
      </w:r>
    </w:p>
    <w:p w:rsidR="00000000" w:rsidRPr="001C1519" w:rsidP="001C1519">
      <w:pPr>
        <w:pStyle w:val="ListBullet"/>
      </w:pPr>
      <w:r w:rsidRPr="001C1519">
        <w:t>analyse above data and produce at least six different types of data reports listed in the knowledge evidence, according to organisational procedures and legislative and licensing requirements.</w:t>
      </w:r>
    </w:p>
    <w:p w:rsidR="00000000" w:rsidRPr="001C1519" w:rsidP="001C1519">
      <w:pPr>
        <w:pStyle w:val="AllowPageBreak"/>
      </w:pPr>
    </w:p>
    <w:p w:rsidR="00000000" w:rsidRPr="001C1519" w:rsidP="001C1519">
      <w:pPr>
        <w:pStyle w:val="Heading1"/>
      </w:pPr>
      <w:bookmarkStart w:id="3" w:name="O_1229686"/>
      <w:bookmarkEnd w:id="3"/>
      <w:r w:rsidRPr="001C1519">
        <w:t>Knowledge Ev</w:t>
      </w:r>
      <w:r w:rsidRPr="001C1519">
        <w:t>idence</w:t>
      </w:r>
    </w:p>
    <w:p w:rsidR="00000000" w:rsidRPr="001C1519" w:rsidP="00CA0992">
      <w:pPr>
        <w:pStyle w:val="BodyText"/>
      </w:pPr>
      <w:r w:rsidRPr="001C1519">
        <w:t>Demonstrated knowledge required to complete the tasks outlined in elements and performance criteria of this unit:</w:t>
      </w:r>
    </w:p>
    <w:p w:rsidR="00000000" w:rsidRPr="001C1519" w:rsidP="001C1519">
      <w:pPr>
        <w:pStyle w:val="ListBullet"/>
      </w:pPr>
      <w:r w:rsidRPr="001C1519">
        <w:t>requirements of relevant state and territory gaming legislation, related to:</w:t>
      </w:r>
    </w:p>
    <w:p w:rsidR="00000000" w:rsidRPr="001C1519" w:rsidP="001C1519">
      <w:pPr>
        <w:pStyle w:val="ListBullet2"/>
      </w:pPr>
      <w:r w:rsidRPr="001C1519">
        <w:t>record keeping, analysing and reporting on the operation</w:t>
      </w:r>
      <w:r w:rsidRPr="001C1519">
        <w:t xml:space="preserve"> of gaming machines and subsidiary equipment</w:t>
      </w:r>
    </w:p>
    <w:p w:rsidR="00000000" w:rsidRPr="001C1519" w:rsidP="001C1519">
      <w:pPr>
        <w:pStyle w:val="ListBullet2"/>
      </w:pPr>
      <w:r w:rsidRPr="001C1519">
        <w:t>licensing requirements for venues</w:t>
      </w:r>
    </w:p>
    <w:p w:rsidR="00000000" w:rsidRPr="001C1519" w:rsidP="001C1519">
      <w:pPr>
        <w:pStyle w:val="ListBullet2"/>
      </w:pPr>
      <w:r w:rsidRPr="001C1519">
        <w:t>licensing requirements for repairers, service consultants and machine managers</w:t>
      </w:r>
    </w:p>
    <w:p w:rsidR="00000000" w:rsidRPr="001C1519" w:rsidP="001C1519">
      <w:pPr>
        <w:pStyle w:val="ListBullet2"/>
      </w:pPr>
      <w:r w:rsidRPr="001C1519">
        <w:t>general accounting requirements</w:t>
      </w:r>
    </w:p>
    <w:p w:rsidR="00000000" w:rsidRPr="001C1519" w:rsidP="001C1519">
      <w:pPr>
        <w:pStyle w:val="ListBullet2"/>
      </w:pPr>
      <w:r w:rsidRPr="001C1519">
        <w:t>fees, taxes and levies applicable to the operation of gaming machines</w:t>
      </w:r>
    </w:p>
    <w:p w:rsidR="00000000" w:rsidRPr="001C1519" w:rsidP="001C1519">
      <w:pPr>
        <w:pStyle w:val="ListBullet"/>
      </w:pPr>
      <w:r w:rsidRPr="001C1519">
        <w:t>types of gaming machines and systems:</w:t>
      </w:r>
    </w:p>
    <w:p w:rsidR="00000000" w:rsidRPr="001C1519" w:rsidP="001C1519">
      <w:pPr>
        <w:pStyle w:val="ListBullet2"/>
      </w:pPr>
      <w:r w:rsidRPr="001C1519">
        <w:t>linked progressive systems:</w:t>
      </w:r>
    </w:p>
    <w:p w:rsidR="00000000" w:rsidRPr="001C1519" w:rsidP="001C1519">
      <w:pPr>
        <w:pStyle w:val="ListBullet3"/>
      </w:pPr>
      <w:r w:rsidRPr="001C1519">
        <w:t>bonus (random) link systems</w:t>
      </w:r>
    </w:p>
    <w:p w:rsidR="00000000" w:rsidRPr="001C1519" w:rsidP="001C1519">
      <w:pPr>
        <w:pStyle w:val="ListBullet3"/>
      </w:pPr>
      <w:r w:rsidRPr="001C1519">
        <w:t>combination dependent systems</w:t>
      </w:r>
    </w:p>
    <w:p w:rsidR="00000000" w:rsidRPr="001C1519" w:rsidP="001C1519">
      <w:pPr>
        <w:pStyle w:val="ListBullet3"/>
      </w:pPr>
      <w:r w:rsidRPr="001C1519">
        <w:t>Hyperlink</w:t>
      </w:r>
    </w:p>
    <w:p w:rsidR="00000000" w:rsidRPr="001C1519" w:rsidP="001C1519">
      <w:pPr>
        <w:pStyle w:val="ListBullet3"/>
      </w:pPr>
      <w:r w:rsidRPr="001C1519">
        <w:t xml:space="preserve">progressive and stand-alone jackpot systems </w:t>
      </w:r>
    </w:p>
    <w:p w:rsidR="00000000" w:rsidRPr="001C1519" w:rsidP="001C1519">
      <w:pPr>
        <w:pStyle w:val="ListBullet3"/>
      </w:pPr>
      <w:r w:rsidRPr="001C1519">
        <w:t>inter-venue progressive jackpot link systems</w:t>
      </w:r>
    </w:p>
    <w:p w:rsidR="00000000" w:rsidRPr="001C1519" w:rsidP="001C1519">
      <w:pPr>
        <w:pStyle w:val="ListBullet2"/>
      </w:pPr>
      <w:r w:rsidRPr="001C1519">
        <w:t>multi-terminal machines</w:t>
      </w:r>
    </w:p>
    <w:p w:rsidR="00000000" w:rsidRPr="001C1519" w:rsidP="001C1519">
      <w:pPr>
        <w:pStyle w:val="ListBullet2"/>
      </w:pPr>
      <w:r w:rsidRPr="001C1519">
        <w:t>player loyalty systems</w:t>
      </w:r>
    </w:p>
    <w:p w:rsidR="00000000" w:rsidRPr="001C1519" w:rsidP="001C1519">
      <w:pPr>
        <w:pStyle w:val="ListBullet2"/>
      </w:pPr>
      <w:r w:rsidRPr="001C1519">
        <w:t>stand-alone gaming machines</w:t>
      </w:r>
    </w:p>
    <w:p w:rsidR="00000000" w:rsidRPr="001C1519" w:rsidP="001C1519">
      <w:pPr>
        <w:pStyle w:val="ListBullet2"/>
      </w:pPr>
      <w:r w:rsidRPr="001C1519">
        <w:t>stand-alone progressive jackpot machines</w:t>
      </w:r>
    </w:p>
    <w:p w:rsidR="00000000" w:rsidRPr="001C1519" w:rsidP="001C1519">
      <w:pPr>
        <w:pStyle w:val="ListBullet"/>
      </w:pPr>
      <w:r w:rsidRPr="001C1519">
        <w:t>types of data reports and their relevance to the business:</w:t>
      </w:r>
    </w:p>
    <w:p w:rsidR="00000000" w:rsidRPr="001C1519" w:rsidP="001C1519">
      <w:pPr>
        <w:pStyle w:val="ListBullet2"/>
      </w:pPr>
      <w:r w:rsidRPr="001C1519">
        <w:t>cash flow analysis, machine specifications and linked progressive jackpot configurations</w:t>
      </w:r>
    </w:p>
    <w:p w:rsidR="00000000" w:rsidRPr="001C1519" w:rsidP="001C1519">
      <w:pPr>
        <w:pStyle w:val="ListBullet2"/>
      </w:pPr>
      <w:r w:rsidRPr="001C1519">
        <w:t>duty calculations and returns</w:t>
      </w:r>
    </w:p>
    <w:p w:rsidR="00000000" w:rsidRPr="001C1519" w:rsidP="001C1519">
      <w:pPr>
        <w:pStyle w:val="ListBullet2"/>
      </w:pPr>
      <w:r w:rsidRPr="001C1519">
        <w:t>gross results of a gaming machine’s operation</w:t>
      </w:r>
    </w:p>
    <w:p w:rsidR="00000000" w:rsidRPr="001C1519" w:rsidP="001C1519">
      <w:pPr>
        <w:pStyle w:val="ListBullet2"/>
      </w:pPr>
      <w:r w:rsidRPr="001C1519">
        <w:t>meter readings and their increments</w:t>
      </w:r>
    </w:p>
    <w:p w:rsidR="00000000" w:rsidRPr="001C1519" w:rsidP="001C1519">
      <w:pPr>
        <w:pStyle w:val="ListBullet2"/>
      </w:pPr>
      <w:r w:rsidRPr="001C1519">
        <w:t>history reports:</w:t>
      </w:r>
    </w:p>
    <w:p w:rsidR="00000000" w:rsidRPr="001C1519" w:rsidP="001C1519">
      <w:pPr>
        <w:pStyle w:val="ListBullet3"/>
      </w:pPr>
      <w:r w:rsidRPr="001C1519">
        <w:t>net revenue analysis</w:t>
      </w:r>
    </w:p>
    <w:p w:rsidR="00000000" w:rsidRPr="001C1519" w:rsidP="001C1519">
      <w:pPr>
        <w:pStyle w:val="ListBullet3"/>
      </w:pPr>
      <w:r w:rsidRPr="001C1519">
        <w:t>profit variance</w:t>
      </w:r>
    </w:p>
    <w:p w:rsidR="00000000" w:rsidRPr="001C1519" w:rsidP="001C1519">
      <w:pPr>
        <w:pStyle w:val="ListBullet2"/>
      </w:pPr>
      <w:r w:rsidRPr="001C1519">
        <w:t>operational data of a gaming machine</w:t>
      </w:r>
    </w:p>
    <w:p w:rsidR="00000000" w:rsidRPr="001C1519" w:rsidP="001C1519">
      <w:pPr>
        <w:pStyle w:val="ListBullet2"/>
      </w:pPr>
      <w:r w:rsidRPr="001C1519">
        <w:t>machine clearances, payouts and hopper weigh amounts</w:t>
      </w:r>
    </w:p>
    <w:p w:rsidR="00000000" w:rsidRPr="001C1519" w:rsidP="001C1519">
      <w:pPr>
        <w:pStyle w:val="ListBullet2"/>
      </w:pPr>
      <w:r w:rsidRPr="001C1519">
        <w:t>meter comparison report</w:t>
      </w:r>
    </w:p>
    <w:p w:rsidR="00000000" w:rsidRPr="001C1519" w:rsidP="001C1519">
      <w:pPr>
        <w:pStyle w:val="ListBullet2"/>
      </w:pPr>
      <w:r w:rsidRPr="001C1519">
        <w:t>paper-based or electronically transmitted materials</w:t>
      </w:r>
    </w:p>
    <w:p w:rsidR="00000000" w:rsidRPr="001C1519" w:rsidP="001C1519">
      <w:pPr>
        <w:pStyle w:val="ListBullet2"/>
      </w:pPr>
      <w:r w:rsidRPr="001C1519">
        <w:t>profit reports and declarations</w:t>
      </w:r>
    </w:p>
    <w:p w:rsidR="00000000" w:rsidRPr="001C1519" w:rsidP="001C1519">
      <w:pPr>
        <w:pStyle w:val="ListBullet2"/>
      </w:pPr>
      <w:r w:rsidRPr="001C1519">
        <w:t>reports to organisation management</w:t>
      </w:r>
    </w:p>
    <w:p w:rsidR="00000000" w:rsidRPr="001C1519" w:rsidP="001C1519">
      <w:pPr>
        <w:pStyle w:val="ListBullet2"/>
      </w:pPr>
      <w:r w:rsidRPr="001C1519">
        <w:t>stand-alone progressiv</w:t>
      </w:r>
      <w:r w:rsidRPr="001C1519">
        <w:t>e and link-progressive jackpot system reconciliations</w:t>
      </w:r>
    </w:p>
    <w:p w:rsidR="00000000" w:rsidRPr="001C1519" w:rsidP="001C1519">
      <w:pPr>
        <w:pStyle w:val="ListBullet"/>
      </w:pPr>
      <w:r w:rsidRPr="001C1519">
        <w:t>mathematical design and reconciliation of all linked systems as it impacts on day-to-day machine operations</w:t>
      </w:r>
    </w:p>
    <w:p w:rsidR="00000000" w:rsidRPr="001C1519" w:rsidP="001C1519">
      <w:pPr>
        <w:pStyle w:val="ListBullet"/>
      </w:pPr>
      <w:r w:rsidRPr="001C1519">
        <w:t>mathematical and analytic</w:t>
      </w:r>
      <w:r w:rsidRPr="001C1519">
        <w:t>al concepts and equations relevant to gambling at an operational level</w:t>
      </w:r>
    </w:p>
    <w:p w:rsidR="00000000" w:rsidRPr="001C1519" w:rsidP="001C1519">
      <w:pPr>
        <w:pStyle w:val="ListBullet"/>
      </w:pPr>
      <w:r w:rsidRPr="001C1519">
        <w:t>key features of computerised gaming machine programs.</w:t>
      </w:r>
    </w:p>
    <w:p w:rsidR="00000000" w:rsidRPr="001C1519" w:rsidP="001C1519">
      <w:pPr>
        <w:pStyle w:val="AllowPageBreak"/>
      </w:pPr>
    </w:p>
    <w:p w:rsidR="00000000" w:rsidRPr="001C1519" w:rsidP="001C1519">
      <w:pPr>
        <w:pStyle w:val="Heading1"/>
      </w:pPr>
      <w:bookmarkStart w:id="4" w:name="O_1229685"/>
      <w:bookmarkEnd w:id="4"/>
      <w:r w:rsidRPr="001C1519">
        <w:t>Assessment Conditions</w:t>
      </w:r>
    </w:p>
    <w:p w:rsidR="00000000" w:rsidRPr="001C1519" w:rsidP="00CA0992">
      <w:pPr>
        <w:pStyle w:val="BodyText"/>
      </w:pPr>
      <w:r w:rsidRPr="001C1519">
        <w:t>Skills must be demonstrated in an operational gaming environment. This can be:</w:t>
      </w:r>
    </w:p>
    <w:p w:rsidR="00000000" w:rsidRPr="001C1519" w:rsidP="001C1519">
      <w:pPr>
        <w:pStyle w:val="ListBullet"/>
      </w:pPr>
      <w:r w:rsidRPr="001C1519">
        <w:t>an industr</w:t>
      </w:r>
      <w:r w:rsidRPr="001C1519">
        <w:t>y workplace; or</w:t>
      </w:r>
    </w:p>
    <w:p w:rsidR="00000000" w:rsidRPr="001C1519" w:rsidP="001C1519">
      <w:pPr>
        <w:pStyle w:val="ListBullet"/>
      </w:pPr>
      <w:r w:rsidRPr="001C1519">
        <w:t>a simulated industry environment set up for the purposes of assessment.</w:t>
      </w:r>
    </w:p>
    <w:p w:rsidR="00000000" w:rsidRPr="001C1519" w:rsidP="00CA0992">
      <w:pPr>
        <w:pStyle w:val="BodyText"/>
      </w:pPr>
      <w:r w:rsidRPr="001C1519">
        <w:t>Assessment must ensure access to:</w:t>
      </w:r>
    </w:p>
    <w:p w:rsidR="00000000" w:rsidRPr="001C1519" w:rsidP="001C1519">
      <w:pPr>
        <w:pStyle w:val="ListBullet"/>
      </w:pPr>
      <w:r w:rsidRPr="001C1519">
        <w:t xml:space="preserve">operational gaming venue with machines and equipment </w:t>
      </w:r>
    </w:p>
    <w:p w:rsidR="00000000" w:rsidRPr="001C1519" w:rsidP="001C1519">
      <w:pPr>
        <w:pStyle w:val="ListBullet"/>
      </w:pPr>
      <w:r w:rsidRPr="001C1519">
        <w:t>applicable header systems according to organisational requirements</w:t>
      </w:r>
    </w:p>
    <w:p w:rsidR="00000000" w:rsidRPr="001C1519" w:rsidP="001C1519">
      <w:pPr>
        <w:pStyle w:val="ListBullet"/>
      </w:pPr>
      <w:r w:rsidRPr="001C1519">
        <w:t>data retriev</w:t>
      </w:r>
      <w:r w:rsidRPr="001C1519">
        <w:t>al system</w:t>
      </w:r>
    </w:p>
    <w:p w:rsidR="00000000" w:rsidRPr="001C1519" w:rsidP="001C1519">
      <w:pPr>
        <w:pStyle w:val="ListBullet"/>
      </w:pPr>
      <w:r w:rsidRPr="001C1519">
        <w:t>gaming machine reporting software and data.</w:t>
      </w:r>
    </w:p>
    <w:p w:rsidR="00000000" w:rsidRPr="001C1519" w:rsidP="00CA0992">
      <w:pPr>
        <w:pStyle w:val="BodyText"/>
      </w:pPr>
      <w:r w:rsidRPr="001C1519">
        <w:t>Assessors must satisfy the Standards for Registered Training Organisations’ requirements for assessors and have worked in industry for at least three years where they have applied the skills and knowled</w:t>
      </w:r>
      <w:r w:rsidRPr="001C1519">
        <w:t>ge of this unit of competency.</w:t>
      </w:r>
    </w:p>
    <w:p w:rsidR="00000000" w:rsidRPr="001C1519" w:rsidP="001C1519">
      <w:pPr>
        <w:pStyle w:val="Heading1"/>
      </w:pPr>
      <w:bookmarkStart w:id="5" w:name="O_1229683"/>
      <w:bookmarkEnd w:id="5"/>
      <w:r w:rsidRPr="001C1519">
        <w:t>Links</w:t>
      </w:r>
    </w:p>
    <w:p w:rsidR="00000000" w:rsidRPr="001C1519" w:rsidP="00CA0992">
      <w:pPr>
        <w:pStyle w:val="BodyText"/>
      </w:pPr>
      <w:r w:rsidRPr="001C1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820F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C1519" w:rsidP="001C1519"/>
    <w:sectPr w:rsidSect="001C15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9" w:rsidRPr="00CA0992" w:rsidP="00CA0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2" w:rsidP="001C1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0992" w:rsidP="001C1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0992" w:rsidP="001C1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519" w:rsidRPr="00CA0992" w:rsidP="00CA0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92" w:rsidRPr="002D2AF8" w:rsidP="001C1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SITHGAM026 Analyse and report on gaming machine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A0992" w:rsidP="001C1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28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26C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427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519"/>
  </w:style>
  <w:style w:type="character" w:customStyle="1" w:styleId="Heading1Char">
    <w:name w:val="Heading 1 Char"/>
    <w:basedOn w:val="DefaultParagraphFont"/>
    <w:link w:val="Heading1"/>
    <w:rsid w:val="001C1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5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15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15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1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519"/>
    <w:rPr>
      <w:b/>
      <w:spacing w:val="0"/>
    </w:rPr>
  </w:style>
  <w:style w:type="paragraph" w:customStyle="1" w:styleId="SuperTitle">
    <w:name w:val="SuperTitle"/>
    <w:basedOn w:val="Title"/>
    <w:rsid w:val="001C1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519"/>
    <w:rPr>
      <w:i/>
    </w:rPr>
  </w:style>
  <w:style w:type="paragraph" w:styleId="Caption">
    <w:name w:val="caption"/>
    <w:basedOn w:val="BodyText"/>
    <w:next w:val="Normal"/>
    <w:qFormat/>
    <w:rsid w:val="001C1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519"/>
  </w:style>
  <w:style w:type="paragraph" w:styleId="TableofFigures">
    <w:name w:val="table of figures"/>
    <w:basedOn w:val="Normal"/>
    <w:next w:val="Normal"/>
    <w:semiHidden/>
    <w:rsid w:val="001C1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5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1519"/>
    <w:rPr>
      <w:rFonts w:ascii="Wingdings" w:hAnsi="Wingdings"/>
    </w:rPr>
  </w:style>
  <w:style w:type="paragraph" w:customStyle="1" w:styleId="TableHeading">
    <w:name w:val="Table Heading"/>
    <w:basedOn w:val="HeadingBase"/>
    <w:rsid w:val="001C1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519"/>
    <w:rPr>
      <w:color w:val="0033CC"/>
      <w:u w:val="none"/>
    </w:rPr>
  </w:style>
  <w:style w:type="paragraph" w:customStyle="1" w:styleId="BodyTextRight">
    <w:name w:val="Body Text Right"/>
    <w:basedOn w:val="BodyText"/>
    <w:rsid w:val="001C1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5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519"/>
    <w:rPr>
      <w:sz w:val="32"/>
    </w:rPr>
  </w:style>
  <w:style w:type="paragraph" w:customStyle="1" w:styleId="HeadingProcedure">
    <w:name w:val="Heading Procedure"/>
    <w:basedOn w:val="HeadingBase"/>
    <w:next w:val="Normal"/>
    <w:rsid w:val="001C1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519"/>
    <w:pPr>
      <w:spacing w:before="60" w:after="60"/>
    </w:pPr>
  </w:style>
  <w:style w:type="paragraph" w:styleId="ListContinue">
    <w:name w:val="List Continue"/>
    <w:basedOn w:val="List"/>
    <w:rsid w:val="001C1519"/>
    <w:pPr>
      <w:ind w:firstLine="0"/>
    </w:pPr>
  </w:style>
  <w:style w:type="paragraph" w:customStyle="1" w:styleId="ListNote">
    <w:name w:val="List Note"/>
    <w:basedOn w:val="List"/>
    <w:rsid w:val="001C1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519"/>
    <w:rPr>
      <w:rFonts w:ascii="Courier New" w:hAnsi="Courier New"/>
    </w:rPr>
  </w:style>
  <w:style w:type="paragraph" w:customStyle="1" w:styleId="NoteBullet">
    <w:name w:val="Note Bullet"/>
    <w:basedOn w:val="Note"/>
    <w:rsid w:val="001C1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5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1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519"/>
    <w:rPr>
      <w:b/>
      <w:smallCaps/>
    </w:rPr>
  </w:style>
  <w:style w:type="paragraph" w:customStyle="1" w:styleId="TableListNumber">
    <w:name w:val="Table List Number"/>
    <w:basedOn w:val="ListNumber"/>
    <w:rsid w:val="001C1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519"/>
    <w:pPr>
      <w:numPr>
        <w:numId w:val="10"/>
      </w:numPr>
    </w:pPr>
  </w:style>
  <w:style w:type="paragraph" w:customStyle="1" w:styleId="ListAlpha2">
    <w:name w:val="List Alpha 2"/>
    <w:basedOn w:val="List2"/>
    <w:rsid w:val="001C1519"/>
    <w:pPr>
      <w:numPr>
        <w:numId w:val="9"/>
      </w:numPr>
    </w:pPr>
  </w:style>
  <w:style w:type="paragraph" w:styleId="List2">
    <w:name w:val="List 2"/>
    <w:basedOn w:val="BodyText"/>
    <w:rsid w:val="001C1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5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15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1519"/>
    <w:pPr>
      <w:numPr>
        <w:numId w:val="5"/>
      </w:numPr>
    </w:pPr>
  </w:style>
  <w:style w:type="paragraph" w:styleId="ListContinue2">
    <w:name w:val="List Continue 2"/>
    <w:basedOn w:val="List2"/>
    <w:rsid w:val="001C1519"/>
    <w:pPr>
      <w:ind w:firstLine="0"/>
    </w:pPr>
  </w:style>
  <w:style w:type="paragraph" w:styleId="ListContinue3">
    <w:name w:val="List Continue 3"/>
    <w:basedOn w:val="List3"/>
    <w:rsid w:val="001C1519"/>
    <w:pPr>
      <w:ind w:left="1021" w:firstLine="0"/>
    </w:pPr>
  </w:style>
  <w:style w:type="paragraph" w:styleId="ListContinue4">
    <w:name w:val="List Continue 4"/>
    <w:basedOn w:val="List4"/>
    <w:rsid w:val="001C1519"/>
    <w:pPr>
      <w:ind w:firstLine="0"/>
    </w:pPr>
  </w:style>
  <w:style w:type="paragraph" w:styleId="ListContinue5">
    <w:name w:val="List Continue 5"/>
    <w:basedOn w:val="List5"/>
    <w:rsid w:val="001C1519"/>
    <w:pPr>
      <w:ind w:firstLine="0"/>
    </w:pPr>
  </w:style>
  <w:style w:type="paragraph" w:styleId="ListNumber3">
    <w:name w:val="List Number 3"/>
    <w:basedOn w:val="List3"/>
    <w:rsid w:val="001C1519"/>
    <w:pPr>
      <w:numPr>
        <w:numId w:val="6"/>
      </w:numPr>
    </w:pPr>
  </w:style>
  <w:style w:type="paragraph" w:styleId="ListNumber4">
    <w:name w:val="List Number 4"/>
    <w:basedOn w:val="List4"/>
    <w:rsid w:val="001C1519"/>
    <w:pPr>
      <w:numPr>
        <w:numId w:val="7"/>
      </w:numPr>
    </w:pPr>
  </w:style>
  <w:style w:type="paragraph" w:styleId="ListNumber5">
    <w:name w:val="List Number 5"/>
    <w:basedOn w:val="List5"/>
    <w:rsid w:val="001C1519"/>
    <w:pPr>
      <w:numPr>
        <w:numId w:val="8"/>
      </w:numPr>
    </w:pPr>
  </w:style>
  <w:style w:type="paragraph" w:styleId="BlockText">
    <w:name w:val="Block Text"/>
    <w:basedOn w:val="Normal"/>
    <w:rsid w:val="001C1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519"/>
    <w:rPr>
      <w:sz w:val="16"/>
      <w:vertAlign w:val="superscript"/>
    </w:rPr>
  </w:style>
  <w:style w:type="character" w:customStyle="1" w:styleId="Symbols">
    <w:name w:val="Symbols"/>
    <w:basedOn w:val="DefaultParagraphFont"/>
    <w:rsid w:val="001C1519"/>
    <w:rPr>
      <w:rFonts w:ascii="Symbol" w:hAnsi="Symbol"/>
    </w:rPr>
  </w:style>
  <w:style w:type="character" w:customStyle="1" w:styleId="MenuOptions">
    <w:name w:val="Menu Options"/>
    <w:basedOn w:val="DefaultParagraphFont"/>
    <w:rsid w:val="001C1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519"/>
    <w:rPr>
      <w:b/>
    </w:rPr>
  </w:style>
  <w:style w:type="character" w:customStyle="1" w:styleId="Underlined">
    <w:name w:val="Underlined"/>
    <w:basedOn w:val="DefaultParagraphFont"/>
    <w:rsid w:val="001C1519"/>
    <w:rPr>
      <w:u w:val="single"/>
    </w:rPr>
  </w:style>
  <w:style w:type="paragraph" w:customStyle="1" w:styleId="TableBodyTextRight">
    <w:name w:val="Table Body Text Right"/>
    <w:basedOn w:val="TableBodyText"/>
    <w:rsid w:val="001C1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519"/>
    <w:rPr>
      <w:sz w:val="18"/>
    </w:rPr>
  </w:style>
  <w:style w:type="paragraph" w:customStyle="1" w:styleId="BodySmallRight">
    <w:name w:val="Body Small Right"/>
    <w:basedOn w:val="BodyTextRight"/>
    <w:rsid w:val="001C1519"/>
    <w:rPr>
      <w:sz w:val="18"/>
      <w:szCs w:val="18"/>
    </w:rPr>
  </w:style>
  <w:style w:type="paragraph" w:customStyle="1" w:styleId="MarginEdition">
    <w:name w:val="Margin Edition"/>
    <w:basedOn w:val="MarginNote"/>
    <w:rsid w:val="001C1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519"/>
    <w:rPr>
      <w:sz w:val="2"/>
      <w:szCs w:val="2"/>
    </w:rPr>
  </w:style>
  <w:style w:type="character" w:customStyle="1" w:styleId="Small">
    <w:name w:val="Small"/>
    <w:basedOn w:val="DefaultParagraphFont"/>
    <w:rsid w:val="001C1519"/>
    <w:rPr>
      <w:sz w:val="16"/>
    </w:rPr>
  </w:style>
  <w:style w:type="paragraph" w:customStyle="1" w:styleId="WideTable">
    <w:name w:val="Wide Table"/>
    <w:basedOn w:val="Normal"/>
    <w:rsid w:val="001C1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519"/>
  </w:style>
  <w:style w:type="paragraph" w:styleId="Quote">
    <w:name w:val="Quote"/>
    <w:basedOn w:val="Heading1"/>
    <w:link w:val="QuoteChar"/>
    <w:qFormat/>
    <w:rsid w:val="001C1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519"/>
    <w:pPr>
      <w:pageBreakBefore/>
    </w:pPr>
  </w:style>
  <w:style w:type="paragraph" w:customStyle="1" w:styleId="Border">
    <w:name w:val="Border"/>
    <w:basedOn w:val="Normal"/>
    <w:qFormat/>
    <w:rsid w:val="001C1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519"/>
    <w:rPr>
      <w:u w:val="single"/>
    </w:rPr>
  </w:style>
  <w:style w:type="character" w:customStyle="1" w:styleId="BoldandItalics">
    <w:name w:val="Bold and Italics"/>
    <w:qFormat/>
    <w:rsid w:val="001C1519"/>
    <w:rPr>
      <w:b/>
      <w:i/>
      <w:u w:val="none"/>
    </w:rPr>
  </w:style>
  <w:style w:type="paragraph" w:styleId="BalloonText">
    <w:name w:val="Balloon Text"/>
    <w:basedOn w:val="Normal"/>
    <w:link w:val="BalloonTextChar"/>
    <w:rsid w:val="001C1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519"/>
    <w:pPr>
      <w:spacing w:before="0" w:after="0"/>
    </w:pPr>
  </w:style>
  <w:style w:type="paragraph" w:customStyle="1" w:styleId="BodyTextBold">
    <w:name w:val="Body Text Bold"/>
    <w:basedOn w:val="BodyText"/>
    <w:qFormat/>
    <w:rsid w:val="001C1519"/>
    <w:rPr>
      <w:b/>
    </w:rPr>
  </w:style>
  <w:style w:type="character" w:styleId="Hyperlink">
    <w:name w:val="Hyperlink"/>
    <w:basedOn w:val="DefaultParagraphFont"/>
    <w:uiPriority w:val="99"/>
    <w:unhideWhenUsed/>
    <w:rsid w:val="00CA0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3019</Characters>
  <Application>Microsoft Office Word</Application>
  <DocSecurity>0</DocSecurity>
  <Lines>83</Lines>
  <Paragraphs>67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SITHGAM026 Analyse and report on gaming machine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