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372F" w:rsidP="005737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SITHGAM025 Conduct Keno games</w:t>
      </w:r>
      <w:r>
        <w:fldChar w:fldCharType="end"/>
      </w:r>
    </w:p>
    <w:p w:rsidR="0057372F" w:rsidP="0057372F">
      <w:pPr>
        <w:pStyle w:val="Version"/>
        <w:sectPr w:rsidSect="00B61C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1CDA" w:rsidP="00B61CDA">
      <w:pPr>
        <w:pStyle w:val="SuperHeading"/>
      </w:pPr>
      <w:r w:rsidRPr="00B61CDA">
        <w:t>SITHGAM025 Conduct Keno games</w:t>
      </w:r>
    </w:p>
    <w:p w:rsidR="00000000" w:rsidRPr="00B61CDA" w:rsidP="00B61CDA">
      <w:pPr>
        <w:pStyle w:val="Heading1"/>
      </w:pPr>
      <w:bookmarkStart w:id="1" w:name="O_1229670"/>
      <w:bookmarkEnd w:id="1"/>
      <w:r w:rsidRPr="00B61CDA">
        <w:t>Modification History</w:t>
      </w:r>
    </w:p>
    <w:p w:rsidR="00000000" w:rsidRPr="00B61CDA" w:rsidP="0057372F">
      <w:pPr>
        <w:pStyle w:val="BodyText"/>
      </w:pPr>
      <w:r w:rsidRPr="00B61CDA">
        <w:t>Not applicable.</w:t>
      </w:r>
    </w:p>
    <w:p w:rsidR="00000000" w:rsidRPr="00B61CDA" w:rsidP="00B61CDA">
      <w:pPr>
        <w:pStyle w:val="Heading1"/>
      </w:pPr>
      <w:bookmarkStart w:id="2" w:name="O_1229677"/>
      <w:bookmarkEnd w:id="2"/>
      <w:r w:rsidRPr="00B61CDA">
        <w:t>Application</w:t>
      </w:r>
    </w:p>
    <w:p w:rsidR="00000000" w:rsidRPr="00B61CDA" w:rsidP="0057372F">
      <w:pPr>
        <w:pStyle w:val="BodyText"/>
      </w:pPr>
      <w:r w:rsidRPr="00B61CDA">
        <w:t>This unit describes the performance outcomes, skills and knowledge required to operate and maintain Keno equipment, take bets, make payouts, check security issues, and provide advice on Ke</w:t>
      </w:r>
      <w:r w:rsidRPr="00B61CDA">
        <w:t>no to customers.</w:t>
      </w:r>
    </w:p>
    <w:p w:rsidR="00000000" w:rsidRPr="00B61CDA" w:rsidP="0057372F">
      <w:pPr>
        <w:pStyle w:val="BodyText"/>
      </w:pPr>
      <w:r w:rsidRPr="00B61CDA">
        <w:t>The unit applies to gaming venues that offer Keno games, and to gaming attendants who work under general supervision within established procedures.</w:t>
      </w:r>
    </w:p>
    <w:p w:rsidR="00000000" w:rsidRPr="00B61CDA" w:rsidP="0057372F">
      <w:pPr>
        <w:pStyle w:val="BodyText"/>
      </w:pPr>
      <w:r w:rsidRPr="00B61CDA">
        <w:t>In many states and territories, legislation stipulates that all gaming workers must receive</w:t>
      </w:r>
      <w:r w:rsidRPr="00B61CDA">
        <w:t xml:space="preserve"> training in the responsible conduct of gambling. This is covered in SITHGAM022 Provide responsible gambling services.</w:t>
      </w:r>
    </w:p>
    <w:p w:rsidR="00000000" w:rsidRPr="00B61CDA" w:rsidP="0057372F">
      <w:pPr>
        <w:pStyle w:val="BodyText"/>
      </w:pPr>
      <w:r w:rsidRPr="00B61CDA">
        <w:t>The skills in this unit must be applied in accordance with Commonwealth and State/Territory legislation, Australian/New Zealand standards</w:t>
      </w:r>
      <w:r w:rsidRPr="00B61CDA">
        <w:t xml:space="preserve"> and industry codes of practice.</w:t>
      </w:r>
    </w:p>
    <w:p w:rsidR="00000000" w:rsidRPr="00B61CDA" w:rsidP="0057372F">
      <w:pPr>
        <w:pStyle w:val="BodyText"/>
      </w:pPr>
      <w:r w:rsidRPr="00B61CDA">
        <w:t>No occupational licensing, certification or specific legislative requirements apply to this unit at the time of publication.</w:t>
      </w:r>
    </w:p>
    <w:p w:rsidR="00000000" w:rsidRPr="00B61CDA" w:rsidP="00B61CDA">
      <w:pPr>
        <w:pStyle w:val="Heading1"/>
      </w:pPr>
      <w:bookmarkStart w:id="3" w:name="O_1229676"/>
      <w:bookmarkEnd w:id="3"/>
      <w:r w:rsidRPr="00B61CDA">
        <w:t>Pre-requisite Unit</w:t>
      </w:r>
    </w:p>
    <w:p w:rsidR="00000000" w:rsidRPr="00B61CDA" w:rsidP="0057372F">
      <w:pPr>
        <w:pStyle w:val="BodyText"/>
      </w:pPr>
      <w:r w:rsidRPr="00B61CDA">
        <w:t>SITHGAM022 Provide responsible gambling services</w:t>
      </w:r>
    </w:p>
    <w:p w:rsidR="00000000" w:rsidRPr="00B61CDA" w:rsidP="00B61CDA">
      <w:pPr>
        <w:pStyle w:val="Heading1"/>
      </w:pPr>
      <w:bookmarkStart w:id="4" w:name="O_1229675"/>
      <w:bookmarkEnd w:id="4"/>
      <w:r w:rsidRPr="00B61CDA">
        <w:t>Competency Field</w:t>
      </w:r>
    </w:p>
    <w:p w:rsidR="00000000" w:rsidRPr="00B61CDA" w:rsidP="0057372F">
      <w:pPr>
        <w:pStyle w:val="BodyText"/>
      </w:pPr>
      <w:r w:rsidRPr="00B61CDA">
        <w:t>Gaming</w:t>
      </w:r>
    </w:p>
    <w:p w:rsidR="00000000" w:rsidRPr="00B61CDA" w:rsidP="00B61CDA">
      <w:pPr>
        <w:pStyle w:val="Heading1"/>
      </w:pPr>
      <w:bookmarkStart w:id="5" w:name="O_1229674"/>
      <w:bookmarkEnd w:id="5"/>
      <w:r w:rsidRPr="00B61CDA">
        <w:t>Unit Sector</w:t>
      </w:r>
    </w:p>
    <w:p w:rsidR="00000000" w:rsidRPr="00B61CDA" w:rsidP="0057372F">
      <w:pPr>
        <w:pStyle w:val="BodyText"/>
      </w:pPr>
      <w:r w:rsidRPr="00B61CDA">
        <w:t>Hospitality</w:t>
      </w:r>
    </w:p>
    <w:p w:rsidR="00000000" w:rsidRPr="00B61CDA" w:rsidP="00B61CDA">
      <w:pPr>
        <w:pStyle w:val="Heading1"/>
      </w:pPr>
      <w:bookmarkStart w:id="6" w:name="O_1229673"/>
      <w:bookmarkEnd w:id="6"/>
      <w:r w:rsidRPr="00B61CD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9"/>
        <w:gridCol w:w="6365"/>
      </w:tblGrid>
      <w:tr w:rsidTr="00B61C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CDA" w:rsidP="00B61CDA">
            <w:pPr>
              <w:pStyle w:val="BodyText"/>
            </w:pPr>
            <w:r w:rsidRPr="00B61CDA">
              <w:rPr>
                <w:rStyle w:val="SpecialBold"/>
              </w:rPr>
              <w:t>ELEMENTS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CDA">
            <w:pPr>
              <w:pStyle w:val="BodyText"/>
              <w:rPr>
                <w:lang w:val="en-NZ"/>
              </w:rPr>
            </w:pPr>
            <w:r w:rsidRPr="00B61CDA">
              <w:rPr>
                <w:rStyle w:val="SpecialBold"/>
              </w:rPr>
              <w:t>PERFORMANCE</w:t>
            </w:r>
            <w:r w:rsidRPr="00B61CDA">
              <w:t xml:space="preserve"> </w:t>
            </w:r>
            <w:r w:rsidRPr="00B61CDA">
              <w:rPr>
                <w:rStyle w:val="SpecialBold"/>
              </w:rPr>
              <w:t>CRITERIA</w:t>
            </w:r>
          </w:p>
        </w:tc>
      </w:tr>
      <w:tr w:rsidTr="00B61C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CDA" w:rsidP="00B61CDA">
            <w:pPr>
              <w:pStyle w:val="BodyText"/>
            </w:pPr>
            <w:r w:rsidRPr="00B61CDA">
              <w:rPr>
                <w:rStyle w:val="Emphasis"/>
              </w:rPr>
              <w:t>Elements describe the essential outcomes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CDA">
            <w:pPr>
              <w:pStyle w:val="BodyText"/>
              <w:rPr>
                <w:lang w:val="en-NZ"/>
              </w:rPr>
            </w:pPr>
            <w:r w:rsidRPr="00B61C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1C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CDA">
            <w:pPr>
              <w:pStyle w:val="List"/>
              <w:rPr>
                <w:lang w:val="en-NZ"/>
              </w:rPr>
            </w:pPr>
            <w:r w:rsidRPr="00B61CDA">
              <w:t>1.  Advise customers on features of Keno.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CDA" w:rsidP="00B61CDA">
            <w:pPr>
              <w:pStyle w:val="List"/>
            </w:pPr>
            <w:r w:rsidRPr="00B61CDA">
              <w:t>1.1. Provide information to customers about Keno games.</w:t>
            </w:r>
          </w:p>
          <w:p w:rsidR="00000000" w:rsidRPr="00B61CDA" w:rsidP="00B61CDA">
            <w:pPr>
              <w:pStyle w:val="List"/>
            </w:pPr>
            <w:r w:rsidRPr="00B61CDA">
              <w:t>1.2. Advise customers on Keno promotions as required.</w:t>
            </w:r>
          </w:p>
          <w:p w:rsidR="00000000" w:rsidP="00B61CDA">
            <w:pPr>
              <w:pStyle w:val="List"/>
              <w:rPr>
                <w:lang w:val="en-NZ"/>
              </w:rPr>
            </w:pPr>
            <w:r w:rsidRPr="00B61CDA">
              <w:t>1.3. Re</w:t>
            </w:r>
            <w:r w:rsidRPr="00B61CDA">
              <w:t>spond to customer queries, requests and complaints according to organisational policies and procedures.</w:t>
            </w:r>
          </w:p>
        </w:tc>
      </w:tr>
      <w:tr w:rsidTr="00B61C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CDA">
            <w:pPr>
              <w:pStyle w:val="List"/>
              <w:rPr>
                <w:lang w:val="en-NZ"/>
              </w:rPr>
            </w:pPr>
            <w:r w:rsidRPr="00B61CDA">
              <w:t>2.  Process bet types.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CDA" w:rsidP="00B61CDA">
            <w:pPr>
              <w:pStyle w:val="List"/>
            </w:pPr>
            <w:r w:rsidRPr="00B61CDA">
              <w:t>2.1. Identify and confirm verbal and standard entry bet types.</w:t>
            </w:r>
          </w:p>
          <w:p w:rsidR="00000000" w:rsidP="00B61CDA">
            <w:pPr>
              <w:pStyle w:val="List"/>
              <w:rPr>
                <w:lang w:val="en-NZ"/>
              </w:rPr>
            </w:pPr>
            <w:r w:rsidRPr="00B61CDA">
              <w:t>2.2. Process bet types according to designated procedures.</w:t>
            </w:r>
          </w:p>
        </w:tc>
      </w:tr>
      <w:tr w:rsidTr="00B61C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CDA">
            <w:pPr>
              <w:pStyle w:val="List"/>
              <w:rPr>
                <w:lang w:val="en-NZ"/>
              </w:rPr>
            </w:pPr>
            <w:r w:rsidRPr="00B61CDA">
              <w:t>3.  Pay out prizes.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CDA" w:rsidP="00B61CDA">
            <w:pPr>
              <w:pStyle w:val="List"/>
            </w:pPr>
            <w:r w:rsidRPr="00B61CDA">
              <w:t>3.1. Check tickets through card reader, scanner or by serial number.</w:t>
            </w:r>
          </w:p>
          <w:p w:rsidR="00000000" w:rsidRPr="00B61CDA" w:rsidP="00B61CDA">
            <w:pPr>
              <w:pStyle w:val="List"/>
            </w:pPr>
            <w:r w:rsidRPr="00B61CDA">
              <w:t>3.2. Process cash and cheque payouts according to pre-set limits.</w:t>
            </w:r>
          </w:p>
          <w:p w:rsidR="00000000" w:rsidRPr="00B61CDA" w:rsidP="00B61CDA">
            <w:pPr>
              <w:pStyle w:val="List"/>
            </w:pPr>
            <w:r w:rsidRPr="00B61CDA">
              <w:t>3.3. Perform cash and cheque transactions according to agency and system limits and organisational po</w:t>
            </w:r>
            <w:r w:rsidRPr="00B61CDA">
              <w:t>licies and procedures.</w:t>
            </w:r>
          </w:p>
          <w:p w:rsidR="00000000" w:rsidP="00B61CDA">
            <w:pPr>
              <w:pStyle w:val="List"/>
              <w:rPr>
                <w:lang w:val="en-NZ"/>
              </w:rPr>
            </w:pPr>
            <w:r w:rsidRPr="00B61CDA">
              <w:t>3.4. Refer large payouts, bets, cash ins and cash outs to the appropriate person.</w:t>
            </w:r>
          </w:p>
        </w:tc>
      </w:tr>
      <w:tr w:rsidTr="00B61C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CDA">
            <w:pPr>
              <w:pStyle w:val="List"/>
              <w:rPr>
                <w:lang w:val="en-NZ"/>
              </w:rPr>
            </w:pPr>
            <w:r w:rsidRPr="00B61CDA">
              <w:t>4.  Cancel tickets.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CDA" w:rsidP="00B61CDA">
            <w:pPr>
              <w:pStyle w:val="List"/>
            </w:pPr>
            <w:r w:rsidRPr="00B61CDA">
              <w:t>4.1. Cancel tickets through card reader or scanner, by serial number, or when not available, through arranging a claim for cancell</w:t>
            </w:r>
            <w:r w:rsidRPr="00B61CDA">
              <w:t>ation through appropriate measures.</w:t>
            </w:r>
          </w:p>
          <w:p w:rsidR="00000000" w:rsidP="00B61CDA">
            <w:pPr>
              <w:pStyle w:val="List"/>
              <w:rPr>
                <w:lang w:val="en-NZ"/>
              </w:rPr>
            </w:pPr>
            <w:r w:rsidRPr="00B61CDA">
              <w:t>4.2. Re-issue tickets where required according to organisational policies and procedures.</w:t>
            </w:r>
          </w:p>
        </w:tc>
      </w:tr>
      <w:tr w:rsidTr="00B61C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CDA">
            <w:pPr>
              <w:pStyle w:val="List"/>
              <w:rPr>
                <w:lang w:val="en-NZ"/>
              </w:rPr>
            </w:pPr>
            <w:r w:rsidRPr="00B61CDA">
              <w:t>5.  Operate general functions of software and machines.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CDA" w:rsidP="00B61CDA">
            <w:pPr>
              <w:pStyle w:val="List"/>
            </w:pPr>
            <w:r w:rsidRPr="00B61CDA">
              <w:t>5.1. Use general functions of software and machines when necessary accord</w:t>
            </w:r>
            <w:r w:rsidRPr="00B61CDA">
              <w:t>ing to authorised limitations.</w:t>
            </w:r>
          </w:p>
          <w:p w:rsidR="00000000" w:rsidP="00B61CDA">
            <w:pPr>
              <w:pStyle w:val="List"/>
              <w:rPr>
                <w:lang w:val="en-NZ"/>
              </w:rPr>
            </w:pPr>
            <w:r w:rsidRPr="00B61CDA">
              <w:t>5.2. Seek authorisation to use software and machines from the appropriate person where required.</w:t>
            </w:r>
          </w:p>
        </w:tc>
      </w:tr>
      <w:tr w:rsidTr="00B61C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CDA">
            <w:pPr>
              <w:pStyle w:val="List"/>
              <w:rPr>
                <w:lang w:val="en-NZ"/>
              </w:rPr>
            </w:pPr>
            <w:r w:rsidRPr="00B61CDA">
              <w:t>6.  Clean and maintain terminals.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CDA" w:rsidP="00B61CDA">
            <w:pPr>
              <w:pStyle w:val="List"/>
            </w:pPr>
            <w:r w:rsidRPr="00B61CDA">
              <w:t>6.1. Clean card readers as required by organisational procedures.</w:t>
            </w:r>
          </w:p>
          <w:p w:rsidR="00000000" w:rsidRPr="00B61CDA" w:rsidP="00B61CDA">
            <w:pPr>
              <w:pStyle w:val="List"/>
            </w:pPr>
            <w:r w:rsidRPr="00B61CDA">
              <w:t>6.2. Change new paper rolls and ribbons as required by organisational procedures.</w:t>
            </w:r>
          </w:p>
          <w:p w:rsidR="00000000" w:rsidRPr="00B61CDA" w:rsidP="00B61CDA">
            <w:pPr>
              <w:pStyle w:val="List"/>
            </w:pPr>
            <w:r w:rsidRPr="00B61CDA">
              <w:t>6.3. Check paper feed and reset card readers as required by organisational procedures.</w:t>
            </w:r>
          </w:p>
          <w:p w:rsidR="00000000" w:rsidP="00B61CDA">
            <w:pPr>
              <w:pStyle w:val="List"/>
              <w:rPr>
                <w:lang w:val="en-NZ"/>
              </w:rPr>
            </w:pPr>
            <w:r w:rsidRPr="00B61CDA">
              <w:t>6.4. Identify maintenance problems promptly and take appropriate measures.</w:t>
            </w:r>
          </w:p>
        </w:tc>
      </w:tr>
      <w:tr w:rsidTr="00B61C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CDA">
            <w:pPr>
              <w:pStyle w:val="List"/>
              <w:rPr>
                <w:lang w:val="en-NZ"/>
              </w:rPr>
            </w:pPr>
            <w:r w:rsidRPr="00B61CDA">
              <w:t>7.  Monitor</w:t>
            </w:r>
            <w:r w:rsidRPr="00B61CDA">
              <w:t xml:space="preserve"> security of Keno operations.</w:t>
            </w:r>
          </w:p>
        </w:tc>
        <w:tc>
          <w:tcPr>
            <w:tcW w:w="6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CDA" w:rsidP="00B61CDA">
            <w:pPr>
              <w:pStyle w:val="List"/>
            </w:pPr>
            <w:r w:rsidRPr="00B61CDA">
              <w:t>7.1. Follow Keno rules according to legislative requirements and organisational policies and procedures.</w:t>
            </w:r>
          </w:p>
          <w:p w:rsidR="00000000" w:rsidRPr="00B61CDA" w:rsidP="00B61CDA">
            <w:pPr>
              <w:pStyle w:val="List"/>
            </w:pPr>
            <w:r w:rsidRPr="00B61CDA">
              <w:t>7.2. Use the terminal disable function when appropriate.</w:t>
            </w:r>
          </w:p>
          <w:p w:rsidR="00000000" w:rsidRPr="00B61CDA" w:rsidP="00B61CDA">
            <w:pPr>
              <w:pStyle w:val="List"/>
            </w:pPr>
            <w:r w:rsidRPr="00B61CDA">
              <w:t>7.3. Handle and balance cash and float according to organisation</w:t>
            </w:r>
            <w:r w:rsidRPr="00B61CDA">
              <w:t>al policies and procedures.</w:t>
            </w:r>
          </w:p>
          <w:p w:rsidR="00000000" w:rsidRPr="00B61CDA" w:rsidP="00B61CDA">
            <w:pPr>
              <w:pStyle w:val="List"/>
            </w:pPr>
            <w:r w:rsidRPr="00B61CDA">
              <w:t>7.4. Identify where assistance is required and call the Keno Hotline for assistance.</w:t>
            </w:r>
          </w:p>
          <w:p w:rsidR="00000000" w:rsidRPr="00B61CDA" w:rsidP="00B61CDA">
            <w:pPr>
              <w:pStyle w:val="List"/>
            </w:pPr>
            <w:r w:rsidRPr="00B61CDA">
              <w:t>7.5. Observe players and onlookers and note and report unusual practices and behaviours accurately and promptly.</w:t>
            </w:r>
          </w:p>
        </w:tc>
      </w:tr>
    </w:tbl>
    <w:p w:rsidR="00000000" w:rsidRPr="00B61CDA" w:rsidP="00B61CDA">
      <w:pPr>
        <w:pStyle w:val="BodyText"/>
      </w:pPr>
    </w:p>
    <w:p w:rsidR="00000000" w:rsidRPr="00B61CDA" w:rsidP="00B61CDA">
      <w:pPr>
        <w:pStyle w:val="AllowPageBreak"/>
      </w:pPr>
    </w:p>
    <w:p w:rsidR="00000000" w:rsidRPr="00B61CDA" w:rsidP="00B61CDA">
      <w:pPr>
        <w:pStyle w:val="Heading1"/>
      </w:pPr>
      <w:bookmarkStart w:id="7" w:name="O_1229672"/>
      <w:bookmarkEnd w:id="7"/>
      <w:r w:rsidRPr="00B61CDA">
        <w:t>Foundatio</w:t>
      </w:r>
      <w:r w:rsidRPr="00B61CDA">
        <w:t>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61C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CDA">
            <w:pPr>
              <w:pStyle w:val="BodyText"/>
              <w:rPr>
                <w:lang w:val="en-NZ"/>
              </w:rPr>
            </w:pPr>
            <w:r w:rsidRPr="00B61CDA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B61CDA">
              <w:rPr>
                <w:rStyle w:val="Emphasis"/>
              </w:rPr>
              <w:t>criteria are listed here, along with a brief context statement</w:t>
            </w:r>
            <w:r w:rsidRPr="00B61CDA">
              <w:t>.</w:t>
            </w:r>
          </w:p>
        </w:tc>
      </w:tr>
      <w:tr w:rsidTr="00B61C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CDA" w:rsidP="00B61CDA">
            <w:pPr>
              <w:pStyle w:val="BodyText"/>
            </w:pPr>
            <w:r w:rsidRPr="00B61CD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CDA">
            <w:pPr>
              <w:pStyle w:val="BodyText"/>
              <w:rPr>
                <w:lang w:val="en-NZ"/>
              </w:rPr>
            </w:pPr>
            <w:r w:rsidRPr="00B61CDA">
              <w:rPr>
                <w:rStyle w:val="SpecialBold"/>
              </w:rPr>
              <w:t>DESCRIPTION</w:t>
            </w:r>
          </w:p>
        </w:tc>
      </w:tr>
      <w:tr w:rsidTr="00B61C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CDA">
            <w:pPr>
              <w:pStyle w:val="BodyText"/>
              <w:rPr>
                <w:lang w:val="en-NZ"/>
              </w:rPr>
            </w:pPr>
            <w:r w:rsidRPr="00B61CD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CDA">
            <w:pPr>
              <w:pStyle w:val="ListBullet"/>
              <w:rPr>
                <w:lang w:val="en-NZ"/>
              </w:rPr>
            </w:pPr>
            <w:r w:rsidRPr="00B61CDA">
              <w:t>read understand procedures and licensing requirements for Keno.</w:t>
            </w:r>
          </w:p>
        </w:tc>
      </w:tr>
      <w:tr w:rsidTr="00B61C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1CDA">
            <w:pPr>
              <w:pStyle w:val="BodyText"/>
              <w:rPr>
                <w:lang w:val="en-NZ"/>
              </w:rPr>
            </w:pPr>
            <w:r w:rsidRPr="00B61CDA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1CDA" w:rsidP="00B61CDA">
            <w:pPr>
              <w:pStyle w:val="ListBullet"/>
            </w:pPr>
            <w:r w:rsidRPr="00B61CDA">
              <w:t>deal with disputes about prize schedules, payments and display of winning numbers.</w:t>
            </w:r>
          </w:p>
        </w:tc>
      </w:tr>
    </w:tbl>
    <w:p w:rsidR="00000000" w:rsidRPr="00B61CDA" w:rsidP="00B61CDA">
      <w:pPr>
        <w:pStyle w:val="BodyText"/>
      </w:pPr>
    </w:p>
    <w:p w:rsidR="00000000" w:rsidRPr="00B61CDA" w:rsidP="00B61CDA">
      <w:pPr>
        <w:pStyle w:val="AllowPageBreak"/>
      </w:pPr>
    </w:p>
    <w:p w:rsidR="00000000" w:rsidRPr="00B61CDA" w:rsidP="00B61CDA">
      <w:pPr>
        <w:pStyle w:val="Heading1"/>
      </w:pPr>
      <w:bookmarkStart w:id="8" w:name="O_1229671"/>
      <w:bookmarkEnd w:id="8"/>
      <w:r w:rsidRPr="00B61CDA">
        <w:t>Unit Mapping Information</w:t>
      </w:r>
    </w:p>
    <w:p w:rsidR="00000000" w:rsidRPr="00B61CDA" w:rsidP="0057372F">
      <w:pPr>
        <w:pStyle w:val="BodyText"/>
      </w:pPr>
      <w:r w:rsidRPr="00B61CDA">
        <w:t>Supersedes and is equivalent to SITHGAM004 Conduct Keno games</w:t>
      </w:r>
    </w:p>
    <w:p w:rsidR="00000000" w:rsidRPr="00B61CDA" w:rsidP="00B61CDA">
      <w:pPr>
        <w:pStyle w:val="Heading1"/>
      </w:pPr>
      <w:bookmarkStart w:id="9" w:name="O_1229664"/>
      <w:bookmarkEnd w:id="9"/>
      <w:r w:rsidRPr="00B61CDA">
        <w:t>Links</w:t>
      </w:r>
    </w:p>
    <w:p w:rsidR="00000000" w:rsidRPr="00B61CDA" w:rsidP="0057372F">
      <w:pPr>
        <w:pStyle w:val="BodyText"/>
      </w:pPr>
      <w:r w:rsidRPr="00B61C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7224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61CDA" w:rsidP="00B61CDA"/>
    <w:sectPr w:rsidSect="00B61C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C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CDA" w:rsidRPr="0057372F" w:rsidP="005737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C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72F" w:rsidP="00B61C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372F" w:rsidP="00B61C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7372F" w:rsidP="00B61C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C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7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1CDA" w:rsidRPr="0057372F" w:rsidP="005737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C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72F" w:rsidRPr="002D2AF8" w:rsidP="00B61C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SITHGAM025 Conduct Keno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57372F" w:rsidP="00B61C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9291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48B2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1C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1C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1C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1C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1C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1C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1C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1C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1C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1C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1C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1CDA"/>
  </w:style>
  <w:style w:type="character" w:customStyle="1" w:styleId="Heading1Char">
    <w:name w:val="Heading 1 Char"/>
    <w:basedOn w:val="DefaultParagraphFont"/>
    <w:link w:val="Heading1"/>
    <w:rsid w:val="00B61C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1C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1CD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61C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1C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1CDA"/>
    <w:rPr>
      <w:b/>
      <w:spacing w:val="0"/>
    </w:rPr>
  </w:style>
  <w:style w:type="character" w:styleId="Emphasis">
    <w:name w:val="Emphasis"/>
    <w:basedOn w:val="DefaultParagraphFont"/>
    <w:qFormat/>
    <w:rsid w:val="00B61CDA"/>
    <w:rPr>
      <w:i/>
    </w:rPr>
  </w:style>
  <w:style w:type="paragraph" w:customStyle="1" w:styleId="SuperHeading">
    <w:name w:val="SuperHeading"/>
    <w:basedOn w:val="Normal"/>
    <w:rsid w:val="00B61C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1C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1C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1C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1C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1C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1C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1C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1C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1C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1C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1C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1C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1C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1C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1C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1C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1C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1C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1CD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61C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1C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1C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1C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1C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1C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1C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1C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1C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1C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1C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1C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1C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1C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1C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1C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1C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1CDA"/>
  </w:style>
  <w:style w:type="paragraph" w:styleId="TableofFigures">
    <w:name w:val="table of figures"/>
    <w:basedOn w:val="Normal"/>
    <w:next w:val="Normal"/>
    <w:semiHidden/>
    <w:rsid w:val="00B61C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1C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1CDA"/>
    <w:rPr>
      <w:rFonts w:ascii="Wingdings" w:hAnsi="Wingdings"/>
    </w:rPr>
  </w:style>
  <w:style w:type="paragraph" w:customStyle="1" w:styleId="TableHeading">
    <w:name w:val="Table Heading"/>
    <w:basedOn w:val="HeadingBase"/>
    <w:rsid w:val="00B61C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1CDA"/>
    <w:rPr>
      <w:color w:val="0033CC"/>
      <w:u w:val="none"/>
    </w:rPr>
  </w:style>
  <w:style w:type="paragraph" w:customStyle="1" w:styleId="BodyTextRight">
    <w:name w:val="Body Text Right"/>
    <w:basedOn w:val="BodyText"/>
    <w:rsid w:val="00B61C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1C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1C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1C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1C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1C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1CDA"/>
    <w:rPr>
      <w:sz w:val="32"/>
    </w:rPr>
  </w:style>
  <w:style w:type="paragraph" w:customStyle="1" w:styleId="HeadingProcedure">
    <w:name w:val="Heading Procedure"/>
    <w:basedOn w:val="HeadingBase"/>
    <w:next w:val="Normal"/>
    <w:rsid w:val="00B61C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1CDA"/>
    <w:pPr>
      <w:spacing w:before="60" w:after="60"/>
    </w:pPr>
  </w:style>
  <w:style w:type="paragraph" w:styleId="ListContinue">
    <w:name w:val="List Continue"/>
    <w:basedOn w:val="List"/>
    <w:rsid w:val="00B61CDA"/>
    <w:pPr>
      <w:ind w:firstLine="0"/>
    </w:pPr>
  </w:style>
  <w:style w:type="paragraph" w:customStyle="1" w:styleId="ListNote">
    <w:name w:val="List Note"/>
    <w:basedOn w:val="List"/>
    <w:rsid w:val="00B61C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1C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1C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1CDA"/>
    <w:rPr>
      <w:rFonts w:ascii="Courier New" w:hAnsi="Courier New"/>
    </w:rPr>
  </w:style>
  <w:style w:type="paragraph" w:customStyle="1" w:styleId="NoteBullet">
    <w:name w:val="Note Bullet"/>
    <w:basedOn w:val="Note"/>
    <w:rsid w:val="00B61C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1C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1C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1C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1C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1C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1C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1CDA"/>
    <w:rPr>
      <w:b/>
      <w:smallCaps/>
    </w:rPr>
  </w:style>
  <w:style w:type="paragraph" w:customStyle="1" w:styleId="TableListNumber">
    <w:name w:val="Table List Number"/>
    <w:basedOn w:val="ListNumber"/>
    <w:rsid w:val="00B61C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1C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1CDA"/>
    <w:pPr>
      <w:numPr>
        <w:numId w:val="8"/>
      </w:numPr>
    </w:pPr>
  </w:style>
  <w:style w:type="paragraph" w:customStyle="1" w:styleId="ListAlpha2">
    <w:name w:val="List Alpha 2"/>
    <w:basedOn w:val="List2"/>
    <w:rsid w:val="00B61CDA"/>
    <w:pPr>
      <w:numPr>
        <w:numId w:val="7"/>
      </w:numPr>
    </w:pPr>
  </w:style>
  <w:style w:type="paragraph" w:styleId="List2">
    <w:name w:val="List 2"/>
    <w:basedOn w:val="BodyText"/>
    <w:rsid w:val="00B61C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1C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1C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1C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1C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1C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1CDA"/>
    <w:pPr>
      <w:numPr>
        <w:numId w:val="3"/>
      </w:numPr>
    </w:pPr>
  </w:style>
  <w:style w:type="paragraph" w:styleId="ListContinue2">
    <w:name w:val="List Continue 2"/>
    <w:basedOn w:val="List2"/>
    <w:rsid w:val="00B61CDA"/>
    <w:pPr>
      <w:ind w:firstLine="0"/>
    </w:pPr>
  </w:style>
  <w:style w:type="paragraph" w:styleId="ListContinue3">
    <w:name w:val="List Continue 3"/>
    <w:basedOn w:val="List3"/>
    <w:rsid w:val="00B61CDA"/>
    <w:pPr>
      <w:ind w:left="1021" w:firstLine="0"/>
    </w:pPr>
  </w:style>
  <w:style w:type="paragraph" w:styleId="ListContinue4">
    <w:name w:val="List Continue 4"/>
    <w:basedOn w:val="List4"/>
    <w:rsid w:val="00B61CDA"/>
    <w:pPr>
      <w:ind w:firstLine="0"/>
    </w:pPr>
  </w:style>
  <w:style w:type="paragraph" w:styleId="ListContinue5">
    <w:name w:val="List Continue 5"/>
    <w:basedOn w:val="List5"/>
    <w:rsid w:val="00B61CDA"/>
    <w:pPr>
      <w:ind w:firstLine="0"/>
    </w:pPr>
  </w:style>
  <w:style w:type="paragraph" w:styleId="ListNumber3">
    <w:name w:val="List Number 3"/>
    <w:basedOn w:val="List3"/>
    <w:rsid w:val="00B61CDA"/>
    <w:pPr>
      <w:numPr>
        <w:numId w:val="4"/>
      </w:numPr>
    </w:pPr>
  </w:style>
  <w:style w:type="paragraph" w:styleId="ListNumber4">
    <w:name w:val="List Number 4"/>
    <w:basedOn w:val="List4"/>
    <w:rsid w:val="00B61CDA"/>
    <w:pPr>
      <w:numPr>
        <w:numId w:val="5"/>
      </w:numPr>
    </w:pPr>
  </w:style>
  <w:style w:type="paragraph" w:styleId="ListNumber5">
    <w:name w:val="List Number 5"/>
    <w:basedOn w:val="List5"/>
    <w:rsid w:val="00B61CDA"/>
    <w:pPr>
      <w:numPr>
        <w:numId w:val="6"/>
      </w:numPr>
    </w:pPr>
  </w:style>
  <w:style w:type="paragraph" w:styleId="BlockText">
    <w:name w:val="Block Text"/>
    <w:basedOn w:val="Normal"/>
    <w:rsid w:val="00B61C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1C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1CDA"/>
    <w:rPr>
      <w:sz w:val="16"/>
      <w:vertAlign w:val="superscript"/>
    </w:rPr>
  </w:style>
  <w:style w:type="character" w:customStyle="1" w:styleId="Symbols">
    <w:name w:val="Symbols"/>
    <w:basedOn w:val="DefaultParagraphFont"/>
    <w:rsid w:val="00B61CDA"/>
    <w:rPr>
      <w:rFonts w:ascii="Symbol" w:hAnsi="Symbol"/>
    </w:rPr>
  </w:style>
  <w:style w:type="character" w:customStyle="1" w:styleId="MenuOptions">
    <w:name w:val="Menu Options"/>
    <w:basedOn w:val="DefaultParagraphFont"/>
    <w:rsid w:val="00B61C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1CDA"/>
    <w:rPr>
      <w:b/>
    </w:rPr>
  </w:style>
  <w:style w:type="character" w:customStyle="1" w:styleId="Underlined">
    <w:name w:val="Underlined"/>
    <w:basedOn w:val="DefaultParagraphFont"/>
    <w:rsid w:val="00B61CDA"/>
    <w:rPr>
      <w:u w:val="single"/>
    </w:rPr>
  </w:style>
  <w:style w:type="paragraph" w:customStyle="1" w:styleId="TableBodyTextRight">
    <w:name w:val="Table Body Text Right"/>
    <w:basedOn w:val="TableBodyText"/>
    <w:rsid w:val="00B61C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1CDA"/>
    <w:rPr>
      <w:sz w:val="18"/>
    </w:rPr>
  </w:style>
  <w:style w:type="paragraph" w:customStyle="1" w:styleId="BodySmallRight">
    <w:name w:val="Body Small Right"/>
    <w:basedOn w:val="BodyTextRight"/>
    <w:rsid w:val="00B61CDA"/>
    <w:rPr>
      <w:sz w:val="18"/>
      <w:szCs w:val="18"/>
    </w:rPr>
  </w:style>
  <w:style w:type="paragraph" w:customStyle="1" w:styleId="MarginEdition">
    <w:name w:val="Margin Edition"/>
    <w:basedOn w:val="MarginNote"/>
    <w:rsid w:val="00B61C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1CDA"/>
    <w:rPr>
      <w:sz w:val="2"/>
      <w:szCs w:val="2"/>
    </w:rPr>
  </w:style>
  <w:style w:type="character" w:customStyle="1" w:styleId="Small">
    <w:name w:val="Small"/>
    <w:basedOn w:val="DefaultParagraphFont"/>
    <w:rsid w:val="00B61CDA"/>
    <w:rPr>
      <w:sz w:val="16"/>
    </w:rPr>
  </w:style>
  <w:style w:type="paragraph" w:customStyle="1" w:styleId="WideTable">
    <w:name w:val="Wide Table"/>
    <w:basedOn w:val="Normal"/>
    <w:rsid w:val="00B61C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1CDA"/>
  </w:style>
  <w:style w:type="paragraph" w:styleId="Quote">
    <w:name w:val="Quote"/>
    <w:basedOn w:val="Heading1"/>
    <w:link w:val="QuoteChar"/>
    <w:qFormat/>
    <w:rsid w:val="00B61C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1C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1CDA"/>
    <w:pPr>
      <w:pageBreakBefore/>
    </w:pPr>
  </w:style>
  <w:style w:type="paragraph" w:customStyle="1" w:styleId="Border">
    <w:name w:val="Border"/>
    <w:basedOn w:val="Normal"/>
    <w:qFormat/>
    <w:rsid w:val="00B61C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1C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1C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1C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1C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1C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1C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1C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1C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1CDA"/>
    <w:rPr>
      <w:u w:val="single"/>
    </w:rPr>
  </w:style>
  <w:style w:type="character" w:customStyle="1" w:styleId="BoldandItalics">
    <w:name w:val="Bold and Italics"/>
    <w:qFormat/>
    <w:rsid w:val="00B61CDA"/>
    <w:rPr>
      <w:b/>
      <w:i/>
      <w:u w:val="none"/>
    </w:rPr>
  </w:style>
  <w:style w:type="paragraph" w:styleId="BalloonText">
    <w:name w:val="Balloon Text"/>
    <w:basedOn w:val="Normal"/>
    <w:link w:val="BalloonTextChar"/>
    <w:rsid w:val="00B61C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1C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1C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1C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1C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1C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1CDA"/>
    <w:pPr>
      <w:spacing w:before="0" w:after="0"/>
    </w:pPr>
  </w:style>
  <w:style w:type="paragraph" w:customStyle="1" w:styleId="BodyTextBold">
    <w:name w:val="Body Text Bold"/>
    <w:basedOn w:val="BodyText"/>
    <w:qFormat/>
    <w:rsid w:val="00B61CDA"/>
    <w:rPr>
      <w:b/>
    </w:rPr>
  </w:style>
  <w:style w:type="character" w:styleId="Hyperlink">
    <w:name w:val="Hyperlink"/>
    <w:basedOn w:val="DefaultParagraphFont"/>
    <w:uiPriority w:val="99"/>
    <w:unhideWhenUsed/>
    <w:rsid w:val="005737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3666</Characters>
  <Application>Microsoft Office Word</Application>
  <DocSecurity>0</DocSecurity>
  <Lines>114</Lines>
  <Paragraphs>75</Paragraphs>
  <ScaleCrop>false</ScaleCrop>
  <Company>Author-it Software Corporation Ltd.</Company>
  <LinksUpToDate>false</LinksUpToDate>
  <CharactersWithSpaces>4173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SITHGAM025 Conduct Keno games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2023-03-02T05:33:00Z</dcterms:created>
  <dcterms:modified xsi:type="dcterms:W3CDTF">2023-03-02T05:33:00Z</dcterms:modified>
</cp:coreProperties>
</file>