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9F0" w:rsidP="006159F0">
      <w:pPr>
        <w:pStyle w:val="Title"/>
      </w:pPr>
      <w:r>
        <w:fldChar w:fldCharType="begin"/>
      </w:r>
      <w:r>
        <w:instrText xml:space="preserve"> TITLE   \* MERGEFORMAT </w:instrText>
      </w:r>
      <w:r>
        <w:fldChar w:fldCharType="separate"/>
      </w:r>
      <w:r>
        <w:t>SITHGAM022 Provide responsible gambling services</w:t>
      </w:r>
      <w:r>
        <w:fldChar w:fldCharType="end"/>
      </w:r>
    </w:p>
    <w:p w:rsidR="006159F0" w:rsidP="006159F0">
      <w:pPr>
        <w:pStyle w:val="Version"/>
        <w:sectPr w:rsidSect="00D32B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B3E" w:rsidP="00D32B3E">
      <w:pPr>
        <w:pStyle w:val="SuperHeading"/>
      </w:pPr>
      <w:r w:rsidRPr="00D32B3E">
        <w:t>SITHGAM022 Provide responsible gambling services</w:t>
      </w:r>
    </w:p>
    <w:p w:rsidR="00000000" w:rsidRPr="00D32B3E" w:rsidP="00D32B3E">
      <w:pPr>
        <w:pStyle w:val="Heading1"/>
      </w:pPr>
      <w:bookmarkStart w:id="1" w:name="O_1229614"/>
      <w:bookmarkEnd w:id="1"/>
      <w:r w:rsidRPr="00D32B3E">
        <w:t>Modification History</w:t>
      </w:r>
    </w:p>
    <w:p w:rsidR="00000000" w:rsidRPr="00D32B3E" w:rsidP="006159F0">
      <w:pPr>
        <w:pStyle w:val="BodyText"/>
      </w:pPr>
      <w:r w:rsidRPr="00D32B3E">
        <w:t>Not applicable.</w:t>
      </w:r>
    </w:p>
    <w:p w:rsidR="00000000" w:rsidRPr="00D32B3E" w:rsidP="00D32B3E">
      <w:pPr>
        <w:pStyle w:val="Heading1"/>
      </w:pPr>
      <w:bookmarkStart w:id="2" w:name="O_1229622"/>
      <w:bookmarkEnd w:id="2"/>
      <w:r w:rsidRPr="00D32B3E">
        <w:t>Application</w:t>
      </w:r>
    </w:p>
    <w:p w:rsidR="00000000" w:rsidRPr="00D32B3E" w:rsidP="006159F0">
      <w:pPr>
        <w:pStyle w:val="BodyText"/>
      </w:pPr>
      <w:r w:rsidRPr="00D32B3E">
        <w:t>This unit describes the performance outcomes, skills and knowledge required to provide responsible gambling services, and to assist those customers who may be at risk of or are al</w:t>
      </w:r>
      <w:r w:rsidRPr="00D32B3E">
        <w:t>ready experiencing harm from gambling.</w:t>
      </w:r>
    </w:p>
    <w:p w:rsidR="00000000" w:rsidRPr="00D32B3E" w:rsidP="006159F0">
      <w:pPr>
        <w:pStyle w:val="BodyText"/>
      </w:pPr>
      <w:r w:rsidRPr="00D32B3E">
        <w:t>Responsible gambling services must be provided wherever gambling activities are undertaken. In the hospitality industry, the gambling environment is usually referred to as the gaming area and is provided in a range of</w:t>
      </w:r>
      <w:r w:rsidRPr="00D32B3E">
        <w:t xml:space="preserve"> venues, such as hotels, motels, clubs, pubs and casinos.</w:t>
      </w:r>
    </w:p>
    <w:p w:rsidR="00000000" w:rsidRPr="00D32B3E" w:rsidP="006159F0">
      <w:pPr>
        <w:pStyle w:val="BodyText"/>
      </w:pPr>
      <w:r w:rsidRPr="00D32B3E">
        <w:t xml:space="preserve">The major forms of gambling are wagering (racing and sport) and gaming (gaming machines, table games, Keno and lotteries). Both forms of gambling are relevant to the hospitality industry. </w:t>
      </w:r>
    </w:p>
    <w:p w:rsidR="00000000" w:rsidRPr="00D32B3E" w:rsidP="006159F0">
      <w:pPr>
        <w:pStyle w:val="BodyText"/>
      </w:pPr>
      <w:r w:rsidRPr="00D32B3E">
        <w:t>Hospitali</w:t>
      </w:r>
      <w:r w:rsidRPr="00D32B3E">
        <w:t>ty venues may operate Totalisator Agency Board (TAB) outlets for wagering on racing and sport events. They may also cover the full range of gaming activities, including operating gaming machines, table games, Keno and lotteries.</w:t>
      </w:r>
    </w:p>
    <w:p w:rsidR="00000000" w:rsidRPr="00D32B3E" w:rsidP="006159F0">
      <w:pPr>
        <w:pStyle w:val="BodyText"/>
      </w:pPr>
      <w:r w:rsidRPr="00D32B3E">
        <w:t>Responsible provision of ga</w:t>
      </w:r>
      <w:r w:rsidRPr="00D32B3E">
        <w:t>mbling services is an essential underpinning skill for all hospitality personnel involved in the sale and service of gambling activities in licensed premises, including the licensee, gaming supervisors and gaming managers when involved in operational gambl</w:t>
      </w:r>
      <w:r w:rsidRPr="00D32B3E">
        <w:t>ing activities.</w:t>
      </w:r>
    </w:p>
    <w:p w:rsidR="00000000" w:rsidRPr="00D32B3E" w:rsidP="006159F0">
      <w:pPr>
        <w:pStyle w:val="BodyText"/>
      </w:pPr>
      <w:r w:rsidRPr="00D32B3E">
        <w:t>The unit applies equally to frontline operational gambling personnel who operate with a limited level of autonomy and under some supervision and guidance from others. They would operate within predefined organisational procedures, and regul</w:t>
      </w:r>
      <w:r w:rsidRPr="00D32B3E">
        <w:t>atory authority and industry and organisational codes of conduct.</w:t>
      </w:r>
    </w:p>
    <w:p w:rsidR="00000000" w:rsidRPr="00D32B3E" w:rsidP="006159F0">
      <w:pPr>
        <w:pStyle w:val="BodyText"/>
      </w:pPr>
      <w:r w:rsidRPr="00D32B3E">
        <w:t>Those developing training to support this unit must consult the relevant state and territory gaming licensing authority to determine accreditation arrangements for courses, trainers and asse</w:t>
      </w:r>
      <w:r w:rsidRPr="00D32B3E">
        <w:t>ssors.</w:t>
      </w:r>
    </w:p>
    <w:p w:rsidR="00000000" w:rsidRPr="00D32B3E" w:rsidP="006159F0">
      <w:pPr>
        <w:pStyle w:val="BodyText"/>
      </w:pPr>
      <w:r w:rsidRPr="00D32B3E">
        <w:t>The unit also relates to satisfying the requirements for providing responsible gambling services under state and territory legislation. The terms used to describe this vary across state and territory regulatory bodies and can include Responsible Con</w:t>
      </w:r>
      <w:r w:rsidRPr="00D32B3E">
        <w:t>duct of Gambling (RCG), Responsible Service of Gaming, or Responsible Service of Gambling (RSG).</w:t>
      </w:r>
    </w:p>
    <w:p w:rsidR="00000000" w:rsidRPr="00D32B3E" w:rsidP="006159F0">
      <w:pPr>
        <w:pStyle w:val="BodyText"/>
      </w:pPr>
      <w:r w:rsidRPr="00D32B3E">
        <w:t>Under differing state and territory legislation this is a required certification unit for certain nominated personnel operating in licensed gambling premises.</w:t>
      </w:r>
    </w:p>
    <w:p w:rsidR="00000000" w:rsidRPr="00D32B3E" w:rsidP="00D32B3E">
      <w:pPr>
        <w:pStyle w:val="Heading1"/>
      </w:pPr>
      <w:bookmarkStart w:id="3" w:name="O_1229621"/>
      <w:bookmarkEnd w:id="3"/>
      <w:r w:rsidRPr="00D32B3E">
        <w:t>Pre-requisite Unit</w:t>
      </w:r>
    </w:p>
    <w:p w:rsidR="00000000" w:rsidRPr="00D32B3E" w:rsidP="006159F0">
      <w:pPr>
        <w:pStyle w:val="BodyText"/>
      </w:pPr>
      <w:r w:rsidRPr="00D32B3E">
        <w:t>Nil</w:t>
      </w:r>
    </w:p>
    <w:p w:rsidR="00000000" w:rsidRPr="00D32B3E" w:rsidP="00D32B3E">
      <w:pPr>
        <w:pStyle w:val="Heading1"/>
      </w:pPr>
      <w:bookmarkStart w:id="4" w:name="O_1229620"/>
      <w:bookmarkEnd w:id="4"/>
      <w:r w:rsidRPr="00D32B3E">
        <w:t>Competency Field</w:t>
      </w:r>
    </w:p>
    <w:p w:rsidR="00000000" w:rsidRPr="00D32B3E" w:rsidP="006159F0">
      <w:pPr>
        <w:pStyle w:val="BodyText"/>
      </w:pPr>
      <w:r w:rsidRPr="00D32B3E">
        <w:t xml:space="preserve">Gaming </w:t>
      </w:r>
    </w:p>
    <w:p w:rsidR="00000000" w:rsidRPr="00D32B3E" w:rsidP="00D32B3E">
      <w:pPr>
        <w:pStyle w:val="Heading1"/>
      </w:pPr>
      <w:bookmarkStart w:id="5" w:name="O_1229619"/>
      <w:bookmarkEnd w:id="5"/>
      <w:r w:rsidRPr="00D32B3E">
        <w:t>Unit Sector</w:t>
      </w:r>
    </w:p>
    <w:p w:rsidR="00000000" w:rsidRPr="00D32B3E" w:rsidP="006159F0">
      <w:pPr>
        <w:pStyle w:val="BodyText"/>
      </w:pPr>
      <w:r w:rsidRPr="00D32B3E">
        <w:t>Hospitality</w:t>
      </w:r>
    </w:p>
    <w:p w:rsidR="00000000" w:rsidRPr="00D32B3E" w:rsidP="00D32B3E">
      <w:pPr>
        <w:pStyle w:val="Heading1"/>
      </w:pPr>
      <w:bookmarkStart w:id="6" w:name="O_1229618"/>
      <w:bookmarkEnd w:id="6"/>
      <w:r w:rsidRPr="00D32B3E">
        <w:t>Elements and Performance Criteria</w:t>
      </w:r>
    </w:p>
    <w:tbl>
      <w:tblPr>
        <w:tblW w:w="0" w:type="auto"/>
        <w:tblLayout w:type="fixed"/>
        <w:tblCellMar>
          <w:left w:w="62" w:type="dxa"/>
          <w:right w:w="62" w:type="dxa"/>
        </w:tblCellMar>
        <w:tblLook w:val="0000"/>
      </w:tblPr>
      <w:tblGrid>
        <w:gridCol w:w="2694"/>
        <w:gridCol w:w="6350"/>
      </w:tblGrid>
      <w:tr w:rsidTr="00D32B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vAlign w:val="center"/>
          </w:tcPr>
          <w:p w:rsidR="00000000" w:rsidRPr="00D32B3E" w:rsidP="00D32B3E">
            <w:pPr>
              <w:pStyle w:val="BodyText"/>
            </w:pPr>
            <w:r w:rsidRPr="00D32B3E">
              <w:rPr>
                <w:rStyle w:val="SpecialBold"/>
              </w:rPr>
              <w:t>ELEMENTS</w:t>
            </w:r>
          </w:p>
        </w:tc>
        <w:tc>
          <w:tcPr>
            <w:tcW w:w="6350" w:type="dxa"/>
            <w:tcBorders>
              <w:top w:val="nil"/>
              <w:left w:val="nil"/>
              <w:bottom w:val="nil"/>
              <w:right w:val="nil"/>
            </w:tcBorders>
            <w:tcMar>
              <w:top w:w="0" w:type="dxa"/>
              <w:left w:w="62" w:type="dxa"/>
              <w:bottom w:w="0" w:type="dxa"/>
              <w:right w:w="62" w:type="dxa"/>
            </w:tcMar>
            <w:vAlign w:val="center"/>
          </w:tcPr>
          <w:p w:rsidR="00000000" w:rsidP="00D32B3E">
            <w:pPr>
              <w:pStyle w:val="BodyText"/>
              <w:rPr>
                <w:lang w:val="en-NZ"/>
              </w:rPr>
            </w:pPr>
            <w:r w:rsidRPr="00D32B3E">
              <w:rPr>
                <w:rStyle w:val="SpecialBold"/>
              </w:rPr>
              <w:t>PERFORMANCE</w:t>
            </w:r>
            <w:r w:rsidRPr="00D32B3E">
              <w:t xml:space="preserve"> </w:t>
            </w:r>
            <w:r w:rsidRPr="00D32B3E">
              <w:rPr>
                <w:rStyle w:val="SpecialBold"/>
              </w:rPr>
              <w:t>CRITERIA</w:t>
            </w:r>
          </w:p>
        </w:tc>
      </w:tr>
      <w:tr w:rsidTr="00D32B3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32B3E" w:rsidP="00D32B3E">
            <w:pPr>
              <w:pStyle w:val="BodyText"/>
            </w:pPr>
            <w:r w:rsidRPr="00D32B3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32B3E">
            <w:pPr>
              <w:pStyle w:val="BodyText"/>
              <w:rPr>
                <w:lang w:val="en-NZ"/>
              </w:rPr>
            </w:pPr>
            <w:r w:rsidRPr="00D32B3E">
              <w:rPr>
                <w:rStyle w:val="Emphasis"/>
              </w:rPr>
              <w:t>Performance criteria describe the performance needed to demonstrate achievement of the element.</w:t>
            </w:r>
          </w:p>
        </w:tc>
      </w:tr>
      <w:tr w:rsidTr="00D32B3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32B3E">
            <w:pPr>
              <w:pStyle w:val="List"/>
              <w:rPr>
                <w:lang w:val="en-NZ"/>
              </w:rPr>
            </w:pPr>
            <w:r w:rsidRPr="00D32B3E">
              <w:t>1.  Implement responsible gambling practices.</w:t>
            </w:r>
          </w:p>
        </w:tc>
        <w:tc>
          <w:tcPr>
            <w:tcW w:w="6350" w:type="dxa"/>
            <w:tcBorders>
              <w:top w:val="nil"/>
              <w:left w:val="nil"/>
              <w:bottom w:val="nil"/>
              <w:right w:val="nil"/>
            </w:tcBorders>
            <w:tcMar>
              <w:top w:w="0" w:type="dxa"/>
              <w:left w:w="62" w:type="dxa"/>
              <w:bottom w:w="0" w:type="dxa"/>
              <w:right w:w="62" w:type="dxa"/>
            </w:tcMar>
          </w:tcPr>
          <w:p w:rsidR="00000000" w:rsidRPr="00D32B3E" w:rsidP="00D32B3E">
            <w:pPr>
              <w:pStyle w:val="List"/>
            </w:pPr>
            <w:r w:rsidRPr="00D32B3E">
              <w:t>1.1. Follow responsible gambling service procedures according to relevant state and territory legislation and ind</w:t>
            </w:r>
            <w:r w:rsidRPr="00D32B3E">
              <w:t>ustry and organisational policy and codes of conduct.</w:t>
            </w:r>
          </w:p>
          <w:p w:rsidR="00000000" w:rsidRPr="00D32B3E" w:rsidP="00D32B3E">
            <w:pPr>
              <w:pStyle w:val="List"/>
            </w:pPr>
            <w:r w:rsidRPr="00D32B3E">
              <w:t>1.2. Communicate with appropriate personnel on gambling related incidents, situations and their compliance with legislation and industry and organisational policy.</w:t>
            </w:r>
          </w:p>
          <w:p w:rsidR="00000000" w:rsidRPr="00D32B3E" w:rsidP="00D32B3E">
            <w:pPr>
              <w:pStyle w:val="List"/>
            </w:pPr>
            <w:r w:rsidRPr="00D32B3E">
              <w:t>1.3. Maintain accurate records of gamb</w:t>
            </w:r>
            <w:r w:rsidRPr="00D32B3E">
              <w:t>ling related incidents and associated staff action according to industry and organisational policies and procedures.</w:t>
            </w:r>
          </w:p>
          <w:p w:rsidR="00000000" w:rsidP="00D32B3E">
            <w:pPr>
              <w:pStyle w:val="List"/>
              <w:rPr>
                <w:lang w:val="en-NZ"/>
              </w:rPr>
            </w:pPr>
            <w:r w:rsidRPr="00D32B3E">
              <w:t>1.4. Ensure gambling environmental features support responsible gambling policies within scope of own responsibility.</w:t>
            </w:r>
          </w:p>
        </w:tc>
      </w:tr>
      <w:tr w:rsidTr="00D32B3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32B3E">
            <w:pPr>
              <w:pStyle w:val="List"/>
              <w:rPr>
                <w:lang w:val="en-NZ"/>
              </w:rPr>
            </w:pPr>
            <w:r w:rsidRPr="00D32B3E">
              <w:t>2.  Provide informat</w:t>
            </w:r>
            <w:r w:rsidRPr="00D32B3E">
              <w:t>ion and assistance to customers about gambling harm and harm minimisation.</w:t>
            </w:r>
          </w:p>
        </w:tc>
        <w:tc>
          <w:tcPr>
            <w:tcW w:w="6350" w:type="dxa"/>
            <w:tcBorders>
              <w:top w:val="nil"/>
              <w:left w:val="nil"/>
              <w:bottom w:val="nil"/>
              <w:right w:val="nil"/>
            </w:tcBorders>
            <w:tcMar>
              <w:top w:w="0" w:type="dxa"/>
              <w:left w:w="62" w:type="dxa"/>
              <w:bottom w:w="0" w:type="dxa"/>
              <w:right w:w="62" w:type="dxa"/>
            </w:tcMar>
          </w:tcPr>
          <w:p w:rsidR="00000000" w:rsidRPr="00D32B3E" w:rsidP="00D32B3E">
            <w:pPr>
              <w:pStyle w:val="List"/>
            </w:pPr>
            <w:r w:rsidRPr="00D32B3E">
              <w:t>2.1. Provide accurate and appropriate information on impacts of harm from gambling and gambling harm minimisation and reduction.</w:t>
            </w:r>
          </w:p>
          <w:p w:rsidR="00000000" w:rsidRPr="00D32B3E" w:rsidP="00D32B3E">
            <w:pPr>
              <w:pStyle w:val="List"/>
            </w:pPr>
            <w:r w:rsidRPr="00D32B3E">
              <w:t>2.2. Follow procedures for self exclusion and exclusion according to legislation, industry and organisational policy, and confidentiality and privacy requirements.</w:t>
            </w:r>
          </w:p>
          <w:p w:rsidR="00000000" w:rsidRPr="00D32B3E" w:rsidP="00D32B3E">
            <w:pPr>
              <w:pStyle w:val="List"/>
            </w:pPr>
            <w:r w:rsidRPr="00D32B3E">
              <w:t>2.3. Display signage and information related to responsible gambling in appropriate places v</w:t>
            </w:r>
            <w:r w:rsidRPr="00D32B3E">
              <w:t>isible to players, according to legislative, industry and organisational requirements.</w:t>
            </w:r>
          </w:p>
          <w:p w:rsidR="00000000" w:rsidRPr="00D32B3E" w:rsidP="00D32B3E">
            <w:pPr>
              <w:pStyle w:val="List"/>
            </w:pPr>
            <w:r w:rsidRPr="00D32B3E">
              <w:t>2.4. On request, provide information on available support services according to confidentiality and privacy requirements, and legislative, industry and organisational re</w:t>
            </w:r>
            <w:r w:rsidRPr="00D32B3E">
              <w:t>quirements.</w:t>
            </w:r>
          </w:p>
        </w:tc>
      </w:tr>
    </w:tbl>
    <w:p w:rsidR="00000000" w:rsidRPr="00D32B3E" w:rsidP="00D32B3E">
      <w:pPr>
        <w:pStyle w:val="BodyText"/>
      </w:pPr>
    </w:p>
    <w:p w:rsidR="00000000" w:rsidRPr="00D32B3E" w:rsidP="00D32B3E">
      <w:pPr>
        <w:pStyle w:val="AllowPageBreak"/>
      </w:pPr>
    </w:p>
    <w:p w:rsidR="00000000" w:rsidRPr="00D32B3E" w:rsidP="00D32B3E">
      <w:pPr>
        <w:pStyle w:val="Heading1"/>
      </w:pPr>
      <w:bookmarkStart w:id="7" w:name="O_1229617"/>
      <w:bookmarkEnd w:id="7"/>
      <w:r w:rsidRPr="00D32B3E">
        <w:t>Foundation Skills</w:t>
      </w:r>
    </w:p>
    <w:tbl>
      <w:tblPr>
        <w:tblW w:w="0" w:type="auto"/>
        <w:tblLayout w:type="fixed"/>
        <w:tblCellMar>
          <w:left w:w="62" w:type="dxa"/>
          <w:right w:w="62" w:type="dxa"/>
        </w:tblCellMar>
        <w:tblLook w:val="0000"/>
      </w:tblPr>
      <w:tblGrid>
        <w:gridCol w:w="2694"/>
        <w:gridCol w:w="6350"/>
      </w:tblGrid>
      <w:tr w:rsidTr="00D32B3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32B3E">
            <w:pPr>
              <w:pStyle w:val="BodyText"/>
              <w:rPr>
                <w:lang w:val="en-NZ"/>
              </w:rPr>
            </w:pPr>
            <w:r w:rsidRPr="00D32B3E">
              <w:rPr>
                <w:rStyle w:val="Emphasis"/>
              </w:rPr>
              <w:t>Foundation skills essential to performance in this unit, but not explicit in the performance criteria are listed here, along with a brief context statement.</w:t>
            </w:r>
          </w:p>
        </w:tc>
      </w:tr>
      <w:tr w:rsidTr="00D32B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32B3E" w:rsidP="00D32B3E">
            <w:pPr>
              <w:pStyle w:val="BodyText"/>
            </w:pPr>
            <w:r w:rsidRPr="00D32B3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32B3E">
            <w:pPr>
              <w:pStyle w:val="BodyText"/>
              <w:rPr>
                <w:lang w:val="en-NZ"/>
              </w:rPr>
            </w:pPr>
            <w:r w:rsidRPr="00D32B3E">
              <w:rPr>
                <w:rStyle w:val="SpecialBold"/>
              </w:rPr>
              <w:t>DESCRIPTION</w:t>
            </w:r>
          </w:p>
        </w:tc>
      </w:tr>
      <w:tr w:rsidTr="00D32B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2B3E">
            <w:pPr>
              <w:pStyle w:val="BodyText"/>
              <w:rPr>
                <w:lang w:val="en-NZ"/>
              </w:rPr>
            </w:pPr>
            <w:r w:rsidRPr="00D32B3E">
              <w:t>Reading skills to:</w:t>
            </w:r>
          </w:p>
        </w:tc>
        <w:tc>
          <w:tcPr>
            <w:tcW w:w="6350" w:type="dxa"/>
            <w:tcBorders>
              <w:top w:val="nil"/>
              <w:left w:val="nil"/>
              <w:bottom w:val="nil"/>
              <w:right w:val="nil"/>
            </w:tcBorders>
            <w:tcMar>
              <w:top w:w="0" w:type="dxa"/>
              <w:left w:w="62" w:type="dxa"/>
              <w:bottom w:w="0" w:type="dxa"/>
              <w:right w:w="62" w:type="dxa"/>
            </w:tcMar>
          </w:tcPr>
          <w:p w:rsidR="00000000" w:rsidRPr="00D32B3E" w:rsidP="00D32B3E">
            <w:pPr>
              <w:pStyle w:val="ListBullet"/>
            </w:pPr>
            <w:r w:rsidRPr="00D32B3E">
              <w:t>read and interpret at times complex information relating to:</w:t>
            </w:r>
          </w:p>
          <w:p w:rsidR="00000000" w:rsidRPr="00D32B3E" w:rsidP="00D32B3E">
            <w:pPr>
              <w:pStyle w:val="ListBullet2"/>
            </w:pPr>
            <w:r w:rsidRPr="00D32B3E">
              <w:t>industry or regulatory codes of conduct relating to responsible gambling</w:t>
            </w:r>
          </w:p>
          <w:p w:rsidR="00000000" w:rsidRPr="00D32B3E" w:rsidP="00D32B3E">
            <w:pPr>
              <w:pStyle w:val="ListBullet2"/>
            </w:pPr>
            <w:r w:rsidRPr="00D32B3E">
              <w:t>in-house policies and procedures relating to responsible gambling</w:t>
            </w:r>
          </w:p>
          <w:p w:rsidR="00000000" w:rsidP="00D32B3E">
            <w:pPr>
              <w:pStyle w:val="ListBullet2"/>
              <w:rPr>
                <w:lang w:val="en-NZ"/>
              </w:rPr>
            </w:pPr>
            <w:r w:rsidRPr="00D32B3E">
              <w:t>plain English regulatory and advisory information issue</w:t>
            </w:r>
            <w:r w:rsidRPr="00D32B3E">
              <w:t>d by local, state and territory gambling licensing authorities.</w:t>
            </w:r>
          </w:p>
        </w:tc>
      </w:tr>
      <w:tr w:rsidTr="00D32B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2B3E">
            <w:pPr>
              <w:pStyle w:val="BodyText"/>
              <w:rPr>
                <w:lang w:val="en-NZ"/>
              </w:rPr>
            </w:pPr>
            <w:r w:rsidRPr="00D32B3E">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D32B3E">
            <w:pPr>
              <w:pStyle w:val="ListBullet"/>
              <w:rPr>
                <w:lang w:val="en-NZ"/>
              </w:rPr>
            </w:pPr>
            <w:r w:rsidRPr="00D32B3E">
              <w:t>deal courteously and discreetly with customers at risk of harm from gambling or requesting self-exclusion, using non-confrontational language.</w:t>
            </w:r>
          </w:p>
        </w:tc>
      </w:tr>
      <w:tr w:rsidTr="00D32B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2B3E">
            <w:pPr>
              <w:pStyle w:val="BodyText"/>
              <w:rPr>
                <w:lang w:val="en-NZ"/>
              </w:rPr>
            </w:pPr>
            <w:r w:rsidRPr="00D32B3E">
              <w:t>Problem-so</w:t>
            </w:r>
            <w:r w:rsidRPr="00D32B3E">
              <w:t>lving skills to:</w:t>
            </w:r>
          </w:p>
        </w:tc>
        <w:tc>
          <w:tcPr>
            <w:tcW w:w="6350" w:type="dxa"/>
            <w:tcBorders>
              <w:top w:val="nil"/>
              <w:left w:val="nil"/>
              <w:bottom w:val="nil"/>
              <w:right w:val="nil"/>
            </w:tcBorders>
            <w:tcMar>
              <w:top w:w="0" w:type="dxa"/>
              <w:left w:w="62" w:type="dxa"/>
              <w:bottom w:w="0" w:type="dxa"/>
              <w:right w:w="62" w:type="dxa"/>
            </w:tcMar>
          </w:tcPr>
          <w:p w:rsidR="00000000" w:rsidP="00D32B3E">
            <w:pPr>
              <w:pStyle w:val="ListBullet"/>
              <w:rPr>
                <w:lang w:val="en-NZ"/>
              </w:rPr>
            </w:pPr>
            <w:r w:rsidRPr="00D32B3E">
              <w:t>apply appropriate solutions within scope of responsibility, or seek assistance from appropriate colleagues.</w:t>
            </w:r>
          </w:p>
        </w:tc>
      </w:tr>
      <w:tr w:rsidTr="00D32B3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32B3E">
            <w:pPr>
              <w:pStyle w:val="BodyText"/>
              <w:rPr>
                <w:lang w:val="en-NZ"/>
              </w:rPr>
            </w:pPr>
            <w:r w:rsidRPr="00D32B3E">
              <w:t>Technology skills to:</w:t>
            </w:r>
          </w:p>
        </w:tc>
        <w:tc>
          <w:tcPr>
            <w:tcW w:w="6350" w:type="dxa"/>
            <w:tcBorders>
              <w:top w:val="nil"/>
              <w:left w:val="nil"/>
              <w:bottom w:val="nil"/>
              <w:right w:val="nil"/>
            </w:tcBorders>
            <w:tcMar>
              <w:top w:w="0" w:type="dxa"/>
              <w:left w:w="62" w:type="dxa"/>
              <w:bottom w:w="0" w:type="dxa"/>
              <w:right w:w="62" w:type="dxa"/>
            </w:tcMar>
          </w:tcPr>
          <w:p w:rsidR="00000000" w:rsidRPr="00D32B3E" w:rsidP="00D32B3E">
            <w:pPr>
              <w:pStyle w:val="ListBullet"/>
            </w:pPr>
            <w:r w:rsidRPr="00D32B3E">
              <w:t>use a computer and appropriate software to record gambling-related incidents and staff actions.</w:t>
            </w:r>
          </w:p>
        </w:tc>
      </w:tr>
    </w:tbl>
    <w:p w:rsidR="00000000" w:rsidRPr="00D32B3E" w:rsidP="00D32B3E">
      <w:pPr>
        <w:pStyle w:val="BodyText"/>
      </w:pPr>
    </w:p>
    <w:p w:rsidR="00000000" w:rsidRPr="00D32B3E" w:rsidP="00D32B3E">
      <w:pPr>
        <w:pStyle w:val="AllowPageBreak"/>
      </w:pPr>
    </w:p>
    <w:p w:rsidR="00000000" w:rsidRPr="00D32B3E" w:rsidP="00D32B3E">
      <w:pPr>
        <w:pStyle w:val="Heading1"/>
      </w:pPr>
      <w:bookmarkStart w:id="8" w:name="O_1229615"/>
      <w:bookmarkEnd w:id="8"/>
      <w:r w:rsidRPr="00D32B3E">
        <w:t>Unit Mapping Information</w:t>
      </w:r>
    </w:p>
    <w:p w:rsidR="00000000" w:rsidRPr="00D32B3E" w:rsidP="006159F0">
      <w:pPr>
        <w:pStyle w:val="BodyText"/>
      </w:pPr>
      <w:r w:rsidRPr="00D32B3E">
        <w:t>Supersedes and is equivalent to SITHGAM001 Provide responsible gambling services.</w:t>
      </w:r>
    </w:p>
    <w:p w:rsidR="00000000" w:rsidRPr="00D32B3E" w:rsidP="00D32B3E">
      <w:pPr>
        <w:pStyle w:val="Heading1"/>
      </w:pPr>
      <w:bookmarkStart w:id="9" w:name="O_1229608"/>
      <w:bookmarkEnd w:id="9"/>
      <w:r w:rsidRPr="00D32B3E">
        <w:t>Links</w:t>
      </w:r>
    </w:p>
    <w:p w:rsidR="00000000" w:rsidRPr="00D32B3E" w:rsidP="006159F0">
      <w:pPr>
        <w:pStyle w:val="BodyText"/>
      </w:pPr>
      <w:r w:rsidRPr="00D32B3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5330E">
        <w:rPr>
          <w:rStyle w:val="Hyperlink"/>
        </w:rPr>
        <w:t>https://vetnet.gov.au/Pages/TrainingDocs.aspx?q=68c40a93-e51d-4e0f-bc06-899dff092694</w:t>
      </w:r>
      <w:r>
        <w:fldChar w:fldCharType="end"/>
      </w:r>
    </w:p>
    <w:p w:rsidR="00000000" w:rsidRPr="00D32B3E" w:rsidP="00D32B3E"/>
    <w:sectPr w:rsidSect="00D32B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3E" w:rsidRPr="006159F0" w:rsidP="006159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F0" w:rsidP="00D32B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59F0" w:rsidP="00D32B3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159F0" w:rsidP="00D32B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2B3E" w:rsidRPr="006159F0" w:rsidP="006159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9F0" w:rsidRPr="002D2AF8" w:rsidP="00D32B3E">
    <w:pPr>
      <w:pStyle w:val="Header"/>
      <w:framePr w:wrap="around"/>
    </w:pPr>
    <w:r>
      <w:fldChar w:fldCharType="begin"/>
    </w:r>
    <w:r>
      <w:instrText xml:space="preserve"> TITLE   \* MERGEFORMAT </w:instrText>
    </w:r>
    <w:r>
      <w:fldChar w:fldCharType="separate"/>
    </w:r>
    <w:r>
      <w:t>SITHGAM022 Provide responsible gambling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6159F0" w:rsidP="00D32B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2E7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328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A84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B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B3E"/>
    <w:pPr>
      <w:spacing w:before="360" w:after="60"/>
      <w:outlineLvl w:val="0"/>
    </w:pPr>
    <w:rPr>
      <w:sz w:val="32"/>
    </w:rPr>
  </w:style>
  <w:style w:type="paragraph" w:styleId="Heading2">
    <w:name w:val="heading 2"/>
    <w:basedOn w:val="HeadingBase"/>
    <w:next w:val="BodyText"/>
    <w:link w:val="Heading2Char"/>
    <w:qFormat/>
    <w:rsid w:val="00D32B3E"/>
    <w:pPr>
      <w:keepLines/>
      <w:spacing w:before="240" w:after="120"/>
      <w:outlineLvl w:val="1"/>
    </w:pPr>
    <w:rPr>
      <w:sz w:val="28"/>
      <w:szCs w:val="40"/>
    </w:rPr>
  </w:style>
  <w:style w:type="paragraph" w:styleId="Heading3">
    <w:name w:val="heading 3"/>
    <w:basedOn w:val="HeadingBase"/>
    <w:next w:val="BodyText"/>
    <w:link w:val="Heading3Char"/>
    <w:qFormat/>
    <w:rsid w:val="00D32B3E"/>
    <w:pPr>
      <w:spacing w:before="180" w:after="120"/>
      <w:outlineLvl w:val="2"/>
    </w:pPr>
    <w:rPr>
      <w:spacing w:val="-10"/>
      <w:kern w:val="32"/>
    </w:rPr>
  </w:style>
  <w:style w:type="paragraph" w:styleId="Heading4">
    <w:name w:val="heading 4"/>
    <w:basedOn w:val="HeadingBase"/>
    <w:next w:val="BodyText"/>
    <w:link w:val="Heading4Char"/>
    <w:qFormat/>
    <w:rsid w:val="00D32B3E"/>
    <w:pPr>
      <w:spacing w:before="160" w:after="120"/>
      <w:outlineLvl w:val="3"/>
    </w:pPr>
    <w:rPr>
      <w:sz w:val="22"/>
    </w:rPr>
  </w:style>
  <w:style w:type="paragraph" w:styleId="Heading5">
    <w:name w:val="heading 5"/>
    <w:basedOn w:val="HeadingBase"/>
    <w:next w:val="Normal"/>
    <w:link w:val="Heading5Char"/>
    <w:qFormat/>
    <w:rsid w:val="00D32B3E"/>
    <w:pPr>
      <w:spacing w:before="80"/>
      <w:outlineLvl w:val="4"/>
    </w:pPr>
    <w:rPr>
      <w:color w:val="918585"/>
      <w:sz w:val="20"/>
    </w:rPr>
  </w:style>
  <w:style w:type="paragraph" w:styleId="Heading6">
    <w:name w:val="heading 6"/>
    <w:basedOn w:val="HeadingBase"/>
    <w:next w:val="Normal"/>
    <w:link w:val="Heading6Char"/>
    <w:qFormat/>
    <w:rsid w:val="00D32B3E"/>
    <w:pPr>
      <w:spacing w:before="60"/>
      <w:outlineLvl w:val="5"/>
    </w:pPr>
    <w:rPr>
      <w:color w:val="918585"/>
      <w:sz w:val="20"/>
    </w:rPr>
  </w:style>
  <w:style w:type="paragraph" w:styleId="Heading7">
    <w:name w:val="heading 7"/>
    <w:basedOn w:val="Normal"/>
    <w:next w:val="Normal"/>
    <w:link w:val="Heading7Char"/>
    <w:qFormat/>
    <w:rsid w:val="00D32B3E"/>
    <w:pPr>
      <w:ind w:left="720"/>
      <w:outlineLvl w:val="6"/>
    </w:pPr>
    <w:rPr>
      <w:i/>
    </w:rPr>
  </w:style>
  <w:style w:type="paragraph" w:styleId="Heading8">
    <w:name w:val="heading 8"/>
    <w:basedOn w:val="Normal"/>
    <w:next w:val="Normal"/>
    <w:link w:val="Heading8Char"/>
    <w:qFormat/>
    <w:rsid w:val="00D32B3E"/>
    <w:pPr>
      <w:ind w:left="720"/>
      <w:outlineLvl w:val="7"/>
    </w:pPr>
    <w:rPr>
      <w:i/>
    </w:rPr>
  </w:style>
  <w:style w:type="paragraph" w:styleId="Heading9">
    <w:name w:val="heading 9"/>
    <w:basedOn w:val="Normal"/>
    <w:next w:val="Normal"/>
    <w:link w:val="Heading9Char"/>
    <w:qFormat/>
    <w:rsid w:val="00D32B3E"/>
    <w:pPr>
      <w:ind w:left="720"/>
      <w:outlineLvl w:val="8"/>
    </w:pPr>
    <w:rPr>
      <w:i/>
    </w:rPr>
  </w:style>
  <w:style w:type="character" w:default="1" w:styleId="DefaultParagraphFont">
    <w:name w:val="Default Paragraph Font"/>
    <w:uiPriority w:val="1"/>
    <w:unhideWhenUsed/>
    <w:rsid w:val="00D32B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B3E"/>
  </w:style>
  <w:style w:type="character" w:customStyle="1" w:styleId="Heading1Char">
    <w:name w:val="Heading 1 Char"/>
    <w:basedOn w:val="DefaultParagraphFont"/>
    <w:link w:val="Heading1"/>
    <w:rsid w:val="00D32B3E"/>
    <w:rPr>
      <w:rFonts w:ascii="Times New Roman" w:eastAsia="Times New Roman" w:hAnsi="Times New Roman" w:cs="Times New Roman"/>
      <w:b/>
      <w:sz w:val="32"/>
      <w:szCs w:val="20"/>
      <w:lang w:eastAsia="en-US"/>
    </w:rPr>
  </w:style>
  <w:style w:type="paragraph" w:styleId="BodyText">
    <w:name w:val="Body Text"/>
    <w:basedOn w:val="Normal"/>
    <w:link w:val="BodyTextChar"/>
    <w:rsid w:val="00D32B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2B3E"/>
    <w:rPr>
      <w:rFonts w:ascii="Times New Roman" w:eastAsia="Times New Roman" w:hAnsi="Times New Roman" w:cs="Times New Roman"/>
      <w:sz w:val="24"/>
      <w:lang w:eastAsia="en-US"/>
    </w:rPr>
  </w:style>
  <w:style w:type="paragraph" w:styleId="List">
    <w:name w:val="List"/>
    <w:basedOn w:val="BodyText"/>
    <w:next w:val="BodyText"/>
    <w:rsid w:val="00D32B3E"/>
    <w:pPr>
      <w:tabs>
        <w:tab w:val="left" w:pos="340"/>
      </w:tabs>
      <w:spacing w:before="60" w:after="60"/>
      <w:ind w:left="340" w:hanging="340"/>
    </w:pPr>
  </w:style>
  <w:style w:type="paragraph" w:styleId="ListBullet">
    <w:name w:val="List Bullet"/>
    <w:basedOn w:val="List"/>
    <w:rsid w:val="00D32B3E"/>
    <w:pPr>
      <w:numPr>
        <w:numId w:val="12"/>
      </w:numPr>
      <w:tabs>
        <w:tab w:val="clear" w:pos="340"/>
      </w:tabs>
      <w:spacing w:before="40" w:after="40"/>
    </w:pPr>
  </w:style>
  <w:style w:type="character" w:customStyle="1" w:styleId="SpecialBold">
    <w:name w:val="Special Bold"/>
    <w:basedOn w:val="DefaultParagraphFont"/>
    <w:rsid w:val="00D32B3E"/>
    <w:rPr>
      <w:b/>
      <w:spacing w:val="0"/>
    </w:rPr>
  </w:style>
  <w:style w:type="paragraph" w:styleId="ListBullet2">
    <w:name w:val="List Bullet 2"/>
    <w:basedOn w:val="List2"/>
    <w:rsid w:val="00D32B3E"/>
    <w:pPr>
      <w:numPr>
        <w:numId w:val="13"/>
      </w:numPr>
      <w:tabs>
        <w:tab w:val="clear" w:pos="680"/>
      </w:tabs>
    </w:pPr>
  </w:style>
  <w:style w:type="character" w:styleId="Emphasis">
    <w:name w:val="Emphasis"/>
    <w:basedOn w:val="DefaultParagraphFont"/>
    <w:qFormat/>
    <w:rsid w:val="00D32B3E"/>
    <w:rPr>
      <w:i/>
    </w:rPr>
  </w:style>
  <w:style w:type="paragraph" w:customStyle="1" w:styleId="SuperHeading">
    <w:name w:val="SuperHeading"/>
    <w:basedOn w:val="Normal"/>
    <w:rsid w:val="00D32B3E"/>
    <w:pPr>
      <w:spacing w:before="240" w:after="120"/>
      <w:outlineLvl w:val="0"/>
    </w:pPr>
    <w:rPr>
      <w:rFonts w:ascii="Times New Roman" w:hAnsi="Times New Roman"/>
      <w:b/>
      <w:sz w:val="32"/>
    </w:rPr>
  </w:style>
  <w:style w:type="paragraph" w:customStyle="1" w:styleId="AllowPageBreak">
    <w:name w:val="AllowPageBreak"/>
    <w:rsid w:val="00D32B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2B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B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B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B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B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B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B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B3E"/>
    <w:rPr>
      <w:rFonts w:ascii="Courier New" w:eastAsia="Times New Roman" w:hAnsi="Courier New" w:cs="Times New Roman"/>
      <w:i/>
      <w:szCs w:val="20"/>
      <w:lang w:eastAsia="en-US"/>
    </w:rPr>
  </w:style>
  <w:style w:type="paragraph" w:customStyle="1" w:styleId="HeadingBase">
    <w:name w:val="Heading Base"/>
    <w:rsid w:val="00D32B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B3E"/>
    <w:pPr>
      <w:tabs>
        <w:tab w:val="right" w:leader="dot" w:pos="9072"/>
      </w:tabs>
      <w:ind w:left="567"/>
    </w:pPr>
    <w:rPr>
      <w:szCs w:val="22"/>
    </w:rPr>
  </w:style>
  <w:style w:type="paragraph" w:customStyle="1" w:styleId="TOCBase">
    <w:name w:val="TOC Base"/>
    <w:rsid w:val="00D32B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B3E"/>
    <w:pPr>
      <w:tabs>
        <w:tab w:val="right" w:leader="dot" w:pos="9072"/>
      </w:tabs>
      <w:spacing w:before="40" w:after="40"/>
      <w:ind w:left="284"/>
    </w:pPr>
    <w:rPr>
      <w:rFonts w:ascii="Times New Roman" w:hAnsi="Times New Roman"/>
    </w:rPr>
  </w:style>
  <w:style w:type="paragraph" w:styleId="TOC1">
    <w:name w:val="toc 1"/>
    <w:basedOn w:val="TOCBase"/>
    <w:next w:val="Normal"/>
    <w:rsid w:val="00D32B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2B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B3E"/>
    <w:rPr>
      <w:rFonts w:ascii="Times New Roman" w:eastAsia="Times New Roman" w:hAnsi="Times New Roman" w:cs="Times New Roman"/>
      <w:sz w:val="16"/>
      <w:lang w:eastAsia="en-US"/>
    </w:rPr>
  </w:style>
  <w:style w:type="paragraph" w:styleId="Title">
    <w:name w:val="Title"/>
    <w:basedOn w:val="HeadingBase"/>
    <w:link w:val="TitleChar"/>
    <w:qFormat/>
    <w:rsid w:val="00D32B3E"/>
    <w:pPr>
      <w:spacing w:before="5040"/>
      <w:jc w:val="center"/>
    </w:pPr>
    <w:rPr>
      <w:sz w:val="48"/>
      <w:szCs w:val="72"/>
      <w:lang w:val="en-US"/>
    </w:rPr>
  </w:style>
  <w:style w:type="character" w:customStyle="1" w:styleId="TitleChar">
    <w:name w:val="Title Char"/>
    <w:basedOn w:val="DefaultParagraphFont"/>
    <w:link w:val="Title"/>
    <w:rsid w:val="00D32B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B3E"/>
    <w:pPr>
      <w:tabs>
        <w:tab w:val="left" w:pos="3600"/>
        <w:tab w:val="left" w:pos="3958"/>
      </w:tabs>
    </w:pPr>
  </w:style>
  <w:style w:type="paragraph" w:customStyle="1" w:styleId="Note">
    <w:name w:val="Note"/>
    <w:basedOn w:val="BodyText"/>
    <w:rsid w:val="00D32B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B3E"/>
    <w:pPr>
      <w:framePr w:wrap="auto" w:hAnchor="text" w:y="6049"/>
    </w:pPr>
    <w:rPr>
      <w:color w:val="000000"/>
      <w:sz w:val="40"/>
    </w:rPr>
  </w:style>
  <w:style w:type="paragraph" w:customStyle="1" w:styleId="TOCTitle">
    <w:name w:val="TOCTitle"/>
    <w:basedOn w:val="Heading1"/>
    <w:rsid w:val="00D32B3E"/>
    <w:pPr>
      <w:spacing w:after="240"/>
      <w:jc w:val="center"/>
      <w:outlineLvl w:val="9"/>
    </w:pPr>
    <w:rPr>
      <w:caps/>
    </w:rPr>
  </w:style>
  <w:style w:type="paragraph" w:customStyle="1" w:styleId="Version">
    <w:name w:val="Version"/>
    <w:rsid w:val="00D32B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B3E"/>
    <w:pPr>
      <w:keepNext w:val="0"/>
      <w:tabs>
        <w:tab w:val="right" w:pos="4176"/>
      </w:tabs>
      <w:ind w:left="198" w:hanging="198"/>
    </w:pPr>
    <w:rPr>
      <w:rFonts w:ascii="Garamond" w:hAnsi="Garamond"/>
    </w:rPr>
  </w:style>
  <w:style w:type="paragraph" w:styleId="IndexHeading">
    <w:name w:val="index heading"/>
    <w:basedOn w:val="Normal"/>
    <w:next w:val="Index1"/>
    <w:semiHidden/>
    <w:rsid w:val="00D32B3E"/>
    <w:pPr>
      <w:spacing w:before="120" w:after="120"/>
    </w:pPr>
    <w:rPr>
      <w:rFonts w:ascii="Arial" w:hAnsi="Arial"/>
      <w:b/>
      <w:color w:val="918585"/>
      <w:sz w:val="24"/>
    </w:rPr>
  </w:style>
  <w:style w:type="paragraph" w:styleId="Header">
    <w:name w:val="header"/>
    <w:basedOn w:val="Normal"/>
    <w:link w:val="HeaderChar"/>
    <w:rsid w:val="00D32B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B3E"/>
    <w:rPr>
      <w:rFonts w:ascii="Times New Roman" w:eastAsia="Times New Roman" w:hAnsi="Times New Roman" w:cs="Times New Roman"/>
      <w:sz w:val="16"/>
      <w:szCs w:val="20"/>
      <w:lang w:val="en-GB" w:eastAsia="en-US"/>
    </w:rPr>
  </w:style>
  <w:style w:type="paragraph" w:customStyle="1" w:styleId="Chapter">
    <w:name w:val="Chapter"/>
    <w:basedOn w:val="Normal"/>
    <w:rsid w:val="00D32B3E"/>
    <w:pPr>
      <w:spacing w:before="240"/>
    </w:pPr>
    <w:rPr>
      <w:rFonts w:ascii="Times New Roman" w:hAnsi="Times New Roman"/>
      <w:smallCaps/>
      <w:spacing w:val="80"/>
      <w:sz w:val="28"/>
    </w:rPr>
  </w:style>
  <w:style w:type="paragraph" w:customStyle="1" w:styleId="InChapter">
    <w:name w:val="InChapter"/>
    <w:basedOn w:val="Heading3"/>
    <w:rsid w:val="00D32B3E"/>
    <w:pPr>
      <w:spacing w:after="240"/>
      <w:outlineLvl w:val="9"/>
    </w:pPr>
    <w:rPr>
      <w:noProof/>
    </w:rPr>
  </w:style>
  <w:style w:type="paragraph" w:styleId="Index2">
    <w:name w:val="index 2"/>
    <w:basedOn w:val="Normal"/>
    <w:next w:val="Normal"/>
    <w:semiHidden/>
    <w:rsid w:val="00D32B3E"/>
    <w:pPr>
      <w:tabs>
        <w:tab w:val="right" w:pos="4176"/>
      </w:tabs>
      <w:ind w:left="568" w:hanging="284"/>
    </w:pPr>
    <w:rPr>
      <w:rFonts w:ascii="Garamond" w:hAnsi="Garamond"/>
    </w:rPr>
  </w:style>
  <w:style w:type="paragraph" w:customStyle="1" w:styleId="Byline">
    <w:name w:val="Byline"/>
    <w:rsid w:val="00D32B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B3E"/>
    <w:pPr>
      <w:tabs>
        <w:tab w:val="clear" w:pos="3600"/>
        <w:tab w:val="clear" w:pos="3958"/>
      </w:tabs>
      <w:jc w:val="right"/>
    </w:pPr>
  </w:style>
  <w:style w:type="paragraph" w:styleId="Caption">
    <w:name w:val="caption"/>
    <w:basedOn w:val="BodyText"/>
    <w:next w:val="Normal"/>
    <w:qFormat/>
    <w:rsid w:val="00D32B3E"/>
    <w:pPr>
      <w:framePr w:w="2268" w:hSpace="181" w:vSpace="181" w:wrap="around" w:vAnchor="text" w:hAnchor="page" w:x="1135" w:y="285" w:anchorLock="1"/>
    </w:pPr>
    <w:rPr>
      <w:i/>
    </w:rPr>
  </w:style>
  <w:style w:type="paragraph" w:customStyle="1" w:styleId="MiniTOCTitle">
    <w:name w:val="MiniTOCTitle"/>
    <w:basedOn w:val="Heading4"/>
    <w:rsid w:val="00D32B3E"/>
    <w:pPr>
      <w:spacing w:before="240"/>
      <w:outlineLvl w:val="9"/>
    </w:pPr>
    <w:rPr>
      <w:noProof/>
      <w:sz w:val="24"/>
    </w:rPr>
  </w:style>
  <w:style w:type="paragraph" w:customStyle="1" w:styleId="MiniTOCItem">
    <w:name w:val="MiniTOCItem"/>
    <w:basedOn w:val="ListBullet"/>
    <w:rsid w:val="00D32B3E"/>
    <w:pPr>
      <w:numPr>
        <w:numId w:val="0"/>
      </w:numPr>
      <w:tabs>
        <w:tab w:val="right" w:leader="dot" w:pos="6521"/>
      </w:tabs>
      <w:spacing w:before="0" w:after="0"/>
    </w:pPr>
  </w:style>
  <w:style w:type="paragraph" w:customStyle="1" w:styleId="TOFTitle">
    <w:name w:val="TOFTitle"/>
    <w:basedOn w:val="TOCTitle"/>
    <w:rsid w:val="00D32B3E"/>
  </w:style>
  <w:style w:type="paragraph" w:styleId="TableofFigures">
    <w:name w:val="table of figures"/>
    <w:basedOn w:val="Normal"/>
    <w:next w:val="Normal"/>
    <w:semiHidden/>
    <w:rsid w:val="00D32B3E"/>
    <w:pPr>
      <w:tabs>
        <w:tab w:val="right" w:leader="dot" w:pos="9072"/>
      </w:tabs>
      <w:ind w:left="970" w:hanging="403"/>
    </w:pPr>
    <w:rPr>
      <w:rFonts w:ascii="Times New Roman" w:hAnsi="Times New Roman"/>
      <w:b/>
    </w:rPr>
  </w:style>
  <w:style w:type="paragraph" w:styleId="ListNumber">
    <w:name w:val="List Number"/>
    <w:basedOn w:val="List"/>
    <w:rsid w:val="00D32B3E"/>
    <w:pPr>
      <w:numPr>
        <w:numId w:val="15"/>
      </w:numPr>
      <w:tabs>
        <w:tab w:val="clear" w:pos="340"/>
      </w:tabs>
    </w:pPr>
  </w:style>
  <w:style w:type="character" w:customStyle="1" w:styleId="WingdingSymbols">
    <w:name w:val="Wingding Symbols"/>
    <w:rsid w:val="00D32B3E"/>
    <w:rPr>
      <w:rFonts w:ascii="Wingdings" w:hAnsi="Wingdings"/>
    </w:rPr>
  </w:style>
  <w:style w:type="paragraph" w:customStyle="1" w:styleId="TableHeading">
    <w:name w:val="Table Heading"/>
    <w:basedOn w:val="HeadingBase"/>
    <w:rsid w:val="00D32B3E"/>
    <w:pPr>
      <w:keepLines/>
      <w:pBdr>
        <w:bottom w:val="single" w:sz="6" w:space="1" w:color="918585"/>
      </w:pBdr>
      <w:spacing w:before="240"/>
    </w:pPr>
  </w:style>
  <w:style w:type="character" w:customStyle="1" w:styleId="HotSpot">
    <w:name w:val="HotSpot"/>
    <w:rsid w:val="00D32B3E"/>
    <w:rPr>
      <w:color w:val="0033CC"/>
      <w:u w:val="none"/>
    </w:rPr>
  </w:style>
  <w:style w:type="paragraph" w:customStyle="1" w:styleId="BodyTextRight">
    <w:name w:val="Body Text Right"/>
    <w:basedOn w:val="BodyText"/>
    <w:rsid w:val="00D32B3E"/>
    <w:pPr>
      <w:spacing w:before="0" w:after="0"/>
      <w:jc w:val="right"/>
    </w:pPr>
  </w:style>
  <w:style w:type="paragraph" w:styleId="Index3">
    <w:name w:val="index 3"/>
    <w:basedOn w:val="ListNumber2"/>
    <w:next w:val="Normal"/>
    <w:semiHidden/>
    <w:rsid w:val="00D32B3E"/>
    <w:pPr>
      <w:numPr>
        <w:numId w:val="0"/>
      </w:numPr>
      <w:tabs>
        <w:tab w:val="right" w:leader="dot" w:pos="4176"/>
      </w:tabs>
    </w:pPr>
  </w:style>
  <w:style w:type="paragraph" w:styleId="ListNumber2">
    <w:name w:val="List Number 2"/>
    <w:basedOn w:val="List2"/>
    <w:rsid w:val="00D32B3E"/>
    <w:pPr>
      <w:numPr>
        <w:numId w:val="10"/>
      </w:numPr>
      <w:tabs>
        <w:tab w:val="clear" w:pos="1060"/>
      </w:tabs>
    </w:pPr>
  </w:style>
  <w:style w:type="paragraph" w:customStyle="1" w:styleId="MarginNote">
    <w:name w:val="Margin Note"/>
    <w:basedOn w:val="BodyText"/>
    <w:rsid w:val="00D32B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B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B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B3E"/>
    <w:rPr>
      <w:sz w:val="32"/>
    </w:rPr>
  </w:style>
  <w:style w:type="paragraph" w:customStyle="1" w:styleId="HeadingProcedure">
    <w:name w:val="Heading Procedure"/>
    <w:basedOn w:val="HeadingBase"/>
    <w:next w:val="Normal"/>
    <w:rsid w:val="00D32B3E"/>
    <w:pPr>
      <w:tabs>
        <w:tab w:val="left" w:pos="0"/>
      </w:tabs>
      <w:spacing w:before="120" w:after="60"/>
    </w:pPr>
    <w:rPr>
      <w:i/>
      <w:color w:val="918585"/>
      <w:sz w:val="22"/>
    </w:rPr>
  </w:style>
  <w:style w:type="paragraph" w:customStyle="1" w:styleId="TableBodyText">
    <w:name w:val="Table Body Text"/>
    <w:basedOn w:val="BodyText"/>
    <w:rsid w:val="00D32B3E"/>
    <w:pPr>
      <w:spacing w:before="60" w:after="60"/>
    </w:pPr>
  </w:style>
  <w:style w:type="paragraph" w:styleId="ListContinue">
    <w:name w:val="List Continue"/>
    <w:basedOn w:val="List"/>
    <w:rsid w:val="00D32B3E"/>
    <w:pPr>
      <w:ind w:firstLine="0"/>
    </w:pPr>
  </w:style>
  <w:style w:type="paragraph" w:customStyle="1" w:styleId="ListNote">
    <w:name w:val="List Note"/>
    <w:basedOn w:val="List"/>
    <w:rsid w:val="00D32B3E"/>
    <w:pPr>
      <w:pBdr>
        <w:top w:val="single" w:sz="6" w:space="2" w:color="918585"/>
        <w:bottom w:val="single" w:sz="6" w:space="2" w:color="918585"/>
      </w:pBdr>
      <w:tabs>
        <w:tab w:val="left" w:pos="1021"/>
      </w:tabs>
      <w:ind w:firstLine="0"/>
    </w:pPr>
  </w:style>
  <w:style w:type="paragraph" w:customStyle="1" w:styleId="Warning">
    <w:name w:val="Warning"/>
    <w:basedOn w:val="BodyText"/>
    <w:rsid w:val="00D32B3E"/>
    <w:pPr>
      <w:shd w:val="clear" w:color="auto" w:fill="D9D9D9"/>
      <w:tabs>
        <w:tab w:val="left" w:pos="992"/>
      </w:tabs>
      <w:ind w:left="119" w:right="119"/>
    </w:pPr>
    <w:rPr>
      <w:sz w:val="20"/>
    </w:rPr>
  </w:style>
  <w:style w:type="paragraph" w:customStyle="1" w:styleId="MarginIcons">
    <w:name w:val="Margin Icons"/>
    <w:basedOn w:val="BodyText"/>
    <w:rsid w:val="00D32B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B3E"/>
    <w:rPr>
      <w:rFonts w:ascii="Courier New" w:hAnsi="Courier New"/>
    </w:rPr>
  </w:style>
  <w:style w:type="paragraph" w:customStyle="1" w:styleId="NoteBullet">
    <w:name w:val="Note Bullet"/>
    <w:basedOn w:val="Note"/>
    <w:rsid w:val="00D32B3E"/>
    <w:pPr>
      <w:tabs>
        <w:tab w:val="clear" w:pos="680"/>
      </w:tabs>
      <w:spacing w:before="60" w:after="60"/>
    </w:pPr>
  </w:style>
  <w:style w:type="paragraph" w:customStyle="1" w:styleId="SubHeading2">
    <w:name w:val="SubHeading2"/>
    <w:basedOn w:val="HeadingBase"/>
    <w:rsid w:val="00D32B3E"/>
    <w:pPr>
      <w:spacing w:before="240" w:after="60"/>
    </w:pPr>
    <w:rPr>
      <w:sz w:val="20"/>
    </w:rPr>
  </w:style>
  <w:style w:type="paragraph" w:customStyle="1" w:styleId="SubHeading1">
    <w:name w:val="SubHeading1"/>
    <w:basedOn w:val="HeadingBase"/>
    <w:rsid w:val="00D32B3E"/>
    <w:pPr>
      <w:spacing w:before="240" w:after="60"/>
    </w:pPr>
    <w:rPr>
      <w:color w:val="918585"/>
      <w:sz w:val="22"/>
    </w:rPr>
  </w:style>
  <w:style w:type="paragraph" w:customStyle="1" w:styleId="SideHeading">
    <w:name w:val="Side Heading"/>
    <w:basedOn w:val="HeadingBase"/>
    <w:rsid w:val="00D32B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B3E"/>
    <w:pPr>
      <w:tabs>
        <w:tab w:val="num" w:pos="360"/>
      </w:tabs>
    </w:pPr>
  </w:style>
  <w:style w:type="paragraph" w:styleId="PlainText">
    <w:name w:val="Plain Text"/>
    <w:basedOn w:val="Normal"/>
    <w:link w:val="PlainTextChar"/>
    <w:rsid w:val="00D32B3E"/>
    <w:rPr>
      <w:sz w:val="20"/>
    </w:rPr>
  </w:style>
  <w:style w:type="character" w:customStyle="1" w:styleId="PlainTextChar">
    <w:name w:val="Plain Text Char"/>
    <w:basedOn w:val="DefaultParagraphFont"/>
    <w:link w:val="PlainText"/>
    <w:rsid w:val="00D32B3E"/>
    <w:rPr>
      <w:rFonts w:ascii="Courier New" w:eastAsia="Times New Roman" w:hAnsi="Courier New" w:cs="Times New Roman"/>
      <w:sz w:val="20"/>
      <w:szCs w:val="20"/>
      <w:lang w:eastAsia="en-US"/>
    </w:rPr>
  </w:style>
  <w:style w:type="character" w:customStyle="1" w:styleId="MenuOption">
    <w:name w:val="Menu Option"/>
    <w:basedOn w:val="DefaultParagraphFont"/>
    <w:rsid w:val="00D32B3E"/>
    <w:rPr>
      <w:b/>
      <w:smallCaps/>
    </w:rPr>
  </w:style>
  <w:style w:type="paragraph" w:customStyle="1" w:styleId="TableListNumber">
    <w:name w:val="Table List Number"/>
    <w:basedOn w:val="ListNumber"/>
    <w:rsid w:val="00D32B3E"/>
    <w:pPr>
      <w:numPr>
        <w:numId w:val="0"/>
      </w:numPr>
    </w:pPr>
  </w:style>
  <w:style w:type="paragraph" w:styleId="TOC4">
    <w:name w:val="toc 4"/>
    <w:basedOn w:val="TOCBase"/>
    <w:next w:val="Normal"/>
    <w:semiHidden/>
    <w:rsid w:val="00D32B3E"/>
    <w:pPr>
      <w:tabs>
        <w:tab w:val="right" w:leader="dot" w:pos="9071"/>
      </w:tabs>
      <w:ind w:left="1701"/>
    </w:pPr>
  </w:style>
  <w:style w:type="paragraph" w:customStyle="1" w:styleId="ListAlpha">
    <w:name w:val="List Alpha"/>
    <w:basedOn w:val="List"/>
    <w:rsid w:val="00D32B3E"/>
    <w:pPr>
      <w:numPr>
        <w:numId w:val="9"/>
      </w:numPr>
    </w:pPr>
  </w:style>
  <w:style w:type="paragraph" w:customStyle="1" w:styleId="ListAlpha2">
    <w:name w:val="List Alpha 2"/>
    <w:basedOn w:val="List2"/>
    <w:rsid w:val="00D32B3E"/>
    <w:pPr>
      <w:numPr>
        <w:numId w:val="8"/>
      </w:numPr>
    </w:pPr>
  </w:style>
  <w:style w:type="paragraph" w:styleId="List2">
    <w:name w:val="List 2"/>
    <w:basedOn w:val="BodyText"/>
    <w:rsid w:val="00D32B3E"/>
    <w:pPr>
      <w:tabs>
        <w:tab w:val="left" w:pos="680"/>
      </w:tabs>
      <w:spacing w:before="60" w:after="60"/>
      <w:ind w:left="680" w:hanging="340"/>
    </w:pPr>
  </w:style>
  <w:style w:type="paragraph" w:styleId="List3">
    <w:name w:val="List 3"/>
    <w:basedOn w:val="BodyText"/>
    <w:rsid w:val="00D32B3E"/>
    <w:pPr>
      <w:tabs>
        <w:tab w:val="left" w:pos="1021"/>
      </w:tabs>
      <w:spacing w:before="60" w:after="60"/>
      <w:ind w:left="1020" w:hanging="340"/>
    </w:pPr>
  </w:style>
  <w:style w:type="paragraph" w:styleId="List4">
    <w:name w:val="List 4"/>
    <w:basedOn w:val="BodyText"/>
    <w:rsid w:val="00D32B3E"/>
    <w:pPr>
      <w:tabs>
        <w:tab w:val="left" w:pos="1361"/>
      </w:tabs>
      <w:spacing w:before="60" w:after="60"/>
      <w:ind w:left="1361" w:hanging="340"/>
    </w:pPr>
  </w:style>
  <w:style w:type="paragraph" w:styleId="List5">
    <w:name w:val="List 5"/>
    <w:basedOn w:val="BodyText"/>
    <w:rsid w:val="00D32B3E"/>
    <w:pPr>
      <w:tabs>
        <w:tab w:val="left" w:pos="1701"/>
      </w:tabs>
      <w:spacing w:before="60" w:after="60"/>
      <w:ind w:left="1701" w:hanging="340"/>
    </w:pPr>
  </w:style>
  <w:style w:type="paragraph" w:styleId="ListBullet3">
    <w:name w:val="List Bullet 3"/>
    <w:basedOn w:val="List3"/>
    <w:rsid w:val="00D32B3E"/>
    <w:pPr>
      <w:numPr>
        <w:numId w:val="14"/>
      </w:numPr>
      <w:tabs>
        <w:tab w:val="clear" w:pos="1021"/>
      </w:tabs>
      <w:ind w:left="1037" w:hanging="357"/>
    </w:pPr>
  </w:style>
  <w:style w:type="paragraph" w:styleId="ListBullet4">
    <w:name w:val="List Bullet 4"/>
    <w:basedOn w:val="List4"/>
    <w:rsid w:val="00D32B3E"/>
    <w:pPr>
      <w:numPr>
        <w:numId w:val="3"/>
      </w:numPr>
      <w:tabs>
        <w:tab w:val="clear" w:pos="1361"/>
      </w:tabs>
    </w:pPr>
  </w:style>
  <w:style w:type="paragraph" w:styleId="ListBullet5">
    <w:name w:val="List Bullet 5"/>
    <w:basedOn w:val="List5"/>
    <w:rsid w:val="00D32B3E"/>
    <w:pPr>
      <w:numPr>
        <w:numId w:val="4"/>
      </w:numPr>
    </w:pPr>
  </w:style>
  <w:style w:type="paragraph" w:styleId="ListContinue2">
    <w:name w:val="List Continue 2"/>
    <w:basedOn w:val="List2"/>
    <w:rsid w:val="00D32B3E"/>
    <w:pPr>
      <w:ind w:firstLine="0"/>
    </w:pPr>
  </w:style>
  <w:style w:type="paragraph" w:styleId="ListContinue3">
    <w:name w:val="List Continue 3"/>
    <w:basedOn w:val="List3"/>
    <w:rsid w:val="00D32B3E"/>
    <w:pPr>
      <w:ind w:left="1021" w:firstLine="0"/>
    </w:pPr>
  </w:style>
  <w:style w:type="paragraph" w:styleId="ListContinue4">
    <w:name w:val="List Continue 4"/>
    <w:basedOn w:val="List4"/>
    <w:rsid w:val="00D32B3E"/>
    <w:pPr>
      <w:ind w:firstLine="0"/>
    </w:pPr>
  </w:style>
  <w:style w:type="paragraph" w:styleId="ListContinue5">
    <w:name w:val="List Continue 5"/>
    <w:basedOn w:val="List5"/>
    <w:rsid w:val="00D32B3E"/>
    <w:pPr>
      <w:ind w:firstLine="0"/>
    </w:pPr>
  </w:style>
  <w:style w:type="paragraph" w:styleId="ListNumber3">
    <w:name w:val="List Number 3"/>
    <w:basedOn w:val="List3"/>
    <w:rsid w:val="00D32B3E"/>
    <w:pPr>
      <w:numPr>
        <w:numId w:val="5"/>
      </w:numPr>
    </w:pPr>
  </w:style>
  <w:style w:type="paragraph" w:styleId="ListNumber4">
    <w:name w:val="List Number 4"/>
    <w:basedOn w:val="List4"/>
    <w:rsid w:val="00D32B3E"/>
    <w:pPr>
      <w:numPr>
        <w:numId w:val="6"/>
      </w:numPr>
    </w:pPr>
  </w:style>
  <w:style w:type="paragraph" w:styleId="ListNumber5">
    <w:name w:val="List Number 5"/>
    <w:basedOn w:val="List5"/>
    <w:rsid w:val="00D32B3E"/>
    <w:pPr>
      <w:numPr>
        <w:numId w:val="7"/>
      </w:numPr>
    </w:pPr>
  </w:style>
  <w:style w:type="paragraph" w:styleId="BlockText">
    <w:name w:val="Block Text"/>
    <w:basedOn w:val="Normal"/>
    <w:rsid w:val="00D32B3E"/>
    <w:pPr>
      <w:spacing w:after="120"/>
      <w:ind w:left="1440" w:right="1440"/>
    </w:pPr>
  </w:style>
  <w:style w:type="character" w:customStyle="1" w:styleId="Subscript">
    <w:name w:val="Subscript"/>
    <w:basedOn w:val="DefaultParagraphFont"/>
    <w:rsid w:val="00D32B3E"/>
    <w:rPr>
      <w:sz w:val="16"/>
      <w:vertAlign w:val="subscript"/>
    </w:rPr>
  </w:style>
  <w:style w:type="character" w:customStyle="1" w:styleId="Superscript">
    <w:name w:val="Superscript"/>
    <w:basedOn w:val="DefaultParagraphFont"/>
    <w:rsid w:val="00D32B3E"/>
    <w:rPr>
      <w:sz w:val="16"/>
      <w:vertAlign w:val="superscript"/>
    </w:rPr>
  </w:style>
  <w:style w:type="character" w:customStyle="1" w:styleId="Symbols">
    <w:name w:val="Symbols"/>
    <w:basedOn w:val="DefaultParagraphFont"/>
    <w:rsid w:val="00D32B3E"/>
    <w:rPr>
      <w:rFonts w:ascii="Symbol" w:hAnsi="Symbol"/>
    </w:rPr>
  </w:style>
  <w:style w:type="character" w:customStyle="1" w:styleId="MenuOptions">
    <w:name w:val="Menu Options"/>
    <w:basedOn w:val="DefaultParagraphFont"/>
    <w:rsid w:val="00D32B3E"/>
    <w:rPr>
      <w:rFonts w:ascii="Arial Narrow" w:hAnsi="Arial Narrow"/>
      <w:smallCaps/>
    </w:rPr>
  </w:style>
  <w:style w:type="character" w:customStyle="1" w:styleId="Buttons">
    <w:name w:val="Buttons"/>
    <w:basedOn w:val="DefaultParagraphFont"/>
    <w:rsid w:val="00D32B3E"/>
    <w:rPr>
      <w:b/>
    </w:rPr>
  </w:style>
  <w:style w:type="character" w:customStyle="1" w:styleId="Underlined">
    <w:name w:val="Underlined"/>
    <w:basedOn w:val="DefaultParagraphFont"/>
    <w:rsid w:val="00D32B3E"/>
    <w:rPr>
      <w:u w:val="single"/>
    </w:rPr>
  </w:style>
  <w:style w:type="paragraph" w:customStyle="1" w:styleId="TableBodyTextRight">
    <w:name w:val="Table Body Text Right"/>
    <w:basedOn w:val="TableBodyText"/>
    <w:rsid w:val="00D32B3E"/>
    <w:pPr>
      <w:widowControl w:val="0"/>
      <w:autoSpaceDE w:val="0"/>
      <w:autoSpaceDN w:val="0"/>
      <w:adjustRightInd w:val="0"/>
      <w:jc w:val="right"/>
    </w:pPr>
    <w:rPr>
      <w:rFonts w:cs="Arial"/>
      <w:szCs w:val="18"/>
    </w:rPr>
  </w:style>
  <w:style w:type="paragraph" w:customStyle="1" w:styleId="CopyrightText">
    <w:name w:val="Copyright Text"/>
    <w:basedOn w:val="BodyText"/>
    <w:rsid w:val="00D32B3E"/>
    <w:rPr>
      <w:sz w:val="18"/>
    </w:rPr>
  </w:style>
  <w:style w:type="paragraph" w:customStyle="1" w:styleId="BodySmallRight">
    <w:name w:val="Body Small Right"/>
    <w:basedOn w:val="BodyTextRight"/>
    <w:rsid w:val="00D32B3E"/>
    <w:rPr>
      <w:sz w:val="18"/>
      <w:szCs w:val="18"/>
    </w:rPr>
  </w:style>
  <w:style w:type="paragraph" w:customStyle="1" w:styleId="MarginEdition">
    <w:name w:val="Margin Edition"/>
    <w:basedOn w:val="MarginNote"/>
    <w:rsid w:val="00D32B3E"/>
    <w:pPr>
      <w:spacing w:before="0" w:after="0"/>
    </w:pPr>
    <w:rPr>
      <w:rFonts w:ascii="Times New Roman" w:hAnsi="Times New Roman"/>
      <w:color w:val="999999"/>
    </w:rPr>
  </w:style>
  <w:style w:type="paragraph" w:customStyle="1" w:styleId="Spacer">
    <w:name w:val="Spacer"/>
    <w:basedOn w:val="Normal"/>
    <w:rsid w:val="00D32B3E"/>
    <w:rPr>
      <w:sz w:val="2"/>
      <w:szCs w:val="2"/>
    </w:rPr>
  </w:style>
  <w:style w:type="character" w:customStyle="1" w:styleId="Small">
    <w:name w:val="Small"/>
    <w:basedOn w:val="DefaultParagraphFont"/>
    <w:rsid w:val="00D32B3E"/>
    <w:rPr>
      <w:sz w:val="16"/>
    </w:rPr>
  </w:style>
  <w:style w:type="paragraph" w:customStyle="1" w:styleId="WideTable">
    <w:name w:val="Wide Table"/>
    <w:basedOn w:val="Normal"/>
    <w:rsid w:val="00D32B3E"/>
    <w:pPr>
      <w:ind w:left="-1418"/>
    </w:pPr>
    <w:rPr>
      <w:sz w:val="2"/>
      <w:szCs w:val="2"/>
    </w:rPr>
  </w:style>
  <w:style w:type="character" w:styleId="PageNumber">
    <w:name w:val="page number"/>
    <w:basedOn w:val="DefaultParagraphFont"/>
    <w:rsid w:val="00D32B3E"/>
  </w:style>
  <w:style w:type="paragraph" w:styleId="Quote">
    <w:name w:val="Quote"/>
    <w:basedOn w:val="Heading1"/>
    <w:link w:val="QuoteChar"/>
    <w:qFormat/>
    <w:rsid w:val="00D32B3E"/>
    <w:rPr>
      <w:b w:val="0"/>
      <w:sz w:val="72"/>
      <w:szCs w:val="72"/>
      <w:lang w:val="en-NZ"/>
    </w:rPr>
  </w:style>
  <w:style w:type="character" w:customStyle="1" w:styleId="QuoteChar">
    <w:name w:val="Quote Char"/>
    <w:basedOn w:val="DefaultParagraphFont"/>
    <w:link w:val="Quote"/>
    <w:rsid w:val="00D32B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B3E"/>
    <w:pPr>
      <w:pageBreakBefore/>
    </w:pPr>
  </w:style>
  <w:style w:type="paragraph" w:customStyle="1" w:styleId="Border">
    <w:name w:val="Border"/>
    <w:basedOn w:val="Normal"/>
    <w:qFormat/>
    <w:rsid w:val="00D32B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B3E"/>
    <w:rPr>
      <w:b/>
      <w:bCs/>
      <w:i/>
      <w:iCs/>
      <w:color w:val="auto"/>
    </w:rPr>
  </w:style>
  <w:style w:type="paragraph" w:styleId="IntenseQuote">
    <w:name w:val="Intense Quote"/>
    <w:basedOn w:val="Normal"/>
    <w:next w:val="Normal"/>
    <w:link w:val="IntenseQuoteChar"/>
    <w:uiPriority w:val="30"/>
    <w:qFormat/>
    <w:rsid w:val="00D32B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B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B3E"/>
    <w:rPr>
      <w:smallCaps/>
      <w:color w:val="auto"/>
      <w:u w:val="single"/>
    </w:rPr>
  </w:style>
  <w:style w:type="character" w:styleId="IntenseReference">
    <w:name w:val="Intense Reference"/>
    <w:basedOn w:val="DefaultParagraphFont"/>
    <w:uiPriority w:val="32"/>
    <w:qFormat/>
    <w:rsid w:val="00D32B3E"/>
    <w:rPr>
      <w:b/>
      <w:bCs/>
      <w:smallCaps/>
      <w:color w:val="auto"/>
      <w:spacing w:val="5"/>
      <w:u w:val="single"/>
    </w:rPr>
  </w:style>
  <w:style w:type="paragraph" w:customStyle="1" w:styleId="2ColumnHeading">
    <w:name w:val="2Column Heading"/>
    <w:basedOn w:val="BodyText"/>
    <w:qFormat/>
    <w:rsid w:val="00D32B3E"/>
    <w:pPr>
      <w:spacing w:after="60"/>
      <w:ind w:left="-2268"/>
    </w:pPr>
    <w:rPr>
      <w:b/>
    </w:rPr>
  </w:style>
  <w:style w:type="paragraph" w:customStyle="1" w:styleId="Heading1TOC">
    <w:name w:val="Heading1 TOC"/>
    <w:basedOn w:val="Normal"/>
    <w:qFormat/>
    <w:rsid w:val="00D32B3E"/>
    <w:pPr>
      <w:spacing w:before="240" w:after="120"/>
    </w:pPr>
    <w:rPr>
      <w:rFonts w:ascii="Times New Roman" w:hAnsi="Times New Roman"/>
      <w:b/>
      <w:sz w:val="32"/>
    </w:rPr>
  </w:style>
  <w:style w:type="paragraph" w:customStyle="1" w:styleId="Heading2TOC">
    <w:name w:val="Heading2 TOC"/>
    <w:basedOn w:val="Normal"/>
    <w:qFormat/>
    <w:rsid w:val="00D32B3E"/>
    <w:pPr>
      <w:spacing w:before="240" w:after="60"/>
    </w:pPr>
    <w:rPr>
      <w:rFonts w:ascii="Times New Roman" w:hAnsi="Times New Roman"/>
      <w:b/>
      <w:sz w:val="28"/>
    </w:rPr>
  </w:style>
  <w:style w:type="character" w:customStyle="1" w:styleId="Underline">
    <w:name w:val="Underline"/>
    <w:basedOn w:val="DefaultParagraphFont"/>
    <w:qFormat/>
    <w:rsid w:val="00D32B3E"/>
    <w:rPr>
      <w:u w:val="single"/>
    </w:rPr>
  </w:style>
  <w:style w:type="character" w:customStyle="1" w:styleId="BoldandItalics">
    <w:name w:val="Bold and Italics"/>
    <w:qFormat/>
    <w:rsid w:val="00D32B3E"/>
    <w:rPr>
      <w:b/>
      <w:i/>
      <w:u w:val="none"/>
    </w:rPr>
  </w:style>
  <w:style w:type="paragraph" w:styleId="BalloonText">
    <w:name w:val="Balloon Text"/>
    <w:basedOn w:val="Normal"/>
    <w:link w:val="BalloonTextChar"/>
    <w:rsid w:val="00D32B3E"/>
    <w:rPr>
      <w:rFonts w:ascii="Tahoma" w:hAnsi="Tahoma" w:cs="Tahoma"/>
      <w:sz w:val="16"/>
      <w:szCs w:val="16"/>
    </w:rPr>
  </w:style>
  <w:style w:type="character" w:customStyle="1" w:styleId="BalloonTextChar">
    <w:name w:val="Balloon Text Char"/>
    <w:basedOn w:val="DefaultParagraphFont"/>
    <w:link w:val="BalloonText"/>
    <w:rsid w:val="00D32B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B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2B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B3E"/>
    <w:rPr>
      <w:b/>
      <w:color w:val="660033"/>
      <w:spacing w:val="0"/>
    </w:rPr>
  </w:style>
  <w:style w:type="paragraph" w:customStyle="1" w:styleId="Nameditemlist">
    <w:name w:val="Named item list"/>
    <w:basedOn w:val="BodyText"/>
    <w:qFormat/>
    <w:rsid w:val="00D32B3E"/>
    <w:pPr>
      <w:tabs>
        <w:tab w:val="left" w:pos="2835"/>
      </w:tabs>
      <w:ind w:left="2835" w:hanging="2835"/>
    </w:pPr>
  </w:style>
  <w:style w:type="paragraph" w:customStyle="1" w:styleId="BodyTextnopadding">
    <w:name w:val="Body Text no padding"/>
    <w:basedOn w:val="BodyText"/>
    <w:qFormat/>
    <w:rsid w:val="00D32B3E"/>
    <w:pPr>
      <w:spacing w:before="0" w:after="0"/>
    </w:pPr>
  </w:style>
  <w:style w:type="paragraph" w:customStyle="1" w:styleId="BodyTextBold">
    <w:name w:val="Body Text Bold"/>
    <w:basedOn w:val="BodyText"/>
    <w:qFormat/>
    <w:rsid w:val="00D32B3E"/>
    <w:rPr>
      <w:b/>
    </w:rPr>
  </w:style>
  <w:style w:type="character" w:styleId="Hyperlink">
    <w:name w:val="Hyperlink"/>
    <w:basedOn w:val="DefaultParagraphFont"/>
    <w:uiPriority w:val="99"/>
    <w:unhideWhenUsed/>
    <w:rsid w:val="006159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4741</Characters>
  <Application>Microsoft Office Word</Application>
  <DocSecurity>0</DocSecurity>
  <Lines>128</Lines>
  <Paragraphs>64</Paragraphs>
  <ScaleCrop>false</ScaleCrop>
  <Company>Author-it Software Corporation Ltd.</Company>
  <LinksUpToDate>false</LinksUpToDate>
  <CharactersWithSpaces>5394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SITHGAM022 Provide responsible gambling services</dc:title>
  <dc:subject>Approved</dc:subject>
  <dc:creator>SkillsIQ</dc:creator>
  <cp:keywords>Release: 1</cp:keywords>
  <dc:description>Review Date: 12 April 2008</dc:description>
  <cp:lastModifiedBy>HSD_TPCMSd.prod</cp:lastModifiedBy>
  <cp:revision>3</cp:revision>
  <dcterms:created xsi:type="dcterms:W3CDTF">2023-03-02T05:14:00Z</dcterms:created>
  <dcterms:modified xsi:type="dcterms:W3CDTF">2023-03-02T05:14:00Z</dcterms:modified>
</cp:coreProperties>
</file>